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both"/>
        <w:outlineLvl w:val="0"/>
        <w:rPr>
          <w:rFonts w:hint="default" w:ascii="方正小标宋简体" w:hAnsi="宋体" w:eastAsia="方正小标宋简体"/>
          <w:color w:val="auto"/>
          <w:sz w:val="72"/>
          <w:szCs w:val="72"/>
          <w:highlight w:val="none"/>
          <w:lang w:val="en-US" w:eastAsia="zh-CN"/>
        </w:rPr>
      </w:pPr>
      <w:bookmarkStart w:id="0" w:name="_Toc15378441"/>
      <w:bookmarkStart w:id="1" w:name="_Toc15377193"/>
      <w:bookmarkStart w:id="2" w:name="_Toc15396597"/>
      <w:bookmarkStart w:id="3" w:name="_Toc15377425"/>
      <w:bookmarkStart w:id="4" w:name="_Toc15396475"/>
      <w:bookmarkStart w:id="5" w:name="_Toc15306267"/>
    </w:p>
    <w:p>
      <w:pPr>
        <w:spacing w:line="600" w:lineRule="exact"/>
        <w:jc w:val="center"/>
        <w:outlineLvl w:val="0"/>
        <w:rPr>
          <w:rFonts w:ascii="方正小标宋简体" w:hAnsi="宋体" w:eastAsia="方正小标宋简体"/>
          <w:color w:val="auto"/>
          <w:sz w:val="72"/>
          <w:szCs w:val="72"/>
          <w:highlight w:val="none"/>
        </w:rPr>
      </w:pPr>
    </w:p>
    <w:p>
      <w:pPr>
        <w:spacing w:line="600" w:lineRule="exact"/>
        <w:jc w:val="center"/>
        <w:outlineLvl w:val="0"/>
        <w:rPr>
          <w:rFonts w:ascii="方正小标宋简体" w:hAnsi="宋体" w:eastAsia="方正小标宋简体"/>
          <w:color w:val="auto"/>
          <w:sz w:val="72"/>
          <w:szCs w:val="72"/>
          <w:highlight w:val="none"/>
        </w:rPr>
      </w:pPr>
    </w:p>
    <w:p>
      <w:pPr>
        <w:spacing w:line="600" w:lineRule="exact"/>
        <w:jc w:val="center"/>
        <w:outlineLvl w:val="0"/>
        <w:rPr>
          <w:rFonts w:ascii="方正小标宋简体" w:hAnsi="宋体" w:eastAsia="方正小标宋简体"/>
          <w:color w:val="auto"/>
          <w:sz w:val="72"/>
          <w:szCs w:val="72"/>
          <w:highlight w:val="none"/>
        </w:rPr>
      </w:pPr>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52"/>
          <w:szCs w:val="52"/>
          <w:highlight w:val="none"/>
        </w:rPr>
      </w:pPr>
      <w:r>
        <w:rPr>
          <w:rFonts w:hint="eastAsia" w:ascii="方正小标宋简体" w:hAnsi="方正小标宋简体" w:eastAsia="方正小标宋简体" w:cs="方正小标宋简体"/>
          <w:color w:val="auto"/>
          <w:sz w:val="52"/>
          <w:szCs w:val="52"/>
          <w:highlight w:val="none"/>
        </w:rPr>
        <w:t>20</w:t>
      </w:r>
      <w:r>
        <w:rPr>
          <w:rFonts w:hint="eastAsia" w:ascii="方正小标宋简体" w:hAnsi="方正小标宋简体" w:eastAsia="方正小标宋简体" w:cs="方正小标宋简体"/>
          <w:color w:val="auto"/>
          <w:sz w:val="52"/>
          <w:szCs w:val="52"/>
          <w:highlight w:val="none"/>
          <w:lang w:val="en-US" w:eastAsia="zh-CN"/>
        </w:rPr>
        <w:t>21</w:t>
      </w:r>
      <w:r>
        <w:rPr>
          <w:rFonts w:hint="eastAsia" w:ascii="方正小标宋简体" w:hAnsi="方正小标宋简体" w:eastAsia="方正小标宋简体" w:cs="方正小标宋简体"/>
          <w:color w:val="auto"/>
          <w:sz w:val="52"/>
          <w:szCs w:val="52"/>
          <w:highlight w:val="none"/>
        </w:rPr>
        <w:t>年度</w:t>
      </w:r>
      <w:bookmarkEnd w:id="0"/>
      <w:bookmarkEnd w:id="1"/>
      <w:bookmarkEnd w:id="2"/>
      <w:bookmarkEnd w:id="3"/>
      <w:bookmarkEnd w:id="4"/>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52"/>
          <w:szCs w:val="52"/>
          <w:highlight w:val="none"/>
        </w:rPr>
      </w:pPr>
      <w:bookmarkStart w:id="6" w:name="_Toc15377426"/>
      <w:bookmarkStart w:id="7" w:name="_Toc15377194"/>
      <w:bookmarkStart w:id="8" w:name="_Toc15378442"/>
      <w:bookmarkStart w:id="9" w:name="_Toc15396476"/>
      <w:bookmarkStart w:id="10" w:name="_Toc15396598"/>
      <w:r>
        <w:rPr>
          <w:rFonts w:hint="eastAsia" w:ascii="方正小标宋简体" w:hAnsi="方正小标宋简体" w:eastAsia="方正小标宋简体" w:cs="方正小标宋简体"/>
          <w:color w:val="auto"/>
          <w:sz w:val="52"/>
          <w:szCs w:val="52"/>
          <w:highlight w:val="none"/>
          <w:lang w:val="en-US" w:eastAsia="zh-CN"/>
        </w:rPr>
        <w:t>广元市</w:t>
      </w:r>
      <w:bookmarkEnd w:id="5"/>
      <w:bookmarkStart w:id="11" w:name="_Toc15306268"/>
      <w:r>
        <w:rPr>
          <w:rFonts w:hint="eastAsia" w:ascii="方正小标宋简体" w:hAnsi="方正小标宋简体" w:eastAsia="方正小标宋简体" w:cs="方正小标宋简体"/>
          <w:color w:val="auto"/>
          <w:sz w:val="52"/>
          <w:szCs w:val="52"/>
          <w:highlight w:val="none"/>
          <w:lang w:val="en-US" w:eastAsia="zh-CN"/>
        </w:rPr>
        <w:t>自然资源局</w:t>
      </w:r>
      <w:r>
        <w:rPr>
          <w:rFonts w:hint="eastAsia" w:ascii="方正小标宋简体" w:hAnsi="方正小标宋简体" w:eastAsia="方正小标宋简体" w:cs="方正小标宋简体"/>
          <w:color w:val="auto"/>
          <w:sz w:val="52"/>
          <w:szCs w:val="52"/>
          <w:highlight w:val="none"/>
        </w:rPr>
        <w:t>部门决算</w:t>
      </w:r>
      <w:bookmarkEnd w:id="6"/>
      <w:bookmarkEnd w:id="7"/>
      <w:bookmarkEnd w:id="8"/>
      <w:bookmarkEnd w:id="9"/>
      <w:bookmarkEnd w:id="10"/>
      <w:bookmarkEnd w:id="11"/>
    </w:p>
    <w:p>
      <w:pPr>
        <w:rPr>
          <w:rFonts w:ascii="方正小标宋简体" w:hAnsi="宋体" w:eastAsia="方正小标宋简体"/>
          <w:color w:val="auto"/>
          <w:sz w:val="52"/>
          <w:szCs w:val="52"/>
          <w:highlight w:val="none"/>
        </w:rPr>
      </w:pPr>
      <w:r>
        <w:rPr>
          <w:rFonts w:ascii="方正小标宋简体" w:hAnsi="宋体" w:eastAsia="方正小标宋简体"/>
          <w:color w:val="auto"/>
          <w:sz w:val="52"/>
          <w:szCs w:val="52"/>
          <w:highlight w:val="none"/>
        </w:rPr>
        <w:br w:type="page"/>
      </w:r>
    </w:p>
    <w:p>
      <w:pPr>
        <w:pStyle w:val="2"/>
      </w:pPr>
    </w:p>
    <w:p>
      <w:pPr>
        <w:keepNext w:val="0"/>
        <w:keepLines w:val="0"/>
        <w:pageBreakBefore w:val="0"/>
        <w:widowControl/>
        <w:kinsoku/>
        <w:wordWrap/>
        <w:overflowPunct/>
        <w:topLinePunct w:val="0"/>
        <w:autoSpaceDE/>
        <w:autoSpaceDN/>
        <w:bidi w:val="0"/>
        <w:spacing w:line="576" w:lineRule="exact"/>
        <w:jc w:val="center"/>
        <w:textAlignment w:val="auto"/>
        <w:rPr>
          <w:rFonts w:hint="eastAsia" w:ascii="方正小标宋_GBK" w:hAnsi="方正小标宋_GBK" w:eastAsia="方正小标宋_GBK" w:cs="方正小标宋_GBK"/>
          <w:color w:val="auto"/>
          <w:sz w:val="44"/>
          <w:szCs w:val="44"/>
          <w:highlight w:val="none"/>
        </w:rPr>
      </w:pPr>
      <w:r>
        <w:rPr>
          <w:rFonts w:ascii="方正小标宋简体" w:hAnsi="宋体" w:eastAsia="方正小标宋简体"/>
          <w:color w:val="auto"/>
          <w:sz w:val="36"/>
          <w:szCs w:val="36"/>
          <w:highlight w:val="none"/>
        </w:rPr>
        <w:br w:type="page"/>
      </w:r>
      <w:r>
        <w:rPr>
          <w:rFonts w:hint="eastAsia" w:ascii="方正小标宋_GBK" w:hAnsi="方正小标宋_GBK" w:eastAsia="方正小标宋_GBK" w:cs="方正小标宋_GBK"/>
          <w:color w:val="auto"/>
          <w:sz w:val="44"/>
          <w:szCs w:val="44"/>
          <w:highlight w:val="none"/>
        </w:rPr>
        <w:t>目</w:t>
      </w:r>
      <w:r>
        <w:rPr>
          <w:rFonts w:hint="eastAsia" w:ascii="方正小标宋_GBK" w:hAnsi="方正小标宋_GBK" w:eastAsia="方正小标宋_GBK" w:cs="方正小标宋_GBK"/>
          <w:color w:val="auto"/>
          <w:sz w:val="44"/>
          <w:szCs w:val="44"/>
          <w:highlight w:val="none"/>
          <w:lang w:val="en-US" w:eastAsia="zh-CN"/>
        </w:rPr>
        <w:t xml:space="preserve">  </w:t>
      </w:r>
      <w:r>
        <w:rPr>
          <w:rFonts w:hint="eastAsia" w:ascii="方正小标宋_GBK" w:hAnsi="方正小标宋_GBK" w:eastAsia="方正小标宋_GBK" w:cs="方正小标宋_GBK"/>
          <w:color w:val="auto"/>
          <w:sz w:val="44"/>
          <w:szCs w:val="44"/>
          <w:highlight w:val="none"/>
        </w:rPr>
        <w:t>录</w:t>
      </w:r>
    </w:p>
    <w:p>
      <w:pPr>
        <w:keepNext w:val="0"/>
        <w:keepLines w:val="0"/>
        <w:pageBreakBefore w:val="0"/>
        <w:widowControl/>
        <w:kinsoku/>
        <w:wordWrap/>
        <w:overflowPunct/>
        <w:topLinePunct w:val="0"/>
        <w:autoSpaceDE/>
        <w:autoSpaceDN/>
        <w:bidi w:val="0"/>
        <w:spacing w:line="576" w:lineRule="exact"/>
        <w:jc w:val="center"/>
        <w:textAlignment w:val="auto"/>
        <w:rPr>
          <w:rFonts w:ascii="黑体" w:hAnsi="黑体" w:eastAsia="黑体" w:cstheme="minorBidi"/>
          <w:color w:val="auto"/>
          <w:sz w:val="28"/>
          <w:szCs w:val="28"/>
          <w:highlight w:val="none"/>
        </w:rPr>
      </w:pPr>
    </w:p>
    <w:p>
      <w:pPr>
        <w:pStyle w:val="10"/>
        <w:keepNext w:val="0"/>
        <w:keepLines w:val="0"/>
        <w:pageBreakBefore w:val="0"/>
        <w:kinsoku/>
        <w:wordWrap/>
        <w:overflowPunct/>
        <w:topLinePunct w:val="0"/>
        <w:autoSpaceDE/>
        <w:autoSpaceDN/>
        <w:bidi w:val="0"/>
        <w:spacing w:before="0" w:line="576" w:lineRule="exact"/>
        <w:textAlignment w:val="auto"/>
        <w:rPr>
          <w:color w:val="auto"/>
          <w:highlight w:val="none"/>
        </w:rPr>
      </w:pPr>
      <w:r>
        <w:rPr>
          <w:rFonts w:hint="eastAsia"/>
          <w:color w:val="auto"/>
          <w:highlight w:val="none"/>
        </w:rPr>
        <w:t>公开时间：20</w:t>
      </w:r>
      <w:r>
        <w:rPr>
          <w:rFonts w:hint="eastAsia"/>
          <w:color w:val="auto"/>
          <w:highlight w:val="none"/>
          <w:lang w:val="en-US" w:eastAsia="zh-CN"/>
        </w:rPr>
        <w:t>22</w:t>
      </w:r>
      <w:r>
        <w:rPr>
          <w:rFonts w:hint="eastAsia"/>
          <w:color w:val="auto"/>
          <w:highlight w:val="none"/>
        </w:rPr>
        <w:t>年</w:t>
      </w:r>
      <w:r>
        <w:rPr>
          <w:rFonts w:hint="eastAsia"/>
          <w:color w:val="auto"/>
          <w:highlight w:val="none"/>
          <w:lang w:val="en-US" w:eastAsia="zh-CN"/>
        </w:rPr>
        <w:t>9</w:t>
      </w:r>
      <w:r>
        <w:rPr>
          <w:rFonts w:hint="eastAsia"/>
          <w:color w:val="auto"/>
          <w:highlight w:val="none"/>
        </w:rPr>
        <w:t>月</w:t>
      </w:r>
      <w:r>
        <w:rPr>
          <w:rFonts w:hint="eastAsia"/>
          <w:color w:val="auto"/>
          <w:highlight w:val="none"/>
          <w:lang w:val="en-US" w:eastAsia="zh-CN"/>
        </w:rPr>
        <w:t>27</w:t>
      </w:r>
      <w:r>
        <w:rPr>
          <w:rFonts w:hint="eastAsia"/>
          <w:color w:val="auto"/>
          <w:highlight w:val="none"/>
        </w:rPr>
        <w:t>日</w:t>
      </w:r>
    </w:p>
    <w:p>
      <w:pPr>
        <w:keepNext w:val="0"/>
        <w:keepLines w:val="0"/>
        <w:pageBreakBefore w:val="0"/>
        <w:kinsoku/>
        <w:wordWrap/>
        <w:overflowPunct/>
        <w:topLinePunct w:val="0"/>
        <w:autoSpaceDE/>
        <w:autoSpaceDN/>
        <w:bidi w:val="0"/>
        <w:spacing w:line="576" w:lineRule="exact"/>
        <w:textAlignment w:val="auto"/>
        <w:rPr>
          <w:color w:val="auto"/>
          <w:highlight w:val="none"/>
        </w:rPr>
      </w:pPr>
    </w:p>
    <w:p>
      <w:pPr>
        <w:pStyle w:val="10"/>
        <w:keepNext w:val="0"/>
        <w:keepLines w:val="0"/>
        <w:pageBreakBefore w:val="0"/>
        <w:kinsoku/>
        <w:wordWrap/>
        <w:overflowPunct/>
        <w:topLinePunct w:val="0"/>
        <w:autoSpaceDE/>
        <w:autoSpaceDN/>
        <w:bidi w:val="0"/>
        <w:adjustRightInd w:val="0"/>
        <w:snapToGrid w:val="0"/>
        <w:spacing w:before="0" w:line="576" w:lineRule="exact"/>
        <w:jc w:val="distribute"/>
        <w:textAlignment w:val="auto"/>
        <w:rPr>
          <w:rFonts w:hint="default" w:eastAsia="仿宋"/>
          <w:color w:val="auto"/>
          <w:sz w:val="32"/>
          <w:szCs w:val="32"/>
          <w:highlight w:val="none"/>
          <w:lang w:val="en-US" w:eastAsia="zh-CN"/>
        </w:rPr>
      </w:pPr>
      <w:r>
        <w:rPr>
          <w:rFonts w:hint="eastAsia"/>
          <w:color w:val="auto"/>
          <w:sz w:val="32"/>
          <w:szCs w:val="32"/>
          <w:highlight w:val="none"/>
        </w:rPr>
        <w:t>第一部分部门概况</w:t>
      </w:r>
      <w:r>
        <w:rPr>
          <w:rFonts w:hint="eastAsia"/>
          <w:color w:val="auto"/>
          <w:sz w:val="32"/>
          <w:szCs w:val="32"/>
          <w:highlight w:val="none"/>
          <w:lang w:eastAsia="zh-CN"/>
        </w:rPr>
        <w:t>………………………………………………</w:t>
      </w:r>
      <w:r>
        <w:rPr>
          <w:rFonts w:hint="eastAsia"/>
          <w:color w:val="auto"/>
          <w:sz w:val="32"/>
          <w:szCs w:val="32"/>
          <w:highlight w:val="none"/>
          <w:lang w:val="en-US" w:eastAsia="zh-CN"/>
        </w:rPr>
        <w:t>1</w:t>
      </w:r>
    </w:p>
    <w:p>
      <w:pPr>
        <w:pStyle w:val="10"/>
        <w:keepNext w:val="0"/>
        <w:keepLines w:val="0"/>
        <w:pageBreakBefore w:val="0"/>
        <w:kinsoku/>
        <w:wordWrap/>
        <w:overflowPunct/>
        <w:topLinePunct w:val="0"/>
        <w:autoSpaceDE/>
        <w:autoSpaceDN/>
        <w:bidi w:val="0"/>
        <w:adjustRightInd w:val="0"/>
        <w:snapToGrid w:val="0"/>
        <w:spacing w:before="0" w:line="576" w:lineRule="exact"/>
        <w:jc w:val="distribute"/>
        <w:textAlignment w:val="auto"/>
        <w:rPr>
          <w:rFonts w:hint="default" w:eastAsia="仿宋"/>
          <w:color w:val="auto"/>
          <w:sz w:val="32"/>
          <w:szCs w:val="32"/>
          <w:highlight w:val="none"/>
          <w:lang w:val="en-US" w:eastAsia="zh-CN"/>
        </w:rPr>
      </w:pPr>
      <w:r>
        <w:rPr>
          <w:rFonts w:hint="eastAsia"/>
          <w:color w:val="auto"/>
          <w:sz w:val="32"/>
          <w:szCs w:val="32"/>
          <w:highlight w:val="none"/>
        </w:rPr>
        <w:t>一、基本职能及主要工作</w:t>
      </w:r>
      <w:r>
        <w:rPr>
          <w:rFonts w:hint="eastAsia"/>
          <w:color w:val="auto"/>
          <w:sz w:val="32"/>
          <w:szCs w:val="32"/>
          <w:highlight w:val="none"/>
          <w:lang w:eastAsia="zh-CN"/>
        </w:rPr>
        <w:t>………………………………………</w:t>
      </w:r>
      <w:r>
        <w:rPr>
          <w:rFonts w:hint="eastAsia"/>
          <w:color w:val="auto"/>
          <w:sz w:val="32"/>
          <w:szCs w:val="32"/>
          <w:highlight w:val="none"/>
          <w:lang w:val="en-US" w:eastAsia="zh-CN"/>
        </w:rPr>
        <w:t>1</w:t>
      </w:r>
    </w:p>
    <w:p>
      <w:pPr>
        <w:pStyle w:val="10"/>
        <w:keepNext w:val="0"/>
        <w:keepLines w:val="0"/>
        <w:pageBreakBefore w:val="0"/>
        <w:kinsoku/>
        <w:wordWrap/>
        <w:overflowPunct/>
        <w:topLinePunct w:val="0"/>
        <w:autoSpaceDE/>
        <w:autoSpaceDN/>
        <w:bidi w:val="0"/>
        <w:adjustRightInd w:val="0"/>
        <w:snapToGrid w:val="0"/>
        <w:spacing w:before="0" w:line="576" w:lineRule="exact"/>
        <w:jc w:val="distribute"/>
        <w:textAlignment w:val="auto"/>
        <w:rPr>
          <w:rFonts w:hint="default"/>
          <w:color w:val="auto"/>
          <w:sz w:val="32"/>
          <w:szCs w:val="32"/>
          <w:highlight w:val="none"/>
          <w:lang w:val="en-US"/>
        </w:rPr>
      </w:pPr>
      <w:r>
        <w:rPr>
          <w:rFonts w:hint="eastAsia"/>
          <w:color w:val="auto"/>
          <w:sz w:val="32"/>
          <w:szCs w:val="32"/>
          <w:highlight w:val="none"/>
          <w:lang w:eastAsia="zh-CN"/>
        </w:rPr>
        <w:t>二、</w:t>
      </w:r>
      <w:r>
        <w:rPr>
          <w:rFonts w:hint="eastAsia"/>
          <w:color w:val="auto"/>
          <w:sz w:val="32"/>
          <w:szCs w:val="32"/>
          <w:highlight w:val="none"/>
        </w:rPr>
        <w:t>机构设置</w:t>
      </w:r>
      <w:r>
        <w:rPr>
          <w:rFonts w:hint="eastAsia"/>
          <w:color w:val="auto"/>
          <w:sz w:val="32"/>
          <w:szCs w:val="32"/>
          <w:highlight w:val="none"/>
          <w:lang w:eastAsia="zh-CN"/>
        </w:rPr>
        <w:t>……………………………………………………</w:t>
      </w:r>
      <w:r>
        <w:rPr>
          <w:rFonts w:hint="eastAsia"/>
          <w:color w:val="auto"/>
          <w:sz w:val="32"/>
          <w:szCs w:val="32"/>
          <w:highlight w:val="none"/>
          <w:lang w:val="en-US" w:eastAsia="zh-CN"/>
        </w:rPr>
        <w:t>14</w:t>
      </w:r>
    </w:p>
    <w:p>
      <w:pPr>
        <w:pStyle w:val="10"/>
        <w:keepNext w:val="0"/>
        <w:keepLines w:val="0"/>
        <w:pageBreakBefore w:val="0"/>
        <w:kinsoku/>
        <w:wordWrap/>
        <w:overflowPunct/>
        <w:topLinePunct w:val="0"/>
        <w:autoSpaceDE/>
        <w:autoSpaceDN/>
        <w:bidi w:val="0"/>
        <w:adjustRightInd w:val="0"/>
        <w:snapToGrid w:val="0"/>
        <w:spacing w:before="0" w:line="576" w:lineRule="exact"/>
        <w:jc w:val="distribute"/>
        <w:textAlignment w:val="auto"/>
        <w:rPr>
          <w:rFonts w:hint="default"/>
          <w:color w:val="auto"/>
          <w:sz w:val="32"/>
          <w:szCs w:val="32"/>
          <w:highlight w:val="none"/>
          <w:lang w:val="en-US"/>
        </w:rPr>
      </w:pPr>
      <w:r>
        <w:rPr>
          <w:rFonts w:hint="eastAsia"/>
          <w:color w:val="auto"/>
          <w:sz w:val="32"/>
          <w:szCs w:val="32"/>
          <w:highlight w:val="none"/>
        </w:rPr>
        <w:t>第二部分</w:t>
      </w:r>
      <w:r>
        <w:rPr>
          <w:rFonts w:hint="eastAsia"/>
          <w:color w:val="auto"/>
          <w:sz w:val="32"/>
          <w:szCs w:val="32"/>
          <w:highlight w:val="none"/>
          <w:lang w:val="en-US" w:eastAsia="zh-CN"/>
        </w:rPr>
        <w:t>2021年度</w:t>
      </w:r>
      <w:r>
        <w:rPr>
          <w:rFonts w:hint="eastAsia"/>
          <w:color w:val="auto"/>
          <w:sz w:val="32"/>
          <w:szCs w:val="32"/>
          <w:highlight w:val="none"/>
        </w:rPr>
        <w:t>部门决算情况说明</w:t>
      </w:r>
      <w:r>
        <w:rPr>
          <w:rFonts w:hint="eastAsia"/>
          <w:color w:val="auto"/>
          <w:sz w:val="32"/>
          <w:szCs w:val="32"/>
          <w:highlight w:val="none"/>
          <w:lang w:eastAsia="zh-CN"/>
        </w:rPr>
        <w:t>………………………</w:t>
      </w:r>
      <w:r>
        <w:rPr>
          <w:rFonts w:hint="eastAsia"/>
          <w:color w:val="auto"/>
          <w:sz w:val="32"/>
          <w:szCs w:val="32"/>
          <w:highlight w:val="none"/>
          <w:lang w:val="en-US" w:eastAsia="zh-CN"/>
        </w:rPr>
        <w:t>16</w:t>
      </w:r>
    </w:p>
    <w:p>
      <w:pPr>
        <w:pStyle w:val="10"/>
        <w:keepNext w:val="0"/>
        <w:keepLines w:val="0"/>
        <w:pageBreakBefore w:val="0"/>
        <w:kinsoku/>
        <w:wordWrap/>
        <w:overflowPunct/>
        <w:topLinePunct w:val="0"/>
        <w:autoSpaceDE/>
        <w:autoSpaceDN/>
        <w:bidi w:val="0"/>
        <w:adjustRightInd w:val="0"/>
        <w:snapToGrid w:val="0"/>
        <w:spacing w:before="0" w:line="576" w:lineRule="exact"/>
        <w:jc w:val="distribute"/>
        <w:textAlignment w:val="auto"/>
        <w:rPr>
          <w:rFonts w:hint="default"/>
          <w:color w:val="auto"/>
          <w:sz w:val="32"/>
          <w:szCs w:val="32"/>
          <w:highlight w:val="none"/>
          <w:lang w:val="en-US"/>
        </w:rPr>
      </w:pPr>
      <w:r>
        <w:rPr>
          <w:rFonts w:hint="eastAsia"/>
          <w:color w:val="auto"/>
          <w:sz w:val="32"/>
          <w:szCs w:val="32"/>
          <w:highlight w:val="none"/>
        </w:rPr>
        <w:t>一、收入支出决算总体情况说明</w:t>
      </w:r>
      <w:r>
        <w:rPr>
          <w:rFonts w:hint="eastAsia"/>
          <w:color w:val="auto"/>
          <w:sz w:val="32"/>
          <w:szCs w:val="32"/>
          <w:highlight w:val="none"/>
          <w:lang w:eastAsia="zh-CN"/>
        </w:rPr>
        <w:t>………………………………</w:t>
      </w:r>
      <w:r>
        <w:rPr>
          <w:rFonts w:hint="eastAsia"/>
          <w:color w:val="auto"/>
          <w:sz w:val="32"/>
          <w:szCs w:val="32"/>
          <w:highlight w:val="none"/>
          <w:lang w:val="en-US" w:eastAsia="zh-CN"/>
        </w:rPr>
        <w:t>16</w:t>
      </w:r>
    </w:p>
    <w:p>
      <w:pPr>
        <w:pStyle w:val="10"/>
        <w:keepNext w:val="0"/>
        <w:keepLines w:val="0"/>
        <w:pageBreakBefore w:val="0"/>
        <w:kinsoku/>
        <w:wordWrap/>
        <w:overflowPunct/>
        <w:topLinePunct w:val="0"/>
        <w:autoSpaceDE/>
        <w:autoSpaceDN/>
        <w:bidi w:val="0"/>
        <w:adjustRightInd w:val="0"/>
        <w:snapToGrid w:val="0"/>
        <w:spacing w:before="0" w:line="576" w:lineRule="exact"/>
        <w:jc w:val="distribute"/>
        <w:textAlignment w:val="auto"/>
        <w:rPr>
          <w:rFonts w:hint="default"/>
          <w:color w:val="auto"/>
          <w:sz w:val="32"/>
          <w:szCs w:val="32"/>
          <w:highlight w:val="none"/>
          <w:lang w:val="en-US"/>
        </w:rPr>
      </w:pPr>
      <w:r>
        <w:rPr>
          <w:rFonts w:hint="eastAsia"/>
          <w:color w:val="auto"/>
          <w:sz w:val="32"/>
          <w:szCs w:val="32"/>
          <w:highlight w:val="none"/>
        </w:rPr>
        <w:t>二、收入决算情况说明</w:t>
      </w:r>
      <w:r>
        <w:rPr>
          <w:rFonts w:hint="eastAsia"/>
          <w:color w:val="auto"/>
          <w:sz w:val="32"/>
          <w:szCs w:val="32"/>
          <w:highlight w:val="none"/>
          <w:lang w:eastAsia="zh-CN"/>
        </w:rPr>
        <w:t>…………………………………………</w:t>
      </w:r>
      <w:r>
        <w:rPr>
          <w:rFonts w:hint="eastAsia"/>
          <w:color w:val="auto"/>
          <w:sz w:val="32"/>
          <w:szCs w:val="32"/>
          <w:highlight w:val="none"/>
          <w:lang w:val="en-US" w:eastAsia="zh-CN"/>
        </w:rPr>
        <w:t>16</w:t>
      </w:r>
    </w:p>
    <w:p>
      <w:pPr>
        <w:pStyle w:val="10"/>
        <w:keepNext w:val="0"/>
        <w:keepLines w:val="0"/>
        <w:pageBreakBefore w:val="0"/>
        <w:kinsoku/>
        <w:wordWrap/>
        <w:overflowPunct/>
        <w:topLinePunct w:val="0"/>
        <w:autoSpaceDE/>
        <w:autoSpaceDN/>
        <w:bidi w:val="0"/>
        <w:adjustRightInd w:val="0"/>
        <w:snapToGrid w:val="0"/>
        <w:spacing w:before="0" w:line="576" w:lineRule="exact"/>
        <w:jc w:val="distribute"/>
        <w:textAlignment w:val="auto"/>
        <w:rPr>
          <w:rFonts w:hint="default"/>
          <w:color w:val="auto"/>
          <w:sz w:val="32"/>
          <w:szCs w:val="32"/>
          <w:highlight w:val="none"/>
          <w:lang w:val="en-US"/>
        </w:rPr>
      </w:pPr>
      <w:r>
        <w:rPr>
          <w:rFonts w:hint="eastAsia"/>
          <w:color w:val="auto"/>
          <w:sz w:val="32"/>
          <w:szCs w:val="32"/>
          <w:highlight w:val="none"/>
        </w:rPr>
        <w:t>三、支出决算情况说明</w:t>
      </w:r>
      <w:r>
        <w:rPr>
          <w:rFonts w:hint="eastAsia"/>
          <w:color w:val="auto"/>
          <w:sz w:val="32"/>
          <w:szCs w:val="32"/>
          <w:highlight w:val="none"/>
          <w:lang w:eastAsia="zh-CN"/>
        </w:rPr>
        <w:t>…………………………………………</w:t>
      </w:r>
      <w:r>
        <w:rPr>
          <w:rFonts w:hint="eastAsia"/>
          <w:color w:val="auto"/>
          <w:sz w:val="32"/>
          <w:szCs w:val="32"/>
          <w:highlight w:val="none"/>
          <w:lang w:val="en-US" w:eastAsia="zh-CN"/>
        </w:rPr>
        <w:t>17</w:t>
      </w:r>
    </w:p>
    <w:p>
      <w:pPr>
        <w:pStyle w:val="10"/>
        <w:keepNext w:val="0"/>
        <w:keepLines w:val="0"/>
        <w:pageBreakBefore w:val="0"/>
        <w:kinsoku/>
        <w:wordWrap/>
        <w:overflowPunct/>
        <w:topLinePunct w:val="0"/>
        <w:autoSpaceDE/>
        <w:autoSpaceDN/>
        <w:bidi w:val="0"/>
        <w:adjustRightInd w:val="0"/>
        <w:snapToGrid w:val="0"/>
        <w:spacing w:before="0" w:line="576" w:lineRule="exact"/>
        <w:jc w:val="distribute"/>
        <w:textAlignment w:val="auto"/>
        <w:rPr>
          <w:rFonts w:hint="default"/>
          <w:color w:val="auto"/>
          <w:sz w:val="32"/>
          <w:szCs w:val="32"/>
          <w:highlight w:val="none"/>
          <w:lang w:val="en-US"/>
        </w:rPr>
      </w:pPr>
      <w:r>
        <w:rPr>
          <w:rFonts w:hint="eastAsia"/>
          <w:color w:val="auto"/>
          <w:sz w:val="32"/>
          <w:szCs w:val="32"/>
          <w:highlight w:val="none"/>
        </w:rPr>
        <w:t>四、财政拨款收入支出决算总体情况说明</w:t>
      </w:r>
      <w:r>
        <w:rPr>
          <w:rFonts w:hint="eastAsia"/>
          <w:color w:val="auto"/>
          <w:sz w:val="32"/>
          <w:szCs w:val="32"/>
          <w:highlight w:val="none"/>
          <w:lang w:eastAsia="zh-CN"/>
        </w:rPr>
        <w:t>……………………</w:t>
      </w:r>
      <w:r>
        <w:rPr>
          <w:rFonts w:hint="eastAsia"/>
          <w:color w:val="auto"/>
          <w:sz w:val="32"/>
          <w:szCs w:val="32"/>
          <w:highlight w:val="none"/>
          <w:lang w:val="en-US" w:eastAsia="zh-CN"/>
        </w:rPr>
        <w:t>18</w:t>
      </w:r>
    </w:p>
    <w:p>
      <w:pPr>
        <w:pStyle w:val="10"/>
        <w:keepNext w:val="0"/>
        <w:keepLines w:val="0"/>
        <w:pageBreakBefore w:val="0"/>
        <w:kinsoku/>
        <w:wordWrap/>
        <w:overflowPunct/>
        <w:topLinePunct w:val="0"/>
        <w:autoSpaceDE/>
        <w:autoSpaceDN/>
        <w:bidi w:val="0"/>
        <w:adjustRightInd w:val="0"/>
        <w:snapToGrid w:val="0"/>
        <w:spacing w:before="0" w:line="576" w:lineRule="exact"/>
        <w:jc w:val="distribute"/>
        <w:textAlignment w:val="auto"/>
        <w:rPr>
          <w:rFonts w:hint="eastAsia"/>
          <w:color w:val="auto"/>
          <w:sz w:val="32"/>
          <w:szCs w:val="32"/>
          <w:highlight w:val="none"/>
        </w:rPr>
      </w:pPr>
      <w:r>
        <w:rPr>
          <w:rFonts w:hint="eastAsia"/>
          <w:color w:val="auto"/>
          <w:sz w:val="32"/>
          <w:szCs w:val="32"/>
          <w:highlight w:val="none"/>
        </w:rPr>
        <w:t>五、一般公共预算财政拨款支出决算情况说明</w:t>
      </w:r>
      <w:r>
        <w:rPr>
          <w:rFonts w:hint="eastAsia"/>
          <w:color w:val="auto"/>
          <w:sz w:val="32"/>
          <w:szCs w:val="32"/>
          <w:highlight w:val="none"/>
          <w:lang w:eastAsia="zh-CN"/>
        </w:rPr>
        <w:t>………………</w:t>
      </w:r>
      <w:r>
        <w:rPr>
          <w:rFonts w:hint="eastAsia"/>
          <w:color w:val="auto"/>
          <w:sz w:val="32"/>
          <w:szCs w:val="32"/>
          <w:highlight w:val="none"/>
          <w:lang w:val="en-US" w:eastAsia="zh-CN"/>
        </w:rPr>
        <w:t>18</w:t>
      </w:r>
    </w:p>
    <w:p>
      <w:pPr>
        <w:pStyle w:val="10"/>
        <w:keepNext w:val="0"/>
        <w:keepLines w:val="0"/>
        <w:pageBreakBefore w:val="0"/>
        <w:kinsoku/>
        <w:wordWrap/>
        <w:overflowPunct/>
        <w:topLinePunct w:val="0"/>
        <w:autoSpaceDE/>
        <w:autoSpaceDN/>
        <w:bidi w:val="0"/>
        <w:adjustRightInd w:val="0"/>
        <w:snapToGrid w:val="0"/>
        <w:spacing w:before="0" w:line="576" w:lineRule="exact"/>
        <w:jc w:val="distribute"/>
        <w:textAlignment w:val="auto"/>
        <w:rPr>
          <w:rFonts w:hint="default"/>
          <w:color w:val="auto"/>
          <w:sz w:val="32"/>
          <w:szCs w:val="32"/>
          <w:highlight w:val="none"/>
          <w:lang w:val="en-US"/>
        </w:rPr>
      </w:pPr>
      <w:r>
        <w:rPr>
          <w:rFonts w:hint="eastAsia"/>
          <w:color w:val="auto"/>
          <w:sz w:val="32"/>
          <w:szCs w:val="32"/>
          <w:highlight w:val="none"/>
        </w:rPr>
        <w:t>六、一般公共预算财政拨款基本支出决算情况说明</w:t>
      </w:r>
      <w:r>
        <w:rPr>
          <w:rFonts w:hint="eastAsia"/>
          <w:color w:val="auto"/>
          <w:sz w:val="32"/>
          <w:szCs w:val="32"/>
          <w:highlight w:val="none"/>
          <w:lang w:eastAsia="zh-CN"/>
        </w:rPr>
        <w:t>…………</w:t>
      </w:r>
      <w:r>
        <w:rPr>
          <w:rFonts w:hint="eastAsia"/>
          <w:color w:val="auto"/>
          <w:sz w:val="32"/>
          <w:szCs w:val="32"/>
          <w:highlight w:val="none"/>
          <w:lang w:val="en-US" w:eastAsia="zh-CN"/>
        </w:rPr>
        <w:t>23</w:t>
      </w:r>
    </w:p>
    <w:p>
      <w:pPr>
        <w:pStyle w:val="10"/>
        <w:keepNext w:val="0"/>
        <w:keepLines w:val="0"/>
        <w:pageBreakBefore w:val="0"/>
        <w:kinsoku/>
        <w:wordWrap/>
        <w:overflowPunct/>
        <w:topLinePunct w:val="0"/>
        <w:autoSpaceDE/>
        <w:autoSpaceDN/>
        <w:bidi w:val="0"/>
        <w:adjustRightInd w:val="0"/>
        <w:snapToGrid w:val="0"/>
        <w:spacing w:before="0" w:line="576" w:lineRule="exact"/>
        <w:jc w:val="distribute"/>
        <w:textAlignment w:val="auto"/>
        <w:rPr>
          <w:rFonts w:hint="eastAsia"/>
          <w:color w:val="auto"/>
          <w:sz w:val="32"/>
          <w:szCs w:val="32"/>
          <w:highlight w:val="none"/>
        </w:rPr>
      </w:pPr>
      <w:r>
        <w:rPr>
          <w:rFonts w:hint="eastAsia"/>
          <w:color w:val="auto"/>
          <w:sz w:val="32"/>
          <w:szCs w:val="32"/>
          <w:highlight w:val="none"/>
        </w:rPr>
        <w:t>七、</w:t>
      </w:r>
      <w:r>
        <w:rPr>
          <w:rFonts w:hint="eastAsia"/>
          <w:color w:val="auto"/>
          <w:sz w:val="32"/>
          <w:szCs w:val="32"/>
          <w:highlight w:val="none"/>
          <w:lang w:eastAsia="zh-CN"/>
        </w:rPr>
        <w:t>“</w:t>
      </w:r>
      <w:r>
        <w:rPr>
          <w:rFonts w:hint="eastAsia"/>
          <w:color w:val="auto"/>
          <w:sz w:val="32"/>
          <w:szCs w:val="32"/>
          <w:highlight w:val="none"/>
        </w:rPr>
        <w:t>三公”经费财政拨款支出决算情况说明</w:t>
      </w:r>
      <w:r>
        <w:rPr>
          <w:rFonts w:hint="eastAsia"/>
          <w:color w:val="auto"/>
          <w:sz w:val="32"/>
          <w:szCs w:val="32"/>
          <w:highlight w:val="none"/>
          <w:lang w:eastAsia="zh-CN"/>
        </w:rPr>
        <w:t>………………</w:t>
      </w:r>
      <w:r>
        <w:rPr>
          <w:rFonts w:hint="eastAsia"/>
          <w:color w:val="auto"/>
          <w:sz w:val="32"/>
          <w:szCs w:val="32"/>
          <w:highlight w:val="none"/>
          <w:lang w:val="en-US" w:eastAsia="zh-CN"/>
        </w:rPr>
        <w:t>23</w:t>
      </w:r>
    </w:p>
    <w:p>
      <w:pPr>
        <w:pStyle w:val="10"/>
        <w:keepNext w:val="0"/>
        <w:keepLines w:val="0"/>
        <w:pageBreakBefore w:val="0"/>
        <w:kinsoku/>
        <w:wordWrap/>
        <w:overflowPunct/>
        <w:topLinePunct w:val="0"/>
        <w:autoSpaceDE/>
        <w:autoSpaceDN/>
        <w:bidi w:val="0"/>
        <w:adjustRightInd w:val="0"/>
        <w:snapToGrid w:val="0"/>
        <w:spacing w:before="0" w:line="576" w:lineRule="exact"/>
        <w:jc w:val="distribute"/>
        <w:textAlignment w:val="auto"/>
        <w:rPr>
          <w:rFonts w:hint="default"/>
          <w:color w:val="auto"/>
          <w:sz w:val="32"/>
          <w:szCs w:val="32"/>
          <w:highlight w:val="none"/>
          <w:lang w:val="en-US"/>
        </w:rPr>
      </w:pPr>
      <w:r>
        <w:rPr>
          <w:rFonts w:hint="eastAsia"/>
          <w:color w:val="auto"/>
          <w:sz w:val="32"/>
          <w:szCs w:val="32"/>
          <w:highlight w:val="none"/>
        </w:rPr>
        <w:t>八、政府性基金预算支出决算情况说明</w:t>
      </w:r>
      <w:r>
        <w:rPr>
          <w:rFonts w:hint="eastAsia"/>
          <w:color w:val="auto"/>
          <w:sz w:val="32"/>
          <w:szCs w:val="32"/>
          <w:highlight w:val="none"/>
          <w:lang w:eastAsia="zh-CN"/>
        </w:rPr>
        <w:t>………………………</w:t>
      </w:r>
      <w:r>
        <w:rPr>
          <w:rFonts w:hint="eastAsia"/>
          <w:color w:val="auto"/>
          <w:sz w:val="32"/>
          <w:szCs w:val="32"/>
          <w:highlight w:val="none"/>
          <w:lang w:val="en-US" w:eastAsia="zh-CN"/>
        </w:rPr>
        <w:t>26</w:t>
      </w:r>
    </w:p>
    <w:p>
      <w:pPr>
        <w:pStyle w:val="10"/>
        <w:keepNext w:val="0"/>
        <w:keepLines w:val="0"/>
        <w:pageBreakBefore w:val="0"/>
        <w:kinsoku/>
        <w:wordWrap/>
        <w:overflowPunct/>
        <w:topLinePunct w:val="0"/>
        <w:autoSpaceDE/>
        <w:autoSpaceDN/>
        <w:bidi w:val="0"/>
        <w:adjustRightInd w:val="0"/>
        <w:snapToGrid w:val="0"/>
        <w:spacing w:before="0" w:line="576" w:lineRule="exact"/>
        <w:jc w:val="distribute"/>
        <w:textAlignment w:val="auto"/>
        <w:rPr>
          <w:rFonts w:hint="eastAsia"/>
          <w:color w:val="auto"/>
          <w:sz w:val="32"/>
          <w:szCs w:val="32"/>
          <w:highlight w:val="none"/>
        </w:rPr>
      </w:pPr>
      <w:r>
        <w:rPr>
          <w:rFonts w:hint="eastAsia"/>
          <w:color w:val="auto"/>
          <w:sz w:val="32"/>
          <w:szCs w:val="32"/>
          <w:highlight w:val="none"/>
        </w:rPr>
        <w:t>九、</w:t>
      </w:r>
      <w:r>
        <w:rPr>
          <w:rFonts w:hint="eastAsia"/>
          <w:color w:val="auto"/>
          <w:sz w:val="32"/>
          <w:szCs w:val="32"/>
          <w:highlight w:val="none"/>
          <w:lang w:eastAsia="zh-CN"/>
        </w:rPr>
        <w:t>国</w:t>
      </w:r>
      <w:r>
        <w:rPr>
          <w:rFonts w:hint="eastAsia"/>
          <w:color w:val="auto"/>
          <w:sz w:val="32"/>
          <w:szCs w:val="32"/>
          <w:highlight w:val="none"/>
        </w:rPr>
        <w:t>有资本经营预算支出决算情况说明</w:t>
      </w:r>
      <w:r>
        <w:rPr>
          <w:rFonts w:hint="eastAsia"/>
          <w:color w:val="auto"/>
          <w:sz w:val="32"/>
          <w:szCs w:val="32"/>
          <w:highlight w:val="none"/>
          <w:lang w:eastAsia="zh-CN"/>
        </w:rPr>
        <w:t>……………………</w:t>
      </w:r>
      <w:r>
        <w:rPr>
          <w:rFonts w:hint="eastAsia"/>
          <w:color w:val="auto"/>
          <w:sz w:val="32"/>
          <w:szCs w:val="32"/>
          <w:highlight w:val="none"/>
          <w:lang w:val="en-US" w:eastAsia="zh-CN"/>
        </w:rPr>
        <w:t>26</w:t>
      </w:r>
    </w:p>
    <w:p>
      <w:pPr>
        <w:pStyle w:val="10"/>
        <w:keepNext w:val="0"/>
        <w:keepLines w:val="0"/>
        <w:pageBreakBefore w:val="0"/>
        <w:kinsoku/>
        <w:wordWrap/>
        <w:overflowPunct/>
        <w:topLinePunct w:val="0"/>
        <w:autoSpaceDE/>
        <w:autoSpaceDN/>
        <w:bidi w:val="0"/>
        <w:adjustRightInd w:val="0"/>
        <w:snapToGrid w:val="0"/>
        <w:spacing w:before="0" w:line="576" w:lineRule="exact"/>
        <w:jc w:val="distribute"/>
        <w:textAlignment w:val="auto"/>
        <w:rPr>
          <w:rFonts w:hint="eastAsia"/>
          <w:color w:val="auto"/>
          <w:sz w:val="32"/>
          <w:szCs w:val="32"/>
          <w:highlight w:val="none"/>
        </w:rPr>
      </w:pPr>
      <w:r>
        <w:rPr>
          <w:rFonts w:hint="eastAsia"/>
          <w:color w:val="auto"/>
          <w:sz w:val="32"/>
          <w:szCs w:val="32"/>
          <w:highlight w:val="none"/>
          <w:lang w:eastAsia="zh-CN"/>
        </w:rPr>
        <w:t>十</w:t>
      </w:r>
      <w:r>
        <w:rPr>
          <w:rFonts w:hint="eastAsia"/>
          <w:color w:val="auto"/>
          <w:sz w:val="32"/>
          <w:szCs w:val="32"/>
          <w:highlight w:val="none"/>
        </w:rPr>
        <w:t>、</w:t>
      </w:r>
      <w:r>
        <w:rPr>
          <w:rFonts w:hint="eastAsia"/>
          <w:color w:val="auto"/>
          <w:sz w:val="32"/>
          <w:szCs w:val="32"/>
          <w:highlight w:val="none"/>
          <w:lang w:val="en-US" w:eastAsia="zh-CN"/>
        </w:rPr>
        <w:t>预算绩效管理情况</w:t>
      </w:r>
      <w:r>
        <w:rPr>
          <w:rFonts w:hint="eastAsia"/>
          <w:color w:val="auto"/>
          <w:sz w:val="32"/>
          <w:szCs w:val="32"/>
          <w:highlight w:val="none"/>
          <w:lang w:eastAsia="zh-CN"/>
        </w:rPr>
        <w:t>…………………………………………</w:t>
      </w:r>
      <w:r>
        <w:rPr>
          <w:rFonts w:hint="eastAsia"/>
          <w:color w:val="auto"/>
          <w:sz w:val="32"/>
          <w:szCs w:val="32"/>
          <w:highlight w:val="none"/>
          <w:lang w:val="en-US" w:eastAsia="zh-CN"/>
        </w:rPr>
        <w:t>26</w:t>
      </w:r>
    </w:p>
    <w:p>
      <w:pPr>
        <w:pStyle w:val="10"/>
        <w:keepNext w:val="0"/>
        <w:keepLines w:val="0"/>
        <w:pageBreakBefore w:val="0"/>
        <w:kinsoku/>
        <w:wordWrap/>
        <w:overflowPunct/>
        <w:topLinePunct w:val="0"/>
        <w:autoSpaceDE/>
        <w:autoSpaceDN/>
        <w:bidi w:val="0"/>
        <w:adjustRightInd w:val="0"/>
        <w:snapToGrid w:val="0"/>
        <w:spacing w:before="0" w:line="576" w:lineRule="exact"/>
        <w:jc w:val="distribute"/>
        <w:textAlignment w:val="auto"/>
        <w:rPr>
          <w:rFonts w:hint="default"/>
          <w:color w:val="auto"/>
          <w:sz w:val="32"/>
          <w:szCs w:val="32"/>
          <w:highlight w:val="none"/>
          <w:lang w:val="en-US" w:eastAsia="zh-CN"/>
        </w:rPr>
      </w:pPr>
      <w:r>
        <w:rPr>
          <w:rFonts w:hint="eastAsia"/>
          <w:color w:val="auto"/>
          <w:sz w:val="32"/>
          <w:szCs w:val="32"/>
          <w:highlight w:val="none"/>
          <w:lang w:val="en-US" w:eastAsia="zh-CN"/>
        </w:rPr>
        <w:t>十一、</w:t>
      </w:r>
      <w:r>
        <w:rPr>
          <w:rFonts w:hint="eastAsia"/>
          <w:color w:val="auto"/>
          <w:sz w:val="32"/>
          <w:szCs w:val="32"/>
          <w:highlight w:val="none"/>
        </w:rPr>
        <w:t>其他重要事项的情况说明</w:t>
      </w:r>
      <w:r>
        <w:rPr>
          <w:rFonts w:hint="eastAsia"/>
          <w:color w:val="auto"/>
          <w:sz w:val="32"/>
          <w:szCs w:val="32"/>
          <w:highlight w:val="none"/>
          <w:lang w:eastAsia="zh-CN"/>
        </w:rPr>
        <w:t>…………………………………</w:t>
      </w:r>
      <w:r>
        <w:rPr>
          <w:rFonts w:hint="eastAsia"/>
          <w:color w:val="auto"/>
          <w:sz w:val="32"/>
          <w:szCs w:val="32"/>
          <w:highlight w:val="none"/>
          <w:lang w:val="en-US" w:eastAsia="zh-CN"/>
        </w:rPr>
        <w:t>26</w:t>
      </w:r>
    </w:p>
    <w:p>
      <w:pPr>
        <w:pStyle w:val="10"/>
        <w:keepNext w:val="0"/>
        <w:keepLines w:val="0"/>
        <w:pageBreakBefore w:val="0"/>
        <w:kinsoku/>
        <w:wordWrap/>
        <w:overflowPunct/>
        <w:topLinePunct w:val="0"/>
        <w:autoSpaceDE/>
        <w:autoSpaceDN/>
        <w:bidi w:val="0"/>
        <w:adjustRightInd w:val="0"/>
        <w:snapToGrid w:val="0"/>
        <w:spacing w:before="0" w:line="576" w:lineRule="exact"/>
        <w:jc w:val="distribute"/>
        <w:textAlignment w:val="auto"/>
        <w:rPr>
          <w:rFonts w:hint="default"/>
          <w:color w:val="auto"/>
          <w:sz w:val="32"/>
          <w:szCs w:val="32"/>
          <w:highlight w:val="none"/>
          <w:lang w:val="en-US"/>
        </w:rPr>
      </w:pPr>
      <w:r>
        <w:rPr>
          <w:rFonts w:hint="eastAsia"/>
          <w:color w:val="auto"/>
          <w:sz w:val="32"/>
          <w:szCs w:val="32"/>
          <w:highlight w:val="none"/>
        </w:rPr>
        <w:t>第三部分名词解释</w:t>
      </w:r>
      <w:r>
        <w:rPr>
          <w:rFonts w:hint="eastAsia"/>
          <w:color w:val="auto"/>
          <w:sz w:val="32"/>
          <w:szCs w:val="32"/>
          <w:highlight w:val="none"/>
          <w:lang w:eastAsia="zh-CN"/>
        </w:rPr>
        <w:t>………………………………………………</w:t>
      </w:r>
      <w:r>
        <w:rPr>
          <w:rFonts w:hint="eastAsia"/>
          <w:color w:val="auto"/>
          <w:sz w:val="32"/>
          <w:szCs w:val="32"/>
          <w:highlight w:val="none"/>
          <w:lang w:val="en-US" w:eastAsia="zh-CN"/>
        </w:rPr>
        <w:t>28</w:t>
      </w:r>
    </w:p>
    <w:p>
      <w:pPr>
        <w:pStyle w:val="10"/>
        <w:keepNext w:val="0"/>
        <w:keepLines w:val="0"/>
        <w:pageBreakBefore w:val="0"/>
        <w:kinsoku/>
        <w:wordWrap/>
        <w:overflowPunct/>
        <w:topLinePunct w:val="0"/>
        <w:autoSpaceDE/>
        <w:autoSpaceDN/>
        <w:bidi w:val="0"/>
        <w:adjustRightInd w:val="0"/>
        <w:snapToGrid w:val="0"/>
        <w:spacing w:before="0" w:line="576" w:lineRule="exact"/>
        <w:jc w:val="distribute"/>
        <w:textAlignment w:val="auto"/>
        <w:rPr>
          <w:rFonts w:hint="default"/>
          <w:color w:val="auto"/>
          <w:sz w:val="32"/>
          <w:szCs w:val="32"/>
          <w:highlight w:val="none"/>
          <w:lang w:val="en-US"/>
        </w:rPr>
      </w:pPr>
      <w:r>
        <w:rPr>
          <w:rFonts w:hint="eastAsia"/>
          <w:color w:val="auto"/>
          <w:sz w:val="32"/>
          <w:szCs w:val="32"/>
          <w:highlight w:val="none"/>
        </w:rPr>
        <w:t>第四部分附件</w:t>
      </w:r>
      <w:r>
        <w:rPr>
          <w:rFonts w:hint="eastAsia"/>
          <w:color w:val="auto"/>
          <w:sz w:val="32"/>
          <w:szCs w:val="32"/>
          <w:highlight w:val="none"/>
          <w:lang w:eastAsia="zh-CN"/>
        </w:rPr>
        <w:t>…………………………………………………</w:t>
      </w:r>
      <w:r>
        <w:rPr>
          <w:rFonts w:hint="eastAsia"/>
          <w:color w:val="auto"/>
          <w:sz w:val="32"/>
          <w:szCs w:val="32"/>
          <w:highlight w:val="none"/>
          <w:lang w:val="en-US" w:eastAsia="zh-CN"/>
        </w:rPr>
        <w:t>32</w:t>
      </w:r>
    </w:p>
    <w:p>
      <w:pPr>
        <w:pStyle w:val="10"/>
        <w:keepNext w:val="0"/>
        <w:keepLines w:val="0"/>
        <w:pageBreakBefore w:val="0"/>
        <w:kinsoku/>
        <w:wordWrap/>
        <w:overflowPunct/>
        <w:topLinePunct w:val="0"/>
        <w:autoSpaceDE/>
        <w:autoSpaceDN/>
        <w:bidi w:val="0"/>
        <w:adjustRightInd w:val="0"/>
        <w:snapToGrid w:val="0"/>
        <w:spacing w:before="0" w:line="576" w:lineRule="exact"/>
        <w:jc w:val="distribute"/>
        <w:textAlignment w:val="auto"/>
        <w:rPr>
          <w:rFonts w:hint="default"/>
          <w:color w:val="auto"/>
          <w:sz w:val="32"/>
          <w:szCs w:val="32"/>
          <w:highlight w:val="none"/>
          <w:lang w:val="en-US"/>
        </w:rPr>
      </w:pPr>
      <w:r>
        <w:rPr>
          <w:rFonts w:hint="eastAsia"/>
          <w:color w:val="auto"/>
          <w:sz w:val="32"/>
          <w:szCs w:val="32"/>
          <w:highlight w:val="none"/>
        </w:rPr>
        <w:t>第五部分附表</w:t>
      </w:r>
      <w:r>
        <w:rPr>
          <w:rFonts w:hint="eastAsia"/>
          <w:color w:val="auto"/>
          <w:sz w:val="32"/>
          <w:szCs w:val="32"/>
          <w:highlight w:val="none"/>
          <w:lang w:eastAsia="zh-CN"/>
        </w:rPr>
        <w:t>…………………………………………………</w:t>
      </w:r>
      <w:r>
        <w:rPr>
          <w:rFonts w:hint="eastAsia"/>
          <w:color w:val="auto"/>
          <w:sz w:val="32"/>
          <w:szCs w:val="32"/>
          <w:highlight w:val="none"/>
          <w:lang w:val="en-US" w:eastAsia="zh-CN"/>
        </w:rPr>
        <w:t>87</w:t>
      </w:r>
    </w:p>
    <w:p>
      <w:pPr>
        <w:pStyle w:val="10"/>
        <w:keepNext w:val="0"/>
        <w:keepLines w:val="0"/>
        <w:pageBreakBefore w:val="0"/>
        <w:kinsoku/>
        <w:wordWrap/>
        <w:overflowPunct/>
        <w:topLinePunct w:val="0"/>
        <w:autoSpaceDE/>
        <w:autoSpaceDN/>
        <w:bidi w:val="0"/>
        <w:adjustRightInd w:val="0"/>
        <w:snapToGrid w:val="0"/>
        <w:spacing w:before="0" w:line="576" w:lineRule="exact"/>
        <w:jc w:val="left"/>
        <w:textAlignment w:val="auto"/>
        <w:rPr>
          <w:rFonts w:hint="eastAsia"/>
          <w:color w:val="auto"/>
          <w:sz w:val="32"/>
          <w:szCs w:val="32"/>
          <w:highlight w:val="none"/>
        </w:rPr>
      </w:pPr>
      <w:r>
        <w:rPr>
          <w:rFonts w:hint="eastAsia"/>
          <w:color w:val="auto"/>
          <w:sz w:val="32"/>
          <w:szCs w:val="32"/>
          <w:highlight w:val="none"/>
        </w:rPr>
        <w:t>一、收入支出决算总表</w:t>
      </w:r>
    </w:p>
    <w:p>
      <w:pPr>
        <w:pStyle w:val="10"/>
        <w:keepNext w:val="0"/>
        <w:keepLines w:val="0"/>
        <w:pageBreakBefore w:val="0"/>
        <w:kinsoku/>
        <w:wordWrap/>
        <w:overflowPunct/>
        <w:topLinePunct w:val="0"/>
        <w:autoSpaceDE/>
        <w:autoSpaceDN/>
        <w:bidi w:val="0"/>
        <w:adjustRightInd w:val="0"/>
        <w:snapToGrid w:val="0"/>
        <w:spacing w:before="0" w:line="576" w:lineRule="exact"/>
        <w:jc w:val="left"/>
        <w:textAlignment w:val="auto"/>
        <w:rPr>
          <w:rFonts w:hint="eastAsia"/>
          <w:color w:val="auto"/>
          <w:sz w:val="32"/>
          <w:szCs w:val="32"/>
          <w:highlight w:val="none"/>
        </w:rPr>
      </w:pPr>
      <w:r>
        <w:rPr>
          <w:rFonts w:hint="eastAsia"/>
          <w:color w:val="auto"/>
          <w:sz w:val="32"/>
          <w:szCs w:val="32"/>
          <w:highlight w:val="none"/>
        </w:rPr>
        <w:t>二、收入决算表</w:t>
      </w:r>
    </w:p>
    <w:p>
      <w:pPr>
        <w:pStyle w:val="10"/>
        <w:keepNext w:val="0"/>
        <w:keepLines w:val="0"/>
        <w:pageBreakBefore w:val="0"/>
        <w:kinsoku/>
        <w:wordWrap/>
        <w:overflowPunct/>
        <w:topLinePunct w:val="0"/>
        <w:autoSpaceDE/>
        <w:autoSpaceDN/>
        <w:bidi w:val="0"/>
        <w:adjustRightInd w:val="0"/>
        <w:snapToGrid w:val="0"/>
        <w:spacing w:before="0" w:line="576" w:lineRule="exact"/>
        <w:jc w:val="left"/>
        <w:textAlignment w:val="auto"/>
        <w:rPr>
          <w:rFonts w:hint="eastAsia"/>
          <w:color w:val="auto"/>
          <w:sz w:val="32"/>
          <w:szCs w:val="32"/>
          <w:highlight w:val="none"/>
        </w:rPr>
      </w:pPr>
      <w:r>
        <w:rPr>
          <w:rFonts w:hint="eastAsia"/>
          <w:color w:val="auto"/>
          <w:sz w:val="32"/>
          <w:szCs w:val="32"/>
          <w:highlight w:val="none"/>
        </w:rPr>
        <w:t>三、支出决算表</w:t>
      </w:r>
    </w:p>
    <w:p>
      <w:pPr>
        <w:pStyle w:val="10"/>
        <w:keepNext w:val="0"/>
        <w:keepLines w:val="0"/>
        <w:pageBreakBefore w:val="0"/>
        <w:kinsoku/>
        <w:wordWrap/>
        <w:overflowPunct/>
        <w:topLinePunct w:val="0"/>
        <w:autoSpaceDE/>
        <w:autoSpaceDN/>
        <w:bidi w:val="0"/>
        <w:adjustRightInd w:val="0"/>
        <w:snapToGrid w:val="0"/>
        <w:spacing w:before="0" w:line="576" w:lineRule="exact"/>
        <w:jc w:val="left"/>
        <w:textAlignment w:val="auto"/>
        <w:rPr>
          <w:rFonts w:hint="eastAsia"/>
          <w:color w:val="auto"/>
          <w:sz w:val="32"/>
          <w:szCs w:val="32"/>
          <w:highlight w:val="none"/>
        </w:rPr>
      </w:pPr>
      <w:r>
        <w:rPr>
          <w:rFonts w:hint="eastAsia"/>
          <w:color w:val="auto"/>
          <w:sz w:val="32"/>
          <w:szCs w:val="32"/>
          <w:highlight w:val="none"/>
        </w:rPr>
        <w:t>四、财政拨款收入支出决算总表</w:t>
      </w:r>
    </w:p>
    <w:p>
      <w:pPr>
        <w:pStyle w:val="10"/>
        <w:keepNext w:val="0"/>
        <w:keepLines w:val="0"/>
        <w:pageBreakBefore w:val="0"/>
        <w:kinsoku/>
        <w:wordWrap/>
        <w:overflowPunct/>
        <w:topLinePunct w:val="0"/>
        <w:autoSpaceDE/>
        <w:autoSpaceDN/>
        <w:bidi w:val="0"/>
        <w:adjustRightInd w:val="0"/>
        <w:snapToGrid w:val="0"/>
        <w:spacing w:before="0" w:line="576" w:lineRule="exact"/>
        <w:jc w:val="left"/>
        <w:textAlignment w:val="auto"/>
        <w:rPr>
          <w:rFonts w:hint="eastAsia"/>
          <w:color w:val="auto"/>
          <w:sz w:val="32"/>
          <w:szCs w:val="32"/>
          <w:highlight w:val="none"/>
        </w:rPr>
      </w:pPr>
      <w:r>
        <w:rPr>
          <w:rFonts w:hint="eastAsia"/>
          <w:color w:val="auto"/>
          <w:sz w:val="32"/>
          <w:szCs w:val="32"/>
          <w:highlight w:val="none"/>
        </w:rPr>
        <w:t>五、财政拨款支出决算明细表</w:t>
      </w:r>
    </w:p>
    <w:p>
      <w:pPr>
        <w:pStyle w:val="10"/>
        <w:keepNext w:val="0"/>
        <w:keepLines w:val="0"/>
        <w:pageBreakBefore w:val="0"/>
        <w:kinsoku/>
        <w:wordWrap/>
        <w:overflowPunct/>
        <w:topLinePunct w:val="0"/>
        <w:autoSpaceDE/>
        <w:autoSpaceDN/>
        <w:bidi w:val="0"/>
        <w:adjustRightInd w:val="0"/>
        <w:snapToGrid w:val="0"/>
        <w:spacing w:before="0" w:line="576" w:lineRule="exact"/>
        <w:jc w:val="left"/>
        <w:textAlignment w:val="auto"/>
        <w:rPr>
          <w:rFonts w:hint="eastAsia"/>
          <w:color w:val="auto"/>
          <w:sz w:val="32"/>
          <w:szCs w:val="32"/>
          <w:highlight w:val="none"/>
        </w:rPr>
      </w:pPr>
      <w:r>
        <w:rPr>
          <w:rFonts w:hint="eastAsia"/>
          <w:color w:val="auto"/>
          <w:sz w:val="32"/>
          <w:szCs w:val="32"/>
          <w:highlight w:val="none"/>
        </w:rPr>
        <w:t>六、一般公共预算财政拨款支出决算表</w:t>
      </w:r>
    </w:p>
    <w:p>
      <w:pPr>
        <w:pStyle w:val="10"/>
        <w:keepNext w:val="0"/>
        <w:keepLines w:val="0"/>
        <w:pageBreakBefore w:val="0"/>
        <w:kinsoku/>
        <w:wordWrap/>
        <w:overflowPunct/>
        <w:topLinePunct w:val="0"/>
        <w:autoSpaceDE/>
        <w:autoSpaceDN/>
        <w:bidi w:val="0"/>
        <w:adjustRightInd w:val="0"/>
        <w:snapToGrid w:val="0"/>
        <w:spacing w:before="0" w:line="576" w:lineRule="exact"/>
        <w:jc w:val="left"/>
        <w:textAlignment w:val="auto"/>
        <w:rPr>
          <w:rFonts w:hint="eastAsia"/>
          <w:color w:val="auto"/>
          <w:sz w:val="32"/>
          <w:szCs w:val="32"/>
          <w:highlight w:val="none"/>
        </w:rPr>
      </w:pPr>
      <w:r>
        <w:rPr>
          <w:rFonts w:hint="eastAsia"/>
          <w:color w:val="auto"/>
          <w:sz w:val="32"/>
          <w:szCs w:val="32"/>
          <w:highlight w:val="none"/>
        </w:rPr>
        <w:t>七、一般公共预算财政拨款支出决算明细表</w:t>
      </w:r>
    </w:p>
    <w:p>
      <w:pPr>
        <w:pStyle w:val="10"/>
        <w:keepNext w:val="0"/>
        <w:keepLines w:val="0"/>
        <w:pageBreakBefore w:val="0"/>
        <w:kinsoku/>
        <w:wordWrap/>
        <w:overflowPunct/>
        <w:topLinePunct w:val="0"/>
        <w:autoSpaceDE/>
        <w:autoSpaceDN/>
        <w:bidi w:val="0"/>
        <w:adjustRightInd w:val="0"/>
        <w:snapToGrid w:val="0"/>
        <w:spacing w:before="0" w:line="576" w:lineRule="exact"/>
        <w:jc w:val="left"/>
        <w:textAlignment w:val="auto"/>
        <w:rPr>
          <w:rFonts w:hint="eastAsia"/>
          <w:color w:val="auto"/>
          <w:sz w:val="32"/>
          <w:szCs w:val="32"/>
          <w:highlight w:val="none"/>
        </w:rPr>
      </w:pPr>
      <w:r>
        <w:rPr>
          <w:rFonts w:hint="eastAsia"/>
          <w:color w:val="auto"/>
          <w:sz w:val="32"/>
          <w:szCs w:val="32"/>
          <w:highlight w:val="none"/>
        </w:rPr>
        <w:t>八、一般公共预算财政拨款基本支出决算表</w:t>
      </w:r>
    </w:p>
    <w:p>
      <w:pPr>
        <w:pStyle w:val="10"/>
        <w:keepNext w:val="0"/>
        <w:keepLines w:val="0"/>
        <w:pageBreakBefore w:val="0"/>
        <w:kinsoku/>
        <w:wordWrap/>
        <w:overflowPunct/>
        <w:topLinePunct w:val="0"/>
        <w:autoSpaceDE/>
        <w:autoSpaceDN/>
        <w:bidi w:val="0"/>
        <w:adjustRightInd w:val="0"/>
        <w:snapToGrid w:val="0"/>
        <w:spacing w:before="0" w:line="576" w:lineRule="exact"/>
        <w:jc w:val="left"/>
        <w:textAlignment w:val="auto"/>
        <w:rPr>
          <w:rFonts w:hint="eastAsia"/>
          <w:color w:val="auto"/>
          <w:sz w:val="32"/>
          <w:szCs w:val="32"/>
          <w:highlight w:val="none"/>
        </w:rPr>
      </w:pPr>
      <w:r>
        <w:rPr>
          <w:rFonts w:hint="eastAsia"/>
          <w:color w:val="auto"/>
          <w:sz w:val="32"/>
          <w:szCs w:val="32"/>
          <w:highlight w:val="none"/>
        </w:rPr>
        <w:t>九、一般公共预算财政拨款项目支出决算表</w:t>
      </w:r>
    </w:p>
    <w:p>
      <w:pPr>
        <w:pStyle w:val="10"/>
        <w:keepNext w:val="0"/>
        <w:keepLines w:val="0"/>
        <w:pageBreakBefore w:val="0"/>
        <w:kinsoku/>
        <w:wordWrap/>
        <w:overflowPunct/>
        <w:topLinePunct w:val="0"/>
        <w:autoSpaceDE/>
        <w:autoSpaceDN/>
        <w:bidi w:val="0"/>
        <w:adjustRightInd w:val="0"/>
        <w:snapToGrid w:val="0"/>
        <w:spacing w:before="0" w:line="576" w:lineRule="exact"/>
        <w:jc w:val="left"/>
        <w:textAlignment w:val="auto"/>
        <w:rPr>
          <w:rFonts w:hint="eastAsia"/>
          <w:color w:val="auto"/>
          <w:sz w:val="32"/>
          <w:szCs w:val="32"/>
          <w:highlight w:val="none"/>
        </w:rPr>
      </w:pPr>
      <w:r>
        <w:rPr>
          <w:rFonts w:hint="eastAsia"/>
          <w:color w:val="auto"/>
          <w:sz w:val="32"/>
          <w:szCs w:val="32"/>
          <w:highlight w:val="none"/>
        </w:rPr>
        <w:t>十、一般公共预算财政拨款“三公”经费支出决算表</w:t>
      </w:r>
    </w:p>
    <w:p>
      <w:pPr>
        <w:pStyle w:val="10"/>
        <w:keepNext w:val="0"/>
        <w:keepLines w:val="0"/>
        <w:pageBreakBefore w:val="0"/>
        <w:kinsoku/>
        <w:wordWrap/>
        <w:overflowPunct/>
        <w:topLinePunct w:val="0"/>
        <w:autoSpaceDE/>
        <w:autoSpaceDN/>
        <w:bidi w:val="0"/>
        <w:adjustRightInd w:val="0"/>
        <w:snapToGrid w:val="0"/>
        <w:spacing w:before="0" w:line="576" w:lineRule="exact"/>
        <w:jc w:val="left"/>
        <w:textAlignment w:val="auto"/>
        <w:rPr>
          <w:rFonts w:hint="eastAsia"/>
          <w:color w:val="auto"/>
          <w:sz w:val="32"/>
          <w:szCs w:val="32"/>
          <w:highlight w:val="none"/>
        </w:rPr>
      </w:pPr>
      <w:r>
        <w:rPr>
          <w:rFonts w:hint="eastAsia"/>
          <w:color w:val="auto"/>
          <w:sz w:val="32"/>
          <w:szCs w:val="32"/>
          <w:highlight w:val="none"/>
        </w:rPr>
        <w:t>十一、政府性基金预算财政拨款收入支出决算表</w:t>
      </w:r>
    </w:p>
    <w:p>
      <w:pPr>
        <w:pStyle w:val="10"/>
        <w:keepNext w:val="0"/>
        <w:keepLines w:val="0"/>
        <w:pageBreakBefore w:val="0"/>
        <w:kinsoku/>
        <w:wordWrap/>
        <w:overflowPunct/>
        <w:topLinePunct w:val="0"/>
        <w:autoSpaceDE/>
        <w:autoSpaceDN/>
        <w:bidi w:val="0"/>
        <w:adjustRightInd w:val="0"/>
        <w:snapToGrid w:val="0"/>
        <w:spacing w:before="0" w:line="576" w:lineRule="exact"/>
        <w:jc w:val="left"/>
        <w:textAlignment w:val="auto"/>
        <w:rPr>
          <w:rFonts w:hint="eastAsia"/>
          <w:color w:val="auto"/>
          <w:sz w:val="32"/>
          <w:szCs w:val="32"/>
          <w:highlight w:val="none"/>
        </w:rPr>
      </w:pPr>
      <w:r>
        <w:rPr>
          <w:rFonts w:hint="eastAsia"/>
          <w:color w:val="auto"/>
          <w:sz w:val="32"/>
          <w:szCs w:val="32"/>
          <w:highlight w:val="none"/>
        </w:rPr>
        <w:t>十二、政府性基金预算财政拨款“三公”经费支出决算表</w:t>
      </w:r>
    </w:p>
    <w:p>
      <w:pPr>
        <w:pStyle w:val="10"/>
        <w:keepNext w:val="0"/>
        <w:keepLines w:val="0"/>
        <w:pageBreakBefore w:val="0"/>
        <w:kinsoku/>
        <w:wordWrap/>
        <w:overflowPunct/>
        <w:topLinePunct w:val="0"/>
        <w:autoSpaceDE/>
        <w:autoSpaceDN/>
        <w:bidi w:val="0"/>
        <w:adjustRightInd w:val="0"/>
        <w:snapToGrid w:val="0"/>
        <w:spacing w:before="0" w:line="576" w:lineRule="exact"/>
        <w:jc w:val="left"/>
        <w:textAlignment w:val="auto"/>
        <w:rPr>
          <w:rFonts w:hint="eastAsia"/>
          <w:color w:val="auto"/>
          <w:sz w:val="32"/>
          <w:szCs w:val="32"/>
          <w:highlight w:val="none"/>
        </w:rPr>
      </w:pPr>
      <w:r>
        <w:rPr>
          <w:rFonts w:hint="eastAsia"/>
          <w:color w:val="auto"/>
          <w:sz w:val="32"/>
          <w:szCs w:val="32"/>
          <w:highlight w:val="none"/>
        </w:rPr>
        <w:t>十三、国有资本经营预算</w:t>
      </w:r>
      <w:r>
        <w:rPr>
          <w:rFonts w:hint="eastAsia"/>
          <w:color w:val="auto"/>
          <w:sz w:val="32"/>
          <w:szCs w:val="32"/>
          <w:highlight w:val="none"/>
          <w:lang w:eastAsia="zh-CN"/>
        </w:rPr>
        <w:t>财政拨款收入</w:t>
      </w:r>
      <w:r>
        <w:rPr>
          <w:rFonts w:hint="eastAsia"/>
          <w:color w:val="auto"/>
          <w:sz w:val="32"/>
          <w:szCs w:val="32"/>
          <w:highlight w:val="none"/>
        </w:rPr>
        <w:t>支出决算表</w:t>
      </w:r>
    </w:p>
    <w:p>
      <w:pPr>
        <w:pStyle w:val="10"/>
        <w:keepNext w:val="0"/>
        <w:keepLines w:val="0"/>
        <w:pageBreakBefore w:val="0"/>
        <w:kinsoku/>
        <w:wordWrap/>
        <w:overflowPunct/>
        <w:topLinePunct w:val="0"/>
        <w:autoSpaceDE/>
        <w:autoSpaceDN/>
        <w:bidi w:val="0"/>
        <w:adjustRightInd w:val="0"/>
        <w:snapToGrid w:val="0"/>
        <w:spacing w:before="0" w:line="576" w:lineRule="exact"/>
        <w:jc w:val="left"/>
        <w:textAlignment w:val="auto"/>
        <w:rPr>
          <w:rFonts w:hint="eastAsia"/>
          <w:color w:val="auto"/>
          <w:sz w:val="32"/>
          <w:szCs w:val="32"/>
          <w:highlight w:val="none"/>
          <w:lang w:val="en-US" w:eastAsia="zh-CN"/>
        </w:rPr>
      </w:pPr>
      <w:r>
        <w:rPr>
          <w:rFonts w:hint="eastAsia"/>
          <w:color w:val="auto"/>
          <w:sz w:val="32"/>
          <w:szCs w:val="32"/>
          <w:highlight w:val="none"/>
          <w:lang w:val="en-US" w:eastAsia="zh-CN"/>
        </w:rPr>
        <w:t>十四、国有资本经营预算财政拨款支出决算表</w:t>
      </w:r>
    </w:p>
    <w:p>
      <w:pPr>
        <w:pStyle w:val="10"/>
        <w:adjustRightInd w:val="0"/>
        <w:snapToGrid w:val="0"/>
        <w:spacing w:before="0" w:line="440" w:lineRule="exact"/>
        <w:jc w:val="left"/>
        <w:rPr>
          <w:rFonts w:hint="eastAsia"/>
          <w:color w:val="auto"/>
          <w:sz w:val="32"/>
          <w:szCs w:val="32"/>
          <w:highlight w:val="none"/>
        </w:rPr>
      </w:pPr>
    </w:p>
    <w:p>
      <w:pPr>
        <w:pStyle w:val="3"/>
        <w:jc w:val="center"/>
        <w:rPr>
          <w:rFonts w:hint="eastAsia" w:ascii="黑体" w:hAnsi="黑体" w:eastAsia="黑体"/>
          <w:b w:val="0"/>
          <w:color w:val="auto"/>
          <w:highlight w:val="none"/>
        </w:rPr>
        <w:sectPr>
          <w:headerReference r:id="rId3" w:type="default"/>
          <w:footerReference r:id="rId4" w:type="default"/>
          <w:pgSz w:w="11906" w:h="16838"/>
          <w:pgMar w:top="2098" w:right="1474" w:bottom="1984" w:left="1587" w:header="851" w:footer="992" w:gutter="0"/>
          <w:pgNumType w:fmt="decimal" w:start="1"/>
          <w:cols w:space="425" w:num="1"/>
          <w:titlePg/>
          <w:docGrid w:type="lines" w:linePitch="312" w:charSpace="0"/>
        </w:sectPr>
      </w:pPr>
      <w:bookmarkStart w:id="12" w:name="_Toc15396599"/>
      <w:bookmarkStart w:id="13" w:name="_Toc15377196"/>
    </w:p>
    <w:p>
      <w:pPr>
        <w:pStyle w:val="3"/>
        <w:jc w:val="center"/>
        <w:rPr>
          <w:rStyle w:val="24"/>
          <w:rFonts w:ascii="黑体" w:hAnsi="黑体" w:eastAsia="黑体"/>
          <w:b/>
          <w:bCs w:val="0"/>
          <w:color w:val="auto"/>
          <w:highlight w:val="none"/>
        </w:rPr>
      </w:pPr>
      <w:r>
        <w:rPr>
          <w:rFonts w:hint="eastAsia" w:ascii="黑体" w:hAnsi="黑体" w:eastAsia="黑体"/>
          <w:b w:val="0"/>
          <w:color w:val="auto"/>
          <w:highlight w:val="none"/>
        </w:rPr>
        <w:t>第一部分</w:t>
      </w:r>
      <w:r>
        <w:rPr>
          <w:rFonts w:hint="eastAsia" w:ascii="黑体" w:hAnsi="黑体" w:eastAsia="黑体"/>
          <w:b w:val="0"/>
          <w:color w:val="auto"/>
          <w:highlight w:val="none"/>
          <w:lang w:val="en-US" w:eastAsia="zh-CN"/>
        </w:rPr>
        <w:t xml:space="preserve">  </w:t>
      </w:r>
      <w:r>
        <w:rPr>
          <w:rStyle w:val="24"/>
          <w:rFonts w:hint="eastAsia" w:ascii="黑体" w:hAnsi="黑体" w:eastAsia="黑体"/>
          <w:b w:val="0"/>
          <w:bCs w:val="0"/>
          <w:color w:val="auto"/>
          <w:highlight w:val="none"/>
        </w:rPr>
        <w:t>部门概况</w:t>
      </w:r>
      <w:bookmarkEnd w:id="12"/>
      <w:bookmarkEnd w:id="13"/>
    </w:p>
    <w:p>
      <w:pPr>
        <w:widowControl/>
        <w:jc w:val="left"/>
        <w:rPr>
          <w:rFonts w:ascii="黑体" w:eastAsia="黑体"/>
          <w:color w:val="auto"/>
          <w:sz w:val="32"/>
          <w:szCs w:val="32"/>
          <w:highlight w:val="none"/>
        </w:rPr>
      </w:pPr>
    </w:p>
    <w:p>
      <w:pPr>
        <w:pStyle w:val="4"/>
        <w:pageBreakBefore w:val="0"/>
        <w:widowControl w:val="0"/>
        <w:kinsoku/>
        <w:wordWrap/>
        <w:overflowPunct/>
        <w:topLinePunct w:val="0"/>
        <w:autoSpaceDE/>
        <w:autoSpaceDN/>
        <w:bidi w:val="0"/>
        <w:spacing w:before="0" w:after="0" w:line="576" w:lineRule="exact"/>
        <w:ind w:left="0" w:leftChars="0" w:right="0" w:firstLine="640" w:firstLineChars="200"/>
        <w:textAlignment w:val="auto"/>
        <w:rPr>
          <w:rStyle w:val="25"/>
          <w:rFonts w:ascii="仿宋" w:hAnsi="仿宋" w:eastAsia="仿宋"/>
          <w:b w:val="0"/>
          <w:bCs w:val="0"/>
          <w:color w:val="auto"/>
          <w:highlight w:val="none"/>
        </w:rPr>
      </w:pPr>
      <w:bookmarkStart w:id="14" w:name="_Toc15377197"/>
      <w:bookmarkStart w:id="15" w:name="_Toc15396600"/>
      <w:r>
        <w:rPr>
          <w:rFonts w:hint="eastAsia" w:ascii="黑体" w:hAnsi="黑体" w:eastAsia="黑体"/>
          <w:b w:val="0"/>
          <w:color w:val="auto"/>
          <w:highlight w:val="none"/>
        </w:rPr>
        <w:t>一、基</w:t>
      </w:r>
      <w:r>
        <w:rPr>
          <w:rStyle w:val="25"/>
          <w:rFonts w:hint="eastAsia" w:ascii="黑体" w:hAnsi="黑体" w:eastAsia="黑体"/>
          <w:b w:val="0"/>
          <w:bCs w:val="0"/>
          <w:color w:val="auto"/>
          <w:highlight w:val="none"/>
        </w:rPr>
        <w:t>本职能及主要工作</w:t>
      </w:r>
      <w:bookmarkEnd w:id="14"/>
      <w:bookmarkEnd w:id="15"/>
    </w:p>
    <w:p>
      <w:pPr>
        <w:pageBreakBefore w:val="0"/>
        <w:widowControl w:val="0"/>
        <w:kinsoku/>
        <w:wordWrap/>
        <w:overflowPunct/>
        <w:topLinePunct w:val="0"/>
        <w:autoSpaceDE/>
        <w:autoSpaceDN/>
        <w:bidi w:val="0"/>
        <w:spacing w:line="576" w:lineRule="exact"/>
        <w:ind w:left="0" w:leftChars="0" w:right="0" w:firstLine="640" w:firstLineChars="200"/>
        <w:textAlignment w:val="auto"/>
        <w:rPr>
          <w:rFonts w:hint="eastAsia" w:ascii="楷体_GB2312" w:hAnsi="楷体_GB2312" w:eastAsia="楷体_GB2312" w:cs="楷体_GB2312"/>
          <w:sz w:val="32"/>
          <w:szCs w:val="32"/>
        </w:rPr>
      </w:pPr>
      <w:bookmarkStart w:id="16" w:name="_Toc15377198"/>
      <w:bookmarkStart w:id="17" w:name="_Toc15378445"/>
      <w:r>
        <w:rPr>
          <w:rFonts w:hint="eastAsia" w:ascii="楷体_GB2312" w:hAnsi="楷体_GB2312" w:eastAsia="楷体_GB2312" w:cs="楷体_GB2312"/>
          <w:sz w:val="32"/>
          <w:szCs w:val="32"/>
        </w:rPr>
        <w:t>（一）主要职能。</w:t>
      </w:r>
    </w:p>
    <w:p>
      <w:pPr>
        <w:pageBreakBefore w:val="0"/>
        <w:widowControl w:val="0"/>
        <w:kinsoku/>
        <w:wordWrap/>
        <w:overflowPunct/>
        <w:topLinePunct w:val="0"/>
        <w:autoSpaceDE/>
        <w:autoSpaceDN/>
        <w:bidi w:val="0"/>
        <w:spacing w:line="576" w:lineRule="exact"/>
        <w:ind w:left="0" w:leftChars="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按照规定权限，履行全民所有土地、矿产、森林、湿地、水等自然资源资产所有者职责和所有国土空间用途管制职责。拟订全市自然资源和国土空间规划地方性法规、政策规章草案，制定有关政策措施并监督检查执行情况。</w:t>
      </w:r>
    </w:p>
    <w:p>
      <w:pPr>
        <w:pageBreakBefore w:val="0"/>
        <w:widowControl w:val="0"/>
        <w:kinsoku/>
        <w:wordWrap/>
        <w:overflowPunct/>
        <w:topLinePunct w:val="0"/>
        <w:autoSpaceDE/>
        <w:autoSpaceDN/>
        <w:bidi w:val="0"/>
        <w:spacing w:line="576" w:lineRule="exact"/>
        <w:ind w:left="0" w:leftChars="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负责全市自然资源调查监测评价。依照自然资源调查监测评价的指标体系和统计标准，建立统一的自然资源调查监测评价制度。实施自然资源基础调查、专项调查和监测。负责自然资源调查监测评价成果的监督管理和信息发布。指导县区自然资源调查监测评价工作。</w:t>
      </w:r>
    </w:p>
    <w:p>
      <w:pPr>
        <w:pageBreakBefore w:val="0"/>
        <w:widowControl w:val="0"/>
        <w:kinsoku/>
        <w:wordWrap/>
        <w:overflowPunct/>
        <w:topLinePunct w:val="0"/>
        <w:autoSpaceDE/>
        <w:autoSpaceDN/>
        <w:bidi w:val="0"/>
        <w:spacing w:line="576" w:lineRule="exact"/>
        <w:ind w:left="0" w:leftChars="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负责全市自然资源统一确权登记工作。组织实施各类自然资源和不动产统一确权登记、权籍调查、不动产测绘、争议、调处、成果应用的制度、标准、规范。建立健全全市自然资源和不动产登记信息管理基础平台。负责自然资源和不动产登记资料收集、整理、共享、汇交管理等。指导监督自然资源和不动产确权登记工作。</w:t>
      </w:r>
    </w:p>
    <w:p>
      <w:pPr>
        <w:pageBreakBefore w:val="0"/>
        <w:widowControl w:val="0"/>
        <w:kinsoku/>
        <w:wordWrap/>
        <w:overflowPunct/>
        <w:topLinePunct w:val="0"/>
        <w:autoSpaceDE/>
        <w:autoSpaceDN/>
        <w:bidi w:val="0"/>
        <w:spacing w:line="576" w:lineRule="exact"/>
        <w:ind w:left="0" w:leftChars="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负责全市自然资源资产有偿使用工作。建立全民所有自然资源资产统计制度，负责全民所有自然资源资产核算。编制全民所有自然资源资产负债表，依照有关标准组织考核。按照规定权限，制定全民所有自然资源资产划拨、出让、租赁、作价出资和土地储备政策，合理配置全民所有自然资源资产。负责自然资源资产价值评估管理，依法收缴相关资产收益。</w:t>
      </w:r>
    </w:p>
    <w:p>
      <w:pPr>
        <w:pageBreakBefore w:val="0"/>
        <w:widowControl w:val="0"/>
        <w:kinsoku/>
        <w:wordWrap/>
        <w:overflowPunct/>
        <w:topLinePunct w:val="0"/>
        <w:autoSpaceDE/>
        <w:autoSpaceDN/>
        <w:bidi w:val="0"/>
        <w:spacing w:line="576" w:lineRule="exact"/>
        <w:ind w:left="0" w:leftChars="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负责全市自然资源的合理开发利用。组织拟订并实施自然资源发展规划和战略，建立政府公示自然资源价格体系，组织开展自然资源分等定级价格评估，开展自然资源利用评价考核，指导节约集约利用。负责自然资源</w:t>
      </w:r>
      <w:r>
        <w:rPr>
          <w:rFonts w:hint="eastAsia" w:ascii="仿宋_GB2312" w:hAnsi="仿宋_GB2312" w:eastAsia="仿宋_GB2312" w:cs="仿宋_GB2312"/>
          <w:sz w:val="32"/>
          <w:szCs w:val="32"/>
          <w:lang w:eastAsia="zh-CN"/>
        </w:rPr>
        <w:t>市场监管</w:t>
      </w:r>
      <w:r>
        <w:rPr>
          <w:rFonts w:hint="eastAsia" w:ascii="仿宋_GB2312" w:hAnsi="仿宋_GB2312" w:eastAsia="仿宋_GB2312" w:cs="仿宋_GB2312"/>
          <w:sz w:val="32"/>
          <w:szCs w:val="32"/>
        </w:rPr>
        <w:t>。组织研究自然资源管理涉及宏观调控、区域协调和城乡统筹的政策措施。</w:t>
      </w:r>
    </w:p>
    <w:p>
      <w:pPr>
        <w:pageBreakBefore w:val="0"/>
        <w:widowControl w:val="0"/>
        <w:kinsoku/>
        <w:wordWrap/>
        <w:overflowPunct/>
        <w:topLinePunct w:val="0"/>
        <w:autoSpaceDE/>
        <w:autoSpaceDN/>
        <w:bidi w:val="0"/>
        <w:spacing w:line="576" w:lineRule="exact"/>
        <w:ind w:left="0" w:leftChars="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负责建立全市空间规划体系并监督实施。推进主体功能区战略和制度，组织编制并监督实施国土空间规划和相关专项规划。开展国土空间开发适宜性评价，建立国土空间规划实施监测、评估和预警体系。组织划定生态保护红线、永久基本农田、城镇开发边界等控制线，构建节约资源和保护环境的生产、生活、生态空间布局。建立健全国土空间用途管制制度，研究拟订城乡规划政策并监督实施。组织拟订并实施土地等自然资源年度利用计划。负责土地等国土空间用途转用工作。负责土地征收征用管理。</w:t>
      </w:r>
    </w:p>
    <w:p>
      <w:pPr>
        <w:pageBreakBefore w:val="0"/>
        <w:widowControl w:val="0"/>
        <w:kinsoku/>
        <w:wordWrap/>
        <w:overflowPunct/>
        <w:topLinePunct w:val="0"/>
        <w:autoSpaceDE/>
        <w:autoSpaceDN/>
        <w:bidi w:val="0"/>
        <w:spacing w:line="576" w:lineRule="exact"/>
        <w:ind w:left="0" w:leftChars="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负责统筹全市国土空间生态修复。牵头组织编制全市国土空间生态修复规划并实施有关生态修复重大工程。负责开展国土空间综合整治、土地整理复垦、矿山地质环境恢复治理等工作。牵头建立和实施生态保护补偿制度，制定合理利用社会资金进行生态修复的政策措施，提出重大备选项目。</w:t>
      </w:r>
    </w:p>
    <w:p>
      <w:pPr>
        <w:pageBreakBefore w:val="0"/>
        <w:widowControl w:val="0"/>
        <w:kinsoku/>
        <w:wordWrap/>
        <w:overflowPunct/>
        <w:topLinePunct w:val="0"/>
        <w:autoSpaceDE/>
        <w:autoSpaceDN/>
        <w:bidi w:val="0"/>
        <w:spacing w:line="576" w:lineRule="exact"/>
        <w:ind w:left="0" w:leftChars="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负责组织实施最严格的耕地保护制度。牵头拟订并实施全市耕地保护政策，负责耕地数量、质量、生态保护。组织实施耕地保护责任目标考核和永久基本农田特殊保护。完善耕地占补平衡制度，监督占用耕地补偿制度执行情况。</w:t>
      </w:r>
    </w:p>
    <w:p>
      <w:pPr>
        <w:pageBreakBefore w:val="0"/>
        <w:widowControl w:val="0"/>
        <w:kinsoku/>
        <w:wordWrap/>
        <w:overflowPunct/>
        <w:topLinePunct w:val="0"/>
        <w:autoSpaceDE/>
        <w:autoSpaceDN/>
        <w:bidi w:val="0"/>
        <w:spacing w:line="576" w:lineRule="exact"/>
        <w:ind w:left="0" w:leftChars="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负责管理全市地质勘察和地质工作。拟订全市地质勘查规划并监督检查执行情况。组织实施重大地质矿产勘查专项。负责地质灾害预防和治理，监督管理地下水过量开采及引发的地面沉降等地质问题。负责古生物化石的监督管理。</w:t>
      </w:r>
    </w:p>
    <w:p>
      <w:pPr>
        <w:pageBreakBefore w:val="0"/>
        <w:widowControl w:val="0"/>
        <w:kinsoku/>
        <w:wordWrap/>
        <w:overflowPunct/>
        <w:topLinePunct w:val="0"/>
        <w:autoSpaceDE/>
        <w:autoSpaceDN/>
        <w:bidi w:val="0"/>
        <w:spacing w:line="576" w:lineRule="exact"/>
        <w:ind w:left="0" w:leftChars="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负责落实综合防灾减灾规划相关要求，组织编制并实施地质灾害防治规划。组织、指导、协调和监督地质灾害调查评价及隐患的普查、详查、排查。组织、指导开展群测群防、专业监测和预报预警等工作，组织、指导开展地质灾害工程治理工作。承担地质灾害应急救援的技术保障工作。</w:t>
      </w:r>
    </w:p>
    <w:p>
      <w:pPr>
        <w:pageBreakBefore w:val="0"/>
        <w:widowControl w:val="0"/>
        <w:kinsoku/>
        <w:wordWrap/>
        <w:overflowPunct/>
        <w:topLinePunct w:val="0"/>
        <w:autoSpaceDE/>
        <w:autoSpaceDN/>
        <w:bidi w:val="0"/>
        <w:spacing w:line="576" w:lineRule="exact"/>
        <w:ind w:left="0" w:leftChars="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负责全市矿产资源管理工作。负责矿产资源储量管理及压覆矿产资源审核报批。负责矿业权管理。会同有关部门承担保护性开采的特定矿种、优势矿产的调控及相关管理工作。监督指导矿产资源合理利用和保护。</w:t>
      </w:r>
    </w:p>
    <w:p>
      <w:pPr>
        <w:pageBreakBefore w:val="0"/>
        <w:widowControl w:val="0"/>
        <w:kinsoku/>
        <w:wordWrap/>
        <w:overflowPunct/>
        <w:topLinePunct w:val="0"/>
        <w:autoSpaceDE/>
        <w:autoSpaceDN/>
        <w:bidi w:val="0"/>
        <w:spacing w:line="576" w:lineRule="exact"/>
        <w:ind w:left="0" w:leftChars="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推动全市自然资源领域科技发展和对外合作。制定并实施全市自然资源领域科技创新发展和人才培养规划、计划。组织实施重大科技专项及创新能力建设，推进自然资源信息化和信息资料的公共服务。组织开展全市自然资源系统对外交流合作。</w:t>
      </w:r>
    </w:p>
    <w:p>
      <w:pPr>
        <w:pageBreakBefore w:val="0"/>
        <w:widowControl w:val="0"/>
        <w:kinsoku/>
        <w:wordWrap/>
        <w:overflowPunct/>
        <w:topLinePunct w:val="0"/>
        <w:autoSpaceDE/>
        <w:autoSpaceDN/>
        <w:bidi w:val="0"/>
        <w:spacing w:line="576" w:lineRule="exact"/>
        <w:ind w:left="0" w:leftChars="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配合国家对县区政府落实党中央、国务院关于自然资源和国土空间规划的重大方针政策、决策部署及法律法规执行情况进行督察。按照市委、市政府安排，组织实施自然资源督查相关工作。查处全市自然资源开发利用、国土空间规划等领域重大违法案件。指导县区有关行政执法工作。</w:t>
      </w:r>
    </w:p>
    <w:p>
      <w:pPr>
        <w:pageBreakBefore w:val="0"/>
        <w:widowControl w:val="0"/>
        <w:kinsoku/>
        <w:wordWrap/>
        <w:overflowPunct/>
        <w:topLinePunct w:val="0"/>
        <w:autoSpaceDE/>
        <w:autoSpaceDN/>
        <w:bidi w:val="0"/>
        <w:spacing w:line="576" w:lineRule="exact"/>
        <w:ind w:left="0" w:leftChars="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14.负责职责范围内的安全生产和职业健康、生态环境保护、审批服务便民化等工作。</w:t>
      </w:r>
    </w:p>
    <w:p>
      <w:pPr>
        <w:pageBreakBefore w:val="0"/>
        <w:widowControl w:val="0"/>
        <w:kinsoku/>
        <w:wordWrap/>
        <w:overflowPunct/>
        <w:topLinePunct w:val="0"/>
        <w:autoSpaceDE/>
        <w:autoSpaceDN/>
        <w:bidi w:val="0"/>
        <w:spacing w:line="576" w:lineRule="exact"/>
        <w:ind w:left="0" w:leftChars="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15.负责测绘地理信息管理。负责基础测绘和测绘行业管理。监督管理全市测绘地理信息安全和市场秩序。负责地理信息公共服务管理和测量标志保护。</w:t>
      </w:r>
    </w:p>
    <w:p>
      <w:pPr>
        <w:pageBreakBefore w:val="0"/>
        <w:widowControl w:val="0"/>
        <w:kinsoku/>
        <w:wordWrap/>
        <w:overflowPunct/>
        <w:topLinePunct w:val="0"/>
        <w:autoSpaceDE/>
        <w:autoSpaceDN/>
        <w:bidi w:val="0"/>
        <w:spacing w:line="576" w:lineRule="exact"/>
        <w:ind w:left="0" w:leftChars="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16.统一领导和管理广元市林业局（简称林业局）。</w:t>
      </w:r>
    </w:p>
    <w:p>
      <w:pPr>
        <w:pageBreakBefore w:val="0"/>
        <w:widowControl w:val="0"/>
        <w:kinsoku/>
        <w:wordWrap/>
        <w:overflowPunct/>
        <w:topLinePunct w:val="0"/>
        <w:autoSpaceDE/>
        <w:autoSpaceDN/>
        <w:bidi w:val="0"/>
        <w:spacing w:line="576" w:lineRule="exact"/>
        <w:ind w:left="0" w:leftChars="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17.完成市委、市政府交办的其他任务。</w:t>
      </w:r>
    </w:p>
    <w:p>
      <w:pPr>
        <w:pageBreakBefore w:val="0"/>
        <w:widowControl w:val="0"/>
        <w:kinsoku/>
        <w:wordWrap/>
        <w:overflowPunct/>
        <w:topLinePunct w:val="0"/>
        <w:autoSpaceDE/>
        <w:autoSpaceDN/>
        <w:bidi w:val="0"/>
        <w:spacing w:line="576" w:lineRule="exact"/>
        <w:ind w:left="0" w:leftChars="0" w:righ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18.职能转变。落实关于统一行使全民所有自然资源所有者职责，统一行使所有者国土空间用途管制和生态保护修复职责的要求发挥国土空间规划的管控作用，为保护和合理开发利用自然资源提供科学指引。进一步加强自然资源的保护和合理开发利用，建立健全源头保护和全过程修复治理相结合的工作机制，实现整体保护、系统修复、综合治理。创新激励约束并举的制度措施，推进自然资源节约集约利用。进一步精简下放有关行政审批事项、强化监管力度，充分发挥市场对资源配置的决定性作用更好发挥政府作用，强化自然资源管理规则、标准、制度的约束性作用，推进自然资源确权登记和评估的便民高效。</w:t>
      </w:r>
    </w:p>
    <w:p>
      <w:pPr>
        <w:pageBreakBefore w:val="0"/>
        <w:widowControl w:val="0"/>
        <w:kinsoku/>
        <w:wordWrap/>
        <w:overflowPunct/>
        <w:topLinePunct w:val="0"/>
        <w:autoSpaceDE/>
        <w:autoSpaceDN/>
        <w:bidi w:val="0"/>
        <w:spacing w:line="576" w:lineRule="exact"/>
        <w:ind w:left="0" w:leftChars="0" w:right="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19.在自然灾害防救方面的职责分工。</w:t>
      </w:r>
    </w:p>
    <w:bookmarkEnd w:id="16"/>
    <w:bookmarkEnd w:id="17"/>
    <w:p>
      <w:pPr>
        <w:pageBreakBefore w:val="0"/>
        <w:widowControl w:val="0"/>
        <w:kinsoku/>
        <w:wordWrap/>
        <w:overflowPunct/>
        <w:topLinePunct w:val="0"/>
        <w:autoSpaceDE/>
        <w:autoSpaceDN/>
        <w:bidi w:val="0"/>
        <w:spacing w:line="576" w:lineRule="exact"/>
        <w:ind w:left="0" w:leftChars="0" w:right="0" w:firstLine="640" w:firstLineChars="200"/>
        <w:textAlignment w:val="auto"/>
        <w:rPr>
          <w:rFonts w:hint="default" w:ascii="楷体_GB2312" w:hAnsi="楷体_GB2312" w:eastAsia="楷体_GB2312" w:cs="楷体_GB2312"/>
          <w:sz w:val="32"/>
          <w:szCs w:val="32"/>
          <w:lang w:val="en-US" w:eastAsia="zh-CN"/>
        </w:rPr>
      </w:pPr>
      <w:bookmarkStart w:id="18" w:name="_Toc15377199"/>
      <w:bookmarkStart w:id="19" w:name="_Toc15378446"/>
      <w:r>
        <w:rPr>
          <w:rFonts w:hint="eastAsia" w:ascii="楷体_GB2312" w:hAnsi="楷体_GB2312" w:eastAsia="楷体_GB2312" w:cs="楷体_GB2312"/>
          <w:sz w:val="32"/>
          <w:szCs w:val="32"/>
          <w:lang w:val="en-US" w:eastAsia="zh-CN"/>
        </w:rPr>
        <w:t>（二）2021年重点工作完成情况。</w:t>
      </w:r>
      <w:bookmarkEnd w:id="18"/>
      <w:bookmarkEnd w:id="19"/>
    </w:p>
    <w:p>
      <w:pPr>
        <w:pageBreakBefore w:val="0"/>
        <w:widowControl w:val="0"/>
        <w:kinsoku/>
        <w:wordWrap/>
        <w:overflowPunct/>
        <w:topLinePunct w:val="0"/>
        <w:autoSpaceDE/>
        <w:autoSpaceDN/>
        <w:bidi w:val="0"/>
        <w:spacing w:line="576" w:lineRule="exact"/>
        <w:ind w:left="0" w:leftChars="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1.聚焦能力素质提升。一是提升了干部政治能力。局党委认真贯彻落实市委关于党史学习教育的各项决策部署，全面开展党史学习教育和建党百年活动，成立党史学习教育领导小组，组织局党委理论学习中心组开展集中学习14次，督促机关各支部开</w:t>
      </w:r>
      <w:r>
        <w:rPr>
          <w:rFonts w:hint="eastAsia" w:ascii="仿宋_GB2312" w:hAnsi="仿宋_GB2312" w:eastAsia="仿宋_GB2312" w:cs="仿宋_GB2312"/>
          <w:sz w:val="32"/>
          <w:szCs w:val="32"/>
        </w:rPr>
        <w:t>展党史学习教育专题学习12次。制定了《广元市自然资源局党史学习教育实施方案》《广元市自然资源局“我为群众办实事”实践活动工作方案》等方案，组织开展了“百名党员讲党史”“百首红歌颂党史”等“六个百”党史学习教育系列活动，举办了纪念五四运动102周年暨青年干部“党史我来讲”活动，</w:t>
      </w:r>
      <w:bookmarkStart w:id="75" w:name="_GoBack"/>
      <w:bookmarkEnd w:id="75"/>
      <w:r>
        <w:rPr>
          <w:rFonts w:hint="eastAsia" w:ascii="仿宋_GB2312" w:hAnsi="仿宋_GB2312" w:eastAsia="仿宋_GB2312" w:cs="仿宋_GB2312"/>
          <w:sz w:val="32"/>
          <w:szCs w:val="32"/>
        </w:rPr>
        <w:t>“迎国庆、升国旗、集体宣誓”活动。二是提升了干部业务水平。开展自然资源综合业务知识大学习，组织系统内干部职工积极参加省厅“自然资源大讲堂”31次、“学习日”12次；组织开展自然资源综合业务知识全员培训，采用集中统一和分层分级相结合方式对全市自然资源系统干部组织开展新《土地管理法》、《城乡规划法》等自然资源领域法律法规以及国土空间规划、生态修复、农村土地全域整治、土地、矿产、不动产登记、地质灾害防治等政策规定和综合信息写作的培训。三是提升了干部作风纪律。局党委印发《关于推进2021年全面从严治党、党风廉政建设和反腐败工作的实施意见》，以多种形式开展党风廉政教育。按照“4321”精准监督工作要求，制定了2021年全面从严治党“三张清单”内容，细化责任目标，进一步完善重点权力廉政风险防控措施。同时，根据市委、市纪委监委关于开展“5+2”重点行业领域突出问题系统治理的工作要求，制定了《广元市自然资源局关于持续深化规划领域突出问题系统治理工作方案》，持续巩固和扩大治理成果。在全市干部纪律作风整顿大会召开后，局党委迅即组织召开党委(扩大)会议传达大会精神，按照市委提出的干部纪律作风整顿重点，对局党委存在的问题进行查摆，通过召开党委会、支部党员大会等形式，查找班子成员问题25个，干部职工具体问题654个。制定党委整改措施17条，班子成员整改措施31条，干部职工整改措施724条，均按照整改措施有序推进，截止目前整改率达95%，同时制定了《广元市自然资源局干部职工廉政风险防控联系家属制度》，进一步加强对全局干部职工“八小时外”的监督管理。</w:t>
      </w:r>
    </w:p>
    <w:p>
      <w:pPr>
        <w:pageBreakBefore w:val="0"/>
        <w:widowControl w:val="0"/>
        <w:kinsoku/>
        <w:wordWrap/>
        <w:overflowPunct/>
        <w:topLinePunct w:val="0"/>
        <w:autoSpaceDE/>
        <w:autoSpaceDN/>
        <w:bidi w:val="0"/>
        <w:spacing w:line="576" w:lineRule="exact"/>
        <w:ind w:left="0" w:leftChars="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聚焦服务质效提升。我局认真贯彻落实广元市优化营商环境联席会第七次全体会议精神，坚决贯彻落实党中央和省、市决策部署，以过硬作风和有效举措推进川内最优营商环境建设，为建设川陕甘结合部现代化中心城市提供有力保障。一是扎实推进“一网通办”前提下的“最多跑一次”。我局牵头的登记财产指标，做到全省有位、全市领先，其先进做法入选省优化营商环境案例。打造了“全市通办”“掌上办”“自助办”“企业、法院延伸办”等多端可办的服务平台，切实让群众“最多跑一次”及“一次都不跑”，构建“一窗受理、一网通办”的服务模式，让抵押贷款及不动产登记、交易、缴税及水电气视讯等所有登记业务切实实现“一件事一次办”，提供“申请零填表、材料零复印、证书零贴图、邮寄零费用”全流程保姆式服务，实现10类登记即时办结，企业间所有不动产登记1小时办结，除商品房开发项目首次登记“3日内办结”外，其余90%以上登记业务“当日办结”，成功试点“交房即交证”，让群众“便利度最快捷、体验度最舒适、期盼度变现实”。二是持续深化工程建设项目审批制度改革。先后制定《全市自然资源系统“提升服务质效”行动方案》《全面落实全市深化“放管服”改革优化营商环境三大专项攻坚行动任务分工方案》，建立《2021年深化工程建设项目审批制度改革进一步优化营商环境工作任务责任清单》，着力统筹谋划、市县(区)联动，对标对表健全完善工作机制，立足精细管理逐项分解任务目标，突出重点难点狠抓工作落实，营造“人人都是营商环境、事事都是营商环境”的工作氛围。三是加大服务宣传力度。我局工作先进经验被自然资源部、省政府、市政府、省自然资源厅、省发改委、省政务中心等门户网站和中国自然资源报、资源与人居环境、四川在线、川观新闻、广元日报等新闻媒体先后报道60余次，其中我局“全市通办”经验做法作为全省优秀经验成功入选四川省发展和改革委《四川省营商环境指标提升行动经验做法》(第三批)并在全省推广，在省政务中心组织的“一窗受理”工作汇报会上作经验交流发言，“五零五同步”经验被自然资源部、杭州市规划和自然资源局等官方网站转载，全年共接待绵阳、巴中等市来访学习交流20余次。</w:t>
      </w:r>
    </w:p>
    <w:p>
      <w:pPr>
        <w:pageBreakBefore w:val="0"/>
        <w:widowControl w:val="0"/>
        <w:kinsoku/>
        <w:wordWrap/>
        <w:overflowPunct/>
        <w:topLinePunct w:val="0"/>
        <w:autoSpaceDE/>
        <w:autoSpaceDN/>
        <w:bidi w:val="0"/>
        <w:spacing w:line="576" w:lineRule="exact"/>
        <w:ind w:left="0" w:leftChars="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聚焦保障水平提升。我局始终坚持以全面提升自然资源保障水平为主线，坚持改革创新，促进优化发展，开创自然资源保障工作新局面，全力服务全市经济社会发展大局。一是强化规划引领作用。今年出具各类建设项目规划条件及用地红线图100余件，有力助推各类建设项目落地实施，为项目前期工作开展提供坚实的规划要素保障。同时，按照市委主要领导“小批量、多频次”组织召开市规委会的要求，市规委会频次从1次/月提升到2次/月。截止目前，召开市专委会50期、审查项目230余个；召开市规委会18期、审议项目119个。制定出台《广元市规划管理技术规定(试行2021版)》，为市城区各类项目方案设计、竣工测绘、规划验收等提供技术保障，进一步强化规划的精细化管理，确保规划有效实施，提升城市建设品质。二是提升用地保障能力。科学编制供地计划，2021年市本级及辖区计划供地34696.01亩，共召开市土管会14次，审议供地方案及审批表116份，市本级(含经开区)供应各类建设用地54宗，其中出让31宗1333.83亩，出让收入35.56亿元，全年实现上缴财政入库土地价款23.12亿元，其中土地出让价款收入20.39亿元、划拨价款0.32亿元。坚持土地要素更着项目走，加快推动重大项目落地落实，成立了全市自然资源系统重大项目用地服务保障工作领导小组，建立了重大项目用地服务保障工作机制。同时，不断提高建设用地审批效率和质量，按照自然资源部“双随机、一公开”土地报征审件标准，制定了《广元市自然资源局建设用地智能报征审核办法》，在全市推行土地智能报征，实行网络系统不见面审批，报件人员交叉审件，提高报件质量，减少补正耗时，全年共报征44件次共11148.402亩，其中批次用地37件次6305.9070亩，单独选址项目7件次4842.495亩。三是增强矿产资源保障能力。制定了《广元市矿产资源总体规划(2021-2025年)》(送审稿)，并报市政府审查、省自然资源厅审批。市本级办结采矿权探矿权登记39件，上报省厅15件，全年实现采矿权出让收益31763万元，同比增长1500%。为重点项目保障砂石资源约1000万吨，有力支撑了广平高速、京昆高速绵广复线、绵万高速、西部建材家居城等重点建设项目需求。四是增强生态环境保障能力。率先启动绿色矿山建设，制定了《广元市绿色矿山建设指导意见》，对新出让矿山加强管控，要求业主单位严格按照绿色矿建标准实施建设。11家矿山已编制绿色矿山建设方案，正按时间节点积极推进，预计2022年10月完成绿色矿山建设。同时强化过程管理，督促矿山开发企业“边开采、边修复”，今年共计修复605亩；累计完成了223个历史遗留矿山生态修复项目省级验收工作，面积6843.9亩，占下达目标任务的113%。印发了《第二轮省环保督察整改工作方案》和《迎接第二轮中央环保督察工作方案》，成立了整改工作专班，对存在问题的86家非煤矿山和142家石材加工小作坊建立了整改台账。目前非煤露天矿山台阶式开采和修复不到位问题基本规范，石材加工小作坊生态环境问题全部销号。按照市委市政府领导关于砖厂退城的要求，开展了市城区敏感区砖厂调查，提出了退出指导意见，10月25日，我局将全市城区及敏感区砖厂“一厂一策”退出方案上报市委市政府。目前苍溪县7家落后产能的砖厂已基本完成退出，利州区1家落后产能砖厂正自行拆除窑体。</w:t>
      </w:r>
    </w:p>
    <w:p>
      <w:pPr>
        <w:pageBreakBefore w:val="0"/>
        <w:widowControl w:val="0"/>
        <w:kinsoku/>
        <w:wordWrap/>
        <w:overflowPunct/>
        <w:topLinePunct w:val="0"/>
        <w:autoSpaceDE/>
        <w:autoSpaceDN/>
        <w:bidi w:val="0"/>
        <w:spacing w:line="576" w:lineRule="exact"/>
        <w:ind w:left="0" w:leftChars="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扎实推动“房地一体”农村不动产确权登记颁证工作攻坚行动。全面深化农村集体产权制度改革总要求，切实保障农民合法权益，全面完成所有县区房地一体的外业测绘和权属调查，并全部通过市级权籍调查阶段验收，及时向省厅汇交权籍数据，实现登记数据实时上传，涉及总宗地数共637529户，总面积9316.23公顷，完成新增农村“房地一体”登记172764户，同时在各县区不动产登记大厅均设置农村不动产登记专窗为我市“房地一体”颁证工作打下坚实基础。</w:t>
      </w:r>
    </w:p>
    <w:p>
      <w:pPr>
        <w:pageBreakBefore w:val="0"/>
        <w:widowControl w:val="0"/>
        <w:kinsoku/>
        <w:wordWrap/>
        <w:overflowPunct/>
        <w:topLinePunct w:val="0"/>
        <w:autoSpaceDE/>
        <w:autoSpaceDN/>
        <w:bidi w:val="0"/>
        <w:spacing w:line="576" w:lineRule="exact"/>
        <w:ind w:left="0" w:leftChars="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扎实推动“地灾防治全域综合整治三年行动”攻坚。我局认真贯彻落实习近平总书记关于防灾减灾救灾系列论述和重要指示批示精神，牢固树立“人民至上、生命至上”的防灾救灾理念。一是制定了《广元市地质灾害全域综合整治三</w:t>
      </w:r>
      <w:r>
        <w:rPr>
          <w:rFonts w:ascii="仿宋" w:hAnsi="仿宋" w:eastAsia="仿宋" w:cs="仿宋"/>
          <w:spacing w:val="6"/>
          <w:sz w:val="31"/>
          <w:szCs w:val="31"/>
        </w:rPr>
        <w:t>年行动</w:t>
      </w:r>
      <w:r>
        <w:rPr>
          <w:rFonts w:hint="eastAsia" w:ascii="仿宋_GB2312" w:hAnsi="仿宋_GB2312" w:eastAsia="仿宋_GB2312" w:cs="仿宋_GB2312"/>
          <w:sz w:val="32"/>
          <w:szCs w:val="32"/>
        </w:rPr>
        <w:t>计划(2021-2023年)任务分配方案(送审稿)》和《广元市地质灾害全域综合整治2021年度实施方案(送审稿)》，11月5日，报市政府常务会议审议通过，并以市政府办公室名义印发了《关于印发广元市地质灾害全域综合整治三年行动计划(2021-2023年)的通知》，全面部署了各县区地灾全域综合整治三年行动计划任务。二是学习借鉴先进经验。11月22日-23日，局分管领导带队赴自贡市学习考察自贡市地灾防治全域综合整治中的先进经验做法，制定了《关于加快推进地质灾害全域综合整治治理排危工程工作方案》，明确采取EPC方式实施地质灾害工程治理及排危除险工程。三是切实加强与市级相关部门的横向对接，积极争取财政部门支持，争取到2022年一般债券1.47亿元，用于地质灾害全域综合整治三年行动计划。</w:t>
      </w:r>
    </w:p>
    <w:p>
      <w:pPr>
        <w:pageBreakBefore w:val="0"/>
        <w:widowControl w:val="0"/>
        <w:kinsoku/>
        <w:wordWrap/>
        <w:overflowPunct/>
        <w:topLinePunct w:val="0"/>
        <w:autoSpaceDE/>
        <w:autoSpaceDN/>
        <w:bidi w:val="0"/>
        <w:spacing w:line="576" w:lineRule="exact"/>
        <w:ind w:left="0" w:leftChars="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扎实推动“国土空间规划”攻坚。我局始终立足自身职责，积极发挥自然资源“规划引领”作用。一是深入推进“三区三线”划定试点工作。自“三区三线”试划工作开展以来，我局高度重视，市县(区)自然资源局均成立了领导小组，抽定专职工作人员集中办公的工作专班，制定了《广元市国土空间规划“三区三线”划定试点工作方案》和《工作任务清单》，进一步明确指导思想、工作任务和时间安排，提出了工作措施和要求，8月24-25日，国家“三区三线”试划调研组调研我市第一轮试划工作，给予了充分肯定。9月24日，第二轮试划成果通过省级质检，入库省级国土空间规划“一张图”。二是积极推进镇(村)国土空间规划编制试点工作。深度参与县域内片区划分，将全市国土空间规划编制技术力量作为片区划分的技术支撑，主动协调处理工作中的有关问题，全市共划分乡镇级片区33个(含城市片区1个)，村级片区439个，启动了8个片区乡镇(片区)国土空间总体规划编制试点。同时，推进“多规合一”实用性村规划编制试点，目前3个村落村规划已形成初步成果，1个村落村规划已完成初步方案。同时，按照市委、市政府决策部署，我局以“同步开展、统筹推进、分别编制”的原则，积极推动朝天曾家山片区与旺苍国华片区乡村国土空间规划统筹编制工作，力争2022年6月前完成编制，纳入全省第一批审批备案。三是有序推进国土空间规划基础信息平台和“一张图”实施监督信息系统建设。严格按照政府采购相关规定开展了市级“一张图”项目采购工作，督促指导4个县落实了建设经费，组织市县两级根据国家的相关技术标准开展了项目建设工作，市级“一张图”项目于2021年7月22日开始上线试运行；县级“一张图”已完成框架搭建，即将试运行，确保与国土空间总体规划同步报批。</w:t>
      </w:r>
    </w:p>
    <w:p>
      <w:pPr>
        <w:pageBreakBefore w:val="0"/>
        <w:widowControl w:val="0"/>
        <w:kinsoku/>
        <w:wordWrap/>
        <w:overflowPunct/>
        <w:topLinePunct w:val="0"/>
        <w:autoSpaceDE/>
        <w:autoSpaceDN/>
        <w:bidi w:val="0"/>
        <w:spacing w:line="576" w:lineRule="exact"/>
        <w:ind w:left="0" w:leftChars="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扎实推动“违法处置”攻坚。我局严格贯彻落实部省“源头严防、过程严管、后果严惩”的总要求，以改革思维、创新理念、务实举措推进违建处置，提升自然资源执法监管水平，更加高效服务广元经济社会高质量发展。一是严格开展卫片执法监督检查。2021年前3季度，自然资源部下发我市卫片执法图斑1286个，已全部完成核查填报，经核查判定共发现土地违法用地图斑303个，涉及土地面积5146.62亩，发现矿产违法图斑4个。同时，已全部完成省厅下发310个自主监测卫片执法图斑的实地核实和填报。二是稳步推进农村乱占耕地建房问题整改攻坚。扎实开展农村乱占耕地建房问题摸排工作“回头看”，对“不应纳入而纳入”和“应纳入而未纳入”的项目(宗地)进行了梳理并建立台账，发现“不应纳入而纳入”的项目(宗地)45个，发现“应纳入未纳入”项目(宗地)5167个，目前市、县均已建立台账，待国家平台开放后予以清理或上传。坚决遏制新增违法建房，印发了《关于遏制农村乱占耕地建房新增违法行为的通知》(广农房整治办〔2021〕4号)，再次对农村乱占耕地建房的责任及政策予以明确及强调，今年共上报4起违反“八不准”问题，已拆除复耕并上报验收资料1宗，其余3宗正积极整改。三是持续推进土地督察后续问题整改攻坚。2021年全市土地例行督察挂账问题需整改35个，共需还款5.237亿元。截止目前，共还款4.501亿元，已整改13个问题，另22个问题正积极推进中。四是持续推进国务院大督查问题整改攻坚。我局充分认识到国务院第八次大督查是贯彻习近平总书记关于加强督查工作重要指示批示精神的重大举措。把整改工作作为重大政治任务，“一把手”直接抓，制定了《迎接国务院第八次大督查工作方案》，成立了以局长为组长，其他党委成员为副组长，各部门负责人为成员的领导小组。通过半月向县区政府通报整改情况、向县区政府发提醒函等方式督促县区加强问题整改。截止目前，全市共整改问题58个，涉及G542、G543道路项目30个问题报件资料已上报国务院。五是全面纵深推进扫黑除恶常态化工作。成立常态化开展扫黑除恶工作领导小组，制定了相关工作方案，落实扫黑除恶斗争常态化及“砂霸”“矿霸”专项整治工作，与水利部门联合开展河道采砂整治，清退广元市境内重要河道沿岸无序违法开采活动，会同经信主管部门关停影响生态环境和存在安全隐患的砂石加工作坊，通过全系统的努力，2021年我局被表彰为全省扫黑除恶专项斗争先进单位。六是积极推进规划领域综合执法改革。我局按照《中共广元市委机构编制委员会关于印发〈广元市自然资源综合行政执法支队职能配置、内设机构和人员编制规定〉的通知》(广编发〔2021〕33号)要求，主动承接并积极推动市主城区、经开区范围内规划执法工作，抽调人员充实到利州区自然资源综合行政执法大队和经开区事务中心的基础上，协调利州区政府协助开展违法建设巡查、案件查办工作。制定了《规划执法动态巡查工作制度》，明确巡查边界和职责，完善自然资源执法程序和案件审查制度。严格执法加大案件查办力度，累计建档造册建设项目141个，发现违法线索34起，立案查处4起，督促拆除都铎臻城等违法建设12处。</w:t>
      </w:r>
    </w:p>
    <w:p>
      <w:pPr>
        <w:pageBreakBefore w:val="0"/>
        <w:widowControl w:val="0"/>
        <w:kinsoku/>
        <w:wordWrap/>
        <w:overflowPunct/>
        <w:topLinePunct w:val="0"/>
        <w:autoSpaceDE/>
        <w:autoSpaceDN/>
        <w:bidi w:val="0"/>
        <w:spacing w:line="576" w:lineRule="exact"/>
        <w:ind w:left="0" w:leftChars="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扎实推动“批而未供处置”攻坚。我局始终坚持以土地利用方式转变推动形成绿色发展方式和生活方式，积极盘活存量土地，促进节约集约用地。今年处置批而未供土地13924.6亩、闲置土地1161.8亩，处置率分别达到24.91%、51.47%，超额完成省厅下达的任务，相应产生土地利用计划指标6510.2亩，有效保障了绵苍高速(广元段)、西二环延伸段道路工程、省区域应急救援广元基地等重点项目用地需求。</w:t>
      </w:r>
    </w:p>
    <w:p>
      <w:pPr>
        <w:pStyle w:val="4"/>
        <w:pageBreakBefore w:val="0"/>
        <w:widowControl w:val="0"/>
        <w:kinsoku/>
        <w:wordWrap/>
        <w:overflowPunct/>
        <w:topLinePunct w:val="0"/>
        <w:autoSpaceDE/>
        <w:autoSpaceDN/>
        <w:bidi w:val="0"/>
        <w:spacing w:before="0" w:after="0" w:line="576" w:lineRule="exact"/>
        <w:ind w:left="0" w:leftChars="0" w:right="0" w:firstLine="640" w:firstLineChars="200"/>
        <w:textAlignment w:val="auto"/>
        <w:rPr>
          <w:rStyle w:val="25"/>
          <w:b w:val="0"/>
          <w:bCs w:val="0"/>
          <w:color w:val="auto"/>
          <w:highlight w:val="none"/>
        </w:rPr>
      </w:pPr>
      <w:bookmarkStart w:id="20" w:name="_Toc15377200"/>
      <w:bookmarkStart w:id="21" w:name="_Toc15396601"/>
      <w:r>
        <w:rPr>
          <w:rFonts w:hint="eastAsia" w:ascii="黑体" w:eastAsia="黑体"/>
          <w:b w:val="0"/>
          <w:color w:val="auto"/>
          <w:highlight w:val="none"/>
        </w:rPr>
        <w:t>二、</w:t>
      </w:r>
      <w:r>
        <w:rPr>
          <w:rFonts w:hint="eastAsia" w:ascii="黑体" w:hAnsi="黑体" w:eastAsia="黑体"/>
          <w:b w:val="0"/>
          <w:color w:val="auto"/>
          <w:highlight w:val="none"/>
        </w:rPr>
        <w:t>机</w:t>
      </w:r>
      <w:r>
        <w:rPr>
          <w:rStyle w:val="25"/>
          <w:rFonts w:hint="eastAsia" w:ascii="黑体" w:hAnsi="黑体" w:eastAsia="黑体"/>
          <w:b w:val="0"/>
          <w:bCs w:val="0"/>
          <w:color w:val="auto"/>
          <w:highlight w:val="none"/>
        </w:rPr>
        <w:t>构设置</w:t>
      </w:r>
      <w:bookmarkEnd w:id="20"/>
      <w:bookmarkEnd w:id="21"/>
    </w:p>
    <w:p>
      <w:pPr>
        <w:pageBreakBefore w:val="0"/>
        <w:widowControl w:val="0"/>
        <w:kinsoku/>
        <w:wordWrap/>
        <w:overflowPunct/>
        <w:topLinePunct w:val="0"/>
        <w:autoSpaceDE/>
        <w:autoSpaceDN/>
        <w:bidi w:val="0"/>
        <w:spacing w:line="576" w:lineRule="exact"/>
        <w:ind w:left="0" w:leftChars="0" w:righ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元市自然资源局下属单位9个（包括两个未独立核算的事业单位：广元市自然资源综合行政执法支队和广元市自然资源信息和档案中心），其中行政单位0个，参照公务员法管理的事业单位2个，其他事业单位7个。</w:t>
      </w:r>
    </w:p>
    <w:p>
      <w:pPr>
        <w:pageBreakBefore w:val="0"/>
        <w:widowControl w:val="0"/>
        <w:kinsoku/>
        <w:wordWrap/>
        <w:overflowPunct/>
        <w:topLinePunct w:val="0"/>
        <w:autoSpaceDE/>
        <w:autoSpaceDN/>
        <w:bidi w:val="0"/>
        <w:spacing w:line="576" w:lineRule="exact"/>
        <w:ind w:left="0" w:leftChars="0" w:righ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纳入广元市自然资源局2021年度部门决算编制范围的二级预算单位包括：</w:t>
      </w:r>
    </w:p>
    <w:p>
      <w:pPr>
        <w:pStyle w:val="2"/>
        <w:rPr>
          <w:rFonts w:hint="default"/>
          <w:lang w:val="en-US" w:eastAsia="zh-CN"/>
        </w:rPr>
      </w:pPr>
      <w:r>
        <w:rPr>
          <w:rFonts w:hint="eastAsia" w:ascii="仿宋_GB2312" w:hAnsi="仿宋_GB2312" w:eastAsia="仿宋_GB2312" w:cs="仿宋_GB2312"/>
          <w:sz w:val="32"/>
          <w:szCs w:val="32"/>
          <w:lang w:val="en-US" w:eastAsia="zh-CN"/>
        </w:rPr>
        <w:t xml:space="preserve">    1.广元市自然资源局（本级）</w:t>
      </w:r>
    </w:p>
    <w:p>
      <w:pPr>
        <w:pageBreakBefore w:val="0"/>
        <w:widowControl w:val="0"/>
        <w:kinsoku/>
        <w:wordWrap/>
        <w:overflowPunct/>
        <w:topLinePunct w:val="0"/>
        <w:autoSpaceDE/>
        <w:autoSpaceDN/>
        <w:bidi w:val="0"/>
        <w:spacing w:line="576" w:lineRule="exact"/>
        <w:ind w:left="0" w:leftChars="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广元市自然资源局经济开发区事务中心</w:t>
      </w:r>
    </w:p>
    <w:p>
      <w:pPr>
        <w:pageBreakBefore w:val="0"/>
        <w:widowControl w:val="0"/>
        <w:kinsoku/>
        <w:wordWrap/>
        <w:overflowPunct/>
        <w:topLinePunct w:val="0"/>
        <w:autoSpaceDE/>
        <w:autoSpaceDN/>
        <w:bidi w:val="0"/>
        <w:spacing w:line="576" w:lineRule="exact"/>
        <w:ind w:left="0" w:leftChars="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广元市地质环境监测站</w:t>
      </w:r>
    </w:p>
    <w:p>
      <w:pPr>
        <w:pageBreakBefore w:val="0"/>
        <w:widowControl w:val="0"/>
        <w:kinsoku/>
        <w:wordWrap/>
        <w:overflowPunct/>
        <w:topLinePunct w:val="0"/>
        <w:autoSpaceDE/>
        <w:autoSpaceDN/>
        <w:bidi w:val="0"/>
        <w:spacing w:line="576" w:lineRule="exact"/>
        <w:ind w:left="0" w:leftChars="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广元市不动产登记中心</w:t>
      </w:r>
    </w:p>
    <w:p>
      <w:pPr>
        <w:pageBreakBefore w:val="0"/>
        <w:widowControl w:val="0"/>
        <w:kinsoku/>
        <w:wordWrap/>
        <w:overflowPunct/>
        <w:topLinePunct w:val="0"/>
        <w:autoSpaceDE/>
        <w:autoSpaceDN/>
        <w:bidi w:val="0"/>
        <w:spacing w:line="576" w:lineRule="exact"/>
        <w:ind w:left="0" w:leftChars="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广元市国土整治中心</w:t>
      </w:r>
    </w:p>
    <w:p>
      <w:pPr>
        <w:pageBreakBefore w:val="0"/>
        <w:widowControl w:val="0"/>
        <w:kinsoku/>
        <w:wordWrap/>
        <w:overflowPunct/>
        <w:topLinePunct w:val="0"/>
        <w:autoSpaceDE/>
        <w:autoSpaceDN/>
        <w:bidi w:val="0"/>
        <w:spacing w:line="576" w:lineRule="exact"/>
        <w:ind w:left="0" w:leftChars="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广元市自然资源储备交易中心</w:t>
      </w:r>
    </w:p>
    <w:p>
      <w:pPr>
        <w:pageBreakBefore w:val="0"/>
        <w:widowControl w:val="0"/>
        <w:kinsoku/>
        <w:wordWrap/>
        <w:overflowPunct/>
        <w:topLinePunct w:val="0"/>
        <w:autoSpaceDE/>
        <w:autoSpaceDN/>
        <w:bidi w:val="0"/>
        <w:spacing w:line="576" w:lineRule="exact"/>
        <w:ind w:left="0" w:leftChars="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广元市测绘地理信息中心</w:t>
      </w:r>
    </w:p>
    <w:p>
      <w:pPr>
        <w:pageBreakBefore w:val="0"/>
        <w:widowControl w:val="0"/>
        <w:kinsoku/>
        <w:wordWrap/>
        <w:overflowPunct/>
        <w:topLinePunct w:val="0"/>
        <w:autoSpaceDE/>
        <w:autoSpaceDN/>
        <w:bidi w:val="0"/>
        <w:spacing w:line="576" w:lineRule="exact"/>
        <w:ind w:left="0" w:leftChars="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广元市地籍地政事务中心</w:t>
      </w:r>
    </w:p>
    <w:p>
      <w:pPr>
        <w:rPr>
          <w:rFonts w:hint="eastAsia" w:ascii="黑体" w:hAnsi="黑体" w:eastAsia="黑体"/>
          <w:b w:val="0"/>
          <w:bCs/>
          <w:color w:val="auto"/>
          <w:highlight w:val="none"/>
        </w:rPr>
      </w:pPr>
      <w:bookmarkStart w:id="22" w:name="_Toc15377204"/>
      <w:bookmarkStart w:id="23" w:name="_Toc15396602"/>
      <w:r>
        <w:rPr>
          <w:rFonts w:hint="eastAsia" w:ascii="黑体" w:hAnsi="黑体" w:eastAsia="黑体"/>
          <w:b w:val="0"/>
          <w:bCs/>
          <w:color w:val="auto"/>
          <w:highlight w:val="none"/>
        </w:rPr>
        <w:br w:type="page"/>
      </w:r>
    </w:p>
    <w:p>
      <w:pPr>
        <w:pStyle w:val="3"/>
        <w:pageBreakBefore w:val="0"/>
        <w:kinsoku/>
        <w:wordWrap/>
        <w:overflowPunct/>
        <w:topLinePunct w:val="0"/>
        <w:bidi w:val="0"/>
        <w:spacing w:before="0" w:after="0" w:line="576" w:lineRule="exact"/>
        <w:ind w:left="0" w:leftChars="0" w:right="0"/>
        <w:jc w:val="center"/>
        <w:textAlignment w:val="auto"/>
        <w:rPr>
          <w:rStyle w:val="24"/>
          <w:rFonts w:ascii="黑体" w:hAnsi="黑体" w:eastAsia="黑体"/>
          <w:b w:val="0"/>
          <w:bCs/>
          <w:color w:val="auto"/>
          <w:highlight w:val="none"/>
        </w:rPr>
      </w:pPr>
      <w:r>
        <w:rPr>
          <w:rFonts w:hint="eastAsia" w:ascii="黑体" w:hAnsi="黑体" w:eastAsia="黑体"/>
          <w:b w:val="0"/>
          <w:bCs/>
          <w:color w:val="auto"/>
          <w:highlight w:val="none"/>
        </w:rPr>
        <w:t>第二部分</w:t>
      </w:r>
      <w:r>
        <w:rPr>
          <w:rFonts w:hint="eastAsia" w:ascii="黑体" w:hAnsi="黑体" w:eastAsia="黑体"/>
          <w:b w:val="0"/>
          <w:bCs/>
          <w:color w:val="auto"/>
          <w:highlight w:val="none"/>
          <w:lang w:val="en-US" w:eastAsia="zh-CN"/>
        </w:rPr>
        <w:t>2021年度</w:t>
      </w:r>
      <w:r>
        <w:rPr>
          <w:rStyle w:val="24"/>
          <w:rFonts w:hint="eastAsia" w:ascii="黑体" w:hAnsi="黑体" w:eastAsia="黑体"/>
          <w:b w:val="0"/>
          <w:bCs/>
          <w:color w:val="auto"/>
          <w:highlight w:val="none"/>
        </w:rPr>
        <w:t>部门决算情况说明</w:t>
      </w:r>
      <w:bookmarkEnd w:id="22"/>
      <w:bookmarkEnd w:id="23"/>
    </w:p>
    <w:p>
      <w:pPr>
        <w:pageBreakBefore w:val="0"/>
        <w:kinsoku/>
        <w:wordWrap/>
        <w:overflowPunct/>
        <w:topLinePunct w:val="0"/>
        <w:bidi w:val="0"/>
        <w:spacing w:line="576" w:lineRule="exact"/>
        <w:ind w:left="0" w:leftChars="0" w:right="0"/>
        <w:textAlignment w:val="auto"/>
        <w:rPr>
          <w:color w:val="auto"/>
          <w:highlight w:val="none"/>
        </w:rPr>
      </w:pPr>
    </w:p>
    <w:p>
      <w:pPr>
        <w:keepNext w:val="0"/>
        <w:keepLines w:val="0"/>
        <w:pageBreakBefore w:val="0"/>
        <w:kinsoku/>
        <w:wordWrap/>
        <w:overflowPunct/>
        <w:topLinePunct w:val="0"/>
        <w:bidi w:val="0"/>
        <w:snapToGrid/>
        <w:spacing w:line="576" w:lineRule="exact"/>
        <w:ind w:left="0" w:leftChars="0" w:right="0" w:firstLine="640" w:firstLineChars="200"/>
        <w:textAlignment w:val="auto"/>
        <w:outlineLvl w:val="1"/>
        <w:rPr>
          <w:rFonts w:hint="eastAsia" w:ascii="黑体" w:hAnsi="黑体" w:eastAsia="黑体"/>
          <w:color w:val="auto"/>
          <w:sz w:val="32"/>
          <w:szCs w:val="32"/>
          <w:highlight w:val="none"/>
        </w:rPr>
      </w:pPr>
      <w:bookmarkStart w:id="24" w:name="_Toc15377205"/>
      <w:bookmarkStart w:id="25" w:name="_Toc15396603"/>
      <w:r>
        <w:rPr>
          <w:rFonts w:hint="eastAsia" w:ascii="黑体" w:hAnsi="黑体" w:eastAsia="黑体"/>
          <w:color w:val="auto"/>
          <w:sz w:val="32"/>
          <w:szCs w:val="32"/>
          <w:highlight w:val="none"/>
          <w:lang w:eastAsia="zh-CN"/>
        </w:rPr>
        <w:t>一、</w:t>
      </w:r>
      <w:r>
        <w:rPr>
          <w:rFonts w:hint="eastAsia" w:ascii="黑体" w:hAnsi="黑体" w:eastAsia="黑体"/>
          <w:color w:val="auto"/>
          <w:sz w:val="32"/>
          <w:szCs w:val="32"/>
          <w:highlight w:val="none"/>
        </w:rPr>
        <w:t>收入支出决算总体情况说明</w:t>
      </w:r>
      <w:bookmarkEnd w:id="24"/>
      <w:bookmarkEnd w:id="25"/>
    </w:p>
    <w:p>
      <w:pPr>
        <w:keepNext w:val="0"/>
        <w:keepLines w:val="0"/>
        <w:pageBreakBefore w:val="0"/>
        <w:widowControl/>
        <w:kinsoku/>
        <w:wordWrap/>
        <w:overflowPunct/>
        <w:topLinePunct w:val="0"/>
        <w:bidi w:val="0"/>
        <w:snapToGrid/>
        <w:spacing w:line="576" w:lineRule="exact"/>
        <w:ind w:left="0" w:leftChars="0" w:right="0"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auto"/>
          <w:sz w:val="32"/>
          <w:szCs w:val="32"/>
          <w:highlight w:val="none"/>
        </w:rPr>
        <w:t>20</w:t>
      </w:r>
      <w:r>
        <w:rPr>
          <w:rFonts w:hint="eastAsia" w:ascii="仿宋_GB2312" w:hAnsi="仿宋_GB2312" w:eastAsia="仿宋_GB2312" w:cs="仿宋_GB2312"/>
          <w:color w:val="auto"/>
          <w:sz w:val="32"/>
          <w:szCs w:val="32"/>
          <w:highlight w:val="none"/>
          <w:lang w:val="en-US" w:eastAsia="zh-CN"/>
        </w:rPr>
        <w:t>21</w:t>
      </w:r>
      <w:r>
        <w:rPr>
          <w:rFonts w:hint="eastAsia" w:ascii="仿宋_GB2312" w:hAnsi="仿宋_GB2312" w:eastAsia="仿宋_GB2312" w:cs="仿宋_GB2312"/>
          <w:color w:val="auto"/>
          <w:sz w:val="32"/>
          <w:szCs w:val="32"/>
          <w:highlight w:val="none"/>
        </w:rPr>
        <w:t>年度收、支总计</w:t>
      </w:r>
      <w:r>
        <w:rPr>
          <w:rFonts w:hint="eastAsia" w:ascii="仿宋_GB2312" w:hAnsi="仿宋_GB2312" w:eastAsia="仿宋_GB2312" w:cs="仿宋_GB2312"/>
          <w:color w:val="auto"/>
          <w:sz w:val="32"/>
          <w:szCs w:val="32"/>
          <w:highlight w:val="none"/>
          <w:lang w:val="en-US" w:eastAsia="zh-CN"/>
        </w:rPr>
        <w:t>13742.23</w:t>
      </w:r>
      <w:r>
        <w:rPr>
          <w:rFonts w:hint="eastAsia" w:ascii="仿宋_GB2312" w:hAnsi="仿宋_GB2312" w:eastAsia="仿宋_GB2312" w:cs="仿宋_GB2312"/>
          <w:color w:val="auto"/>
          <w:sz w:val="32"/>
          <w:szCs w:val="32"/>
          <w:highlight w:val="none"/>
        </w:rPr>
        <w:t>万元。与20</w:t>
      </w:r>
      <w:r>
        <w:rPr>
          <w:rFonts w:hint="eastAsia" w:ascii="仿宋_GB2312" w:hAnsi="仿宋_GB2312" w:eastAsia="仿宋_GB2312" w:cs="仿宋_GB2312"/>
          <w:color w:val="auto"/>
          <w:sz w:val="32"/>
          <w:szCs w:val="32"/>
          <w:highlight w:val="none"/>
          <w:lang w:val="en-US" w:eastAsia="zh-CN"/>
        </w:rPr>
        <w:t>20</w:t>
      </w:r>
      <w:r>
        <w:rPr>
          <w:rFonts w:hint="eastAsia" w:ascii="仿宋_GB2312" w:hAnsi="仿宋_GB2312" w:eastAsia="仿宋_GB2312" w:cs="仿宋_GB2312"/>
          <w:color w:val="auto"/>
          <w:sz w:val="32"/>
          <w:szCs w:val="32"/>
          <w:highlight w:val="none"/>
        </w:rPr>
        <w:t>年相比，收、支总计各减少</w:t>
      </w:r>
      <w:r>
        <w:rPr>
          <w:rFonts w:hint="eastAsia" w:ascii="仿宋_GB2312" w:hAnsi="仿宋_GB2312" w:eastAsia="仿宋_GB2312" w:cs="仿宋_GB2312"/>
          <w:color w:val="auto"/>
          <w:sz w:val="32"/>
          <w:szCs w:val="32"/>
          <w:highlight w:val="none"/>
          <w:lang w:val="en-US" w:eastAsia="zh-CN"/>
        </w:rPr>
        <w:t>130.36</w:t>
      </w:r>
      <w:r>
        <w:rPr>
          <w:rFonts w:hint="eastAsia" w:ascii="仿宋_GB2312" w:hAnsi="仿宋_GB2312" w:eastAsia="仿宋_GB2312" w:cs="仿宋_GB2312"/>
          <w:color w:val="auto"/>
          <w:sz w:val="32"/>
          <w:szCs w:val="32"/>
          <w:highlight w:val="none"/>
        </w:rPr>
        <w:t>万元，下降</w:t>
      </w:r>
      <w:r>
        <w:rPr>
          <w:rFonts w:hint="eastAsia" w:ascii="仿宋_GB2312" w:hAnsi="仿宋_GB2312" w:eastAsia="仿宋_GB2312" w:cs="仿宋_GB2312"/>
          <w:color w:val="auto"/>
          <w:sz w:val="32"/>
          <w:szCs w:val="32"/>
          <w:highlight w:val="none"/>
          <w:lang w:val="en-US" w:eastAsia="zh-CN"/>
        </w:rPr>
        <w:t>9.4</w:t>
      </w:r>
      <w:r>
        <w:rPr>
          <w:rFonts w:hint="eastAsia" w:ascii="仿宋_GB2312" w:hAnsi="仿宋_GB2312" w:eastAsia="仿宋_GB2312" w:cs="仿宋_GB2312"/>
          <w:color w:val="auto"/>
          <w:sz w:val="32"/>
          <w:szCs w:val="32"/>
          <w:highlight w:val="none"/>
        </w:rPr>
        <w:t>%。主要变动原因</w:t>
      </w:r>
      <w:r>
        <w:rPr>
          <w:rFonts w:hint="eastAsia" w:ascii="仿宋_GB2312" w:hAnsi="仿宋_GB2312" w:eastAsia="仿宋_GB2312" w:cs="仿宋_GB2312"/>
          <w:color w:val="auto"/>
          <w:sz w:val="32"/>
          <w:szCs w:val="32"/>
          <w:highlight w:val="none"/>
          <w:lang w:val="en-US" w:eastAsia="zh-CN"/>
        </w:rPr>
        <w:t>一是其他收入项减少，二</w:t>
      </w:r>
      <w:r>
        <w:rPr>
          <w:rFonts w:hint="eastAsia" w:ascii="仿宋_GB2312" w:hAnsi="仿宋_GB2312" w:eastAsia="仿宋_GB2312" w:cs="仿宋_GB2312"/>
          <w:color w:val="auto"/>
          <w:sz w:val="32"/>
          <w:szCs w:val="32"/>
          <w:highlight w:val="none"/>
        </w:rPr>
        <w:t>是</w:t>
      </w:r>
      <w:r>
        <w:rPr>
          <w:rFonts w:hint="eastAsia" w:ascii="仿宋_GB2312" w:hAnsi="仿宋_GB2312" w:eastAsia="仿宋_GB2312" w:cs="仿宋_GB2312"/>
          <w:color w:val="000000"/>
          <w:sz w:val="32"/>
          <w:szCs w:val="32"/>
        </w:rPr>
        <w:t>严格控制经费，压缩各项支出。</w:t>
      </w:r>
    </w:p>
    <w:p>
      <w:pPr>
        <w:keepNext w:val="0"/>
        <w:keepLines w:val="0"/>
        <w:pageBreakBefore w:val="0"/>
        <w:kinsoku/>
        <w:wordWrap/>
        <w:overflowPunct/>
        <w:topLinePunct w:val="0"/>
        <w:bidi w:val="0"/>
        <w:snapToGrid/>
        <w:spacing w:line="576" w:lineRule="exact"/>
        <w:ind w:left="0" w:leftChars="0" w:right="0" w:firstLine="420" w:firstLineChars="200"/>
        <w:jc w:val="left"/>
        <w:textAlignment w:val="auto"/>
        <w:rPr>
          <w:rFonts w:hint="eastAsia" w:ascii="仿宋_GB2312" w:hAnsi="仿宋_GB2312" w:eastAsia="仿宋_GB2312" w:cs="仿宋_GB2312"/>
          <w:color w:val="auto"/>
          <w:sz w:val="32"/>
          <w:szCs w:val="32"/>
          <w:highlight w:val="none"/>
        </w:rPr>
      </w:pPr>
      <w:r>
        <w:drawing>
          <wp:anchor distT="0" distB="0" distL="114300" distR="114300" simplePos="0" relativeHeight="251659264" behindDoc="1" locked="0" layoutInCell="1" allowOverlap="1">
            <wp:simplePos x="0" y="0"/>
            <wp:positionH relativeFrom="column">
              <wp:posOffset>176530</wp:posOffset>
            </wp:positionH>
            <wp:positionV relativeFrom="paragraph">
              <wp:posOffset>186690</wp:posOffset>
            </wp:positionV>
            <wp:extent cx="5670550" cy="3022600"/>
            <wp:effectExtent l="4445" t="4445" r="20955" b="20955"/>
            <wp:wrapNone/>
            <wp:docPr id="5"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keepNext w:val="0"/>
        <w:keepLines w:val="0"/>
        <w:pageBreakBefore w:val="0"/>
        <w:kinsoku/>
        <w:wordWrap/>
        <w:overflowPunct/>
        <w:topLinePunct w:val="0"/>
        <w:bidi w:val="0"/>
        <w:snapToGrid/>
        <w:spacing w:line="576" w:lineRule="exact"/>
        <w:ind w:left="0" w:leftChars="0" w:right="0" w:firstLine="640" w:firstLineChars="200"/>
        <w:jc w:val="left"/>
        <w:textAlignment w:val="auto"/>
        <w:rPr>
          <w:rFonts w:hint="eastAsia" w:ascii="仿宋_GB2312" w:hAnsi="仿宋_GB2312" w:eastAsia="仿宋_GB2312" w:cs="仿宋_GB2312"/>
          <w:color w:val="auto"/>
          <w:sz w:val="32"/>
          <w:szCs w:val="32"/>
          <w:highlight w:val="none"/>
        </w:rPr>
      </w:pPr>
    </w:p>
    <w:p>
      <w:pPr>
        <w:keepNext w:val="0"/>
        <w:keepLines w:val="0"/>
        <w:pageBreakBefore w:val="0"/>
        <w:kinsoku/>
        <w:wordWrap/>
        <w:overflowPunct/>
        <w:topLinePunct w:val="0"/>
        <w:bidi w:val="0"/>
        <w:snapToGrid/>
        <w:spacing w:line="576" w:lineRule="exact"/>
        <w:ind w:left="0" w:leftChars="0" w:right="0" w:firstLine="640" w:firstLineChars="200"/>
        <w:jc w:val="left"/>
        <w:textAlignment w:val="auto"/>
        <w:rPr>
          <w:rFonts w:hint="eastAsia" w:ascii="仿宋_GB2312" w:hAnsi="仿宋_GB2312" w:eastAsia="仿宋_GB2312" w:cs="仿宋_GB2312"/>
          <w:color w:val="auto"/>
          <w:sz w:val="32"/>
          <w:szCs w:val="32"/>
          <w:highlight w:val="none"/>
        </w:rPr>
      </w:pPr>
    </w:p>
    <w:p>
      <w:pPr>
        <w:keepNext w:val="0"/>
        <w:keepLines w:val="0"/>
        <w:pageBreakBefore w:val="0"/>
        <w:kinsoku/>
        <w:wordWrap/>
        <w:overflowPunct/>
        <w:topLinePunct w:val="0"/>
        <w:bidi w:val="0"/>
        <w:snapToGrid/>
        <w:spacing w:line="576" w:lineRule="exact"/>
        <w:ind w:left="0" w:leftChars="0" w:right="0" w:firstLine="640" w:firstLineChars="200"/>
        <w:jc w:val="left"/>
        <w:textAlignment w:val="auto"/>
        <w:rPr>
          <w:rFonts w:hint="eastAsia" w:ascii="仿宋_GB2312" w:hAnsi="仿宋_GB2312" w:eastAsia="仿宋_GB2312" w:cs="仿宋_GB2312"/>
          <w:color w:val="auto"/>
          <w:sz w:val="32"/>
          <w:szCs w:val="32"/>
          <w:highlight w:val="none"/>
        </w:rPr>
      </w:pPr>
    </w:p>
    <w:p>
      <w:pPr>
        <w:keepNext w:val="0"/>
        <w:keepLines w:val="0"/>
        <w:pageBreakBefore w:val="0"/>
        <w:kinsoku/>
        <w:wordWrap/>
        <w:overflowPunct/>
        <w:topLinePunct w:val="0"/>
        <w:bidi w:val="0"/>
        <w:snapToGrid/>
        <w:spacing w:line="576" w:lineRule="exact"/>
        <w:ind w:left="0" w:leftChars="0" w:right="0" w:firstLine="640" w:firstLineChars="200"/>
        <w:jc w:val="left"/>
        <w:textAlignment w:val="auto"/>
        <w:rPr>
          <w:rFonts w:hint="eastAsia" w:ascii="仿宋_GB2312" w:hAnsi="仿宋_GB2312" w:eastAsia="仿宋_GB2312" w:cs="仿宋_GB2312"/>
          <w:color w:val="auto"/>
          <w:sz w:val="32"/>
          <w:szCs w:val="32"/>
          <w:highlight w:val="none"/>
        </w:rPr>
      </w:pPr>
    </w:p>
    <w:p>
      <w:pPr>
        <w:pStyle w:val="2"/>
        <w:rPr>
          <w:rFonts w:hint="eastAsia" w:ascii="仿宋_GB2312" w:hAnsi="仿宋_GB2312" w:eastAsia="仿宋_GB2312" w:cs="仿宋_GB2312"/>
          <w:color w:val="auto"/>
          <w:sz w:val="32"/>
          <w:szCs w:val="32"/>
          <w:highlight w:val="none"/>
        </w:rPr>
      </w:pPr>
    </w:p>
    <w:p>
      <w:pPr>
        <w:pStyle w:val="2"/>
        <w:rPr>
          <w:rFonts w:hint="eastAsia" w:ascii="仿宋_GB2312" w:hAnsi="仿宋_GB2312" w:eastAsia="仿宋_GB2312" w:cs="仿宋_GB2312"/>
          <w:color w:val="auto"/>
          <w:sz w:val="32"/>
          <w:szCs w:val="32"/>
          <w:highlight w:val="none"/>
        </w:rPr>
      </w:pPr>
    </w:p>
    <w:p>
      <w:pPr>
        <w:pStyle w:val="2"/>
        <w:rPr>
          <w:rFonts w:hint="eastAsia" w:ascii="仿宋_GB2312" w:hAnsi="仿宋_GB2312" w:eastAsia="仿宋_GB2312" w:cs="仿宋_GB2312"/>
          <w:color w:val="auto"/>
          <w:sz w:val="32"/>
          <w:szCs w:val="32"/>
          <w:highlight w:val="none"/>
        </w:rPr>
      </w:pPr>
    </w:p>
    <w:p>
      <w:pPr>
        <w:keepNext w:val="0"/>
        <w:keepLines w:val="0"/>
        <w:pageBreakBefore w:val="0"/>
        <w:kinsoku/>
        <w:wordWrap/>
        <w:overflowPunct/>
        <w:topLinePunct w:val="0"/>
        <w:bidi w:val="0"/>
        <w:snapToGrid/>
        <w:spacing w:line="576" w:lineRule="exact"/>
        <w:ind w:left="0" w:leftChars="0" w:right="0" w:firstLine="640" w:firstLineChars="200"/>
        <w:jc w:val="left"/>
        <w:textAlignment w:val="auto"/>
        <w:rPr>
          <w:rFonts w:hint="eastAsia" w:ascii="仿宋_GB2312" w:hAnsi="仿宋_GB2312" w:eastAsia="仿宋_GB2312" w:cs="仿宋_GB2312"/>
          <w:color w:val="auto"/>
          <w:sz w:val="32"/>
          <w:szCs w:val="32"/>
          <w:highlight w:val="none"/>
        </w:rPr>
      </w:pPr>
    </w:p>
    <w:p>
      <w:pPr>
        <w:pStyle w:val="2"/>
        <w:rPr>
          <w:rFonts w:hint="eastAsia" w:ascii="仿宋_GB2312" w:hAnsi="仿宋_GB2312" w:eastAsia="仿宋_GB2312" w:cs="仿宋_GB2312"/>
          <w:color w:val="auto"/>
          <w:sz w:val="32"/>
          <w:szCs w:val="32"/>
          <w:highlight w:val="none"/>
        </w:rPr>
      </w:pPr>
    </w:p>
    <w:p>
      <w:pPr>
        <w:pStyle w:val="2"/>
        <w:rPr>
          <w:rFonts w:hint="eastAsia" w:ascii="仿宋_GB2312" w:hAnsi="仿宋_GB2312" w:eastAsia="仿宋_GB2312" w:cs="仿宋_GB2312"/>
          <w:color w:val="auto"/>
          <w:sz w:val="32"/>
          <w:szCs w:val="32"/>
          <w:highlight w:val="none"/>
        </w:rPr>
      </w:pPr>
    </w:p>
    <w:p>
      <w:pPr>
        <w:keepNext w:val="0"/>
        <w:keepLines w:val="0"/>
        <w:pageBreakBefore w:val="0"/>
        <w:kinsoku/>
        <w:wordWrap/>
        <w:overflowPunct/>
        <w:topLinePunct w:val="0"/>
        <w:bidi w:val="0"/>
        <w:snapToGrid/>
        <w:spacing w:line="576" w:lineRule="exact"/>
        <w:ind w:left="0" w:leftChars="0" w:right="0" w:firstLine="640" w:firstLineChars="200"/>
        <w:textAlignment w:val="auto"/>
        <w:outlineLvl w:val="1"/>
        <w:rPr>
          <w:rFonts w:hint="eastAsia" w:ascii="黑体" w:hAnsi="黑体" w:eastAsia="黑体"/>
          <w:color w:val="auto"/>
          <w:sz w:val="32"/>
          <w:szCs w:val="32"/>
          <w:highlight w:val="none"/>
        </w:rPr>
      </w:pPr>
      <w:bookmarkStart w:id="26" w:name="_Toc15396604"/>
      <w:bookmarkStart w:id="27" w:name="_Toc15377206"/>
      <w:r>
        <w:rPr>
          <w:rFonts w:hint="eastAsia" w:ascii="黑体" w:hAnsi="黑体" w:eastAsia="黑体"/>
          <w:color w:val="auto"/>
          <w:sz w:val="32"/>
          <w:szCs w:val="32"/>
          <w:highlight w:val="none"/>
          <w:lang w:eastAsia="zh-CN"/>
        </w:rPr>
        <w:t>二、</w:t>
      </w:r>
      <w:bookmarkStart w:id="28" w:name="OLE_LINK1"/>
      <w:r>
        <w:rPr>
          <w:rFonts w:hint="eastAsia" w:ascii="黑体" w:hAnsi="黑体" w:eastAsia="黑体"/>
          <w:color w:val="auto"/>
          <w:sz w:val="32"/>
          <w:szCs w:val="32"/>
          <w:highlight w:val="none"/>
        </w:rPr>
        <w:t>收入</w:t>
      </w:r>
      <w:bookmarkEnd w:id="28"/>
      <w:r>
        <w:rPr>
          <w:rFonts w:hint="eastAsia" w:ascii="黑体" w:hAnsi="黑体" w:eastAsia="黑体"/>
          <w:color w:val="auto"/>
          <w:sz w:val="32"/>
          <w:szCs w:val="32"/>
          <w:highlight w:val="none"/>
        </w:rPr>
        <w:t>决算情况说明</w:t>
      </w:r>
      <w:bookmarkEnd w:id="26"/>
      <w:bookmarkEnd w:id="27"/>
    </w:p>
    <w:p>
      <w:pPr>
        <w:keepNext w:val="0"/>
        <w:keepLines w:val="0"/>
        <w:pageBreakBefore w:val="0"/>
        <w:widowControl/>
        <w:kinsoku/>
        <w:wordWrap/>
        <w:overflowPunct/>
        <w:topLinePunct w:val="0"/>
        <w:bidi w:val="0"/>
        <w:snapToGrid/>
        <w:spacing w:line="576" w:lineRule="exact"/>
        <w:ind w:left="0" w:leftChars="0" w:right="0" w:firstLine="640" w:firstLineChars="200"/>
        <w:jc w:val="left"/>
        <w:textAlignment w:val="auto"/>
        <w:rPr>
          <w:rFonts w:ascii="仿宋" w:hAnsi="仿宋" w:eastAsia="仿宋"/>
          <w:color w:val="auto"/>
          <w:sz w:val="32"/>
          <w:szCs w:val="32"/>
          <w:highlight w:val="none"/>
        </w:rPr>
      </w:pPr>
      <w:r>
        <w:rPr>
          <w:rFonts w:hint="eastAsia" w:ascii="仿宋_GB2312" w:hAnsi="仿宋_GB2312" w:eastAsia="仿宋_GB2312" w:cs="仿宋_GB2312"/>
          <w:color w:val="auto"/>
          <w:sz w:val="32"/>
          <w:szCs w:val="32"/>
          <w:highlight w:val="none"/>
        </w:rPr>
        <w:t>20</w:t>
      </w:r>
      <w:r>
        <w:rPr>
          <w:rFonts w:hint="eastAsia" w:ascii="仿宋_GB2312" w:hAnsi="仿宋_GB2312" w:eastAsia="仿宋_GB2312" w:cs="仿宋_GB2312"/>
          <w:color w:val="auto"/>
          <w:sz w:val="32"/>
          <w:szCs w:val="32"/>
          <w:highlight w:val="none"/>
          <w:lang w:val="en-US" w:eastAsia="zh-CN"/>
        </w:rPr>
        <w:t>21</w:t>
      </w:r>
      <w:r>
        <w:rPr>
          <w:rFonts w:hint="eastAsia" w:ascii="仿宋_GB2312" w:hAnsi="仿宋_GB2312" w:eastAsia="仿宋_GB2312" w:cs="仿宋_GB2312"/>
          <w:color w:val="auto"/>
          <w:sz w:val="32"/>
          <w:szCs w:val="32"/>
          <w:highlight w:val="none"/>
        </w:rPr>
        <w:t>年本年收入合计</w:t>
      </w:r>
      <w:r>
        <w:rPr>
          <w:rFonts w:hint="eastAsia" w:ascii="仿宋_GB2312" w:hAnsi="仿宋_GB2312" w:eastAsia="仿宋_GB2312" w:cs="仿宋_GB2312"/>
          <w:color w:val="auto"/>
          <w:sz w:val="32"/>
          <w:szCs w:val="32"/>
          <w:highlight w:val="none"/>
          <w:lang w:val="en-US" w:eastAsia="zh-CN"/>
        </w:rPr>
        <w:t>11409.07</w:t>
      </w:r>
      <w:r>
        <w:rPr>
          <w:rFonts w:hint="eastAsia" w:ascii="仿宋_GB2312" w:hAnsi="仿宋_GB2312" w:eastAsia="仿宋_GB2312" w:cs="仿宋_GB2312"/>
          <w:color w:val="auto"/>
          <w:sz w:val="32"/>
          <w:szCs w:val="32"/>
          <w:highlight w:val="none"/>
        </w:rPr>
        <w:t>万元，其中：一般公共预算财政拨款收入</w:t>
      </w:r>
      <w:r>
        <w:rPr>
          <w:rFonts w:hint="eastAsia" w:ascii="仿宋_GB2312" w:hAnsi="仿宋_GB2312" w:eastAsia="仿宋_GB2312" w:cs="仿宋_GB2312"/>
          <w:color w:val="auto"/>
          <w:sz w:val="32"/>
          <w:szCs w:val="32"/>
          <w:highlight w:val="none"/>
          <w:lang w:val="en-US" w:eastAsia="zh-CN"/>
        </w:rPr>
        <w:t>4262.11</w:t>
      </w:r>
      <w:r>
        <w:rPr>
          <w:rFonts w:hint="eastAsia" w:ascii="仿宋_GB2312" w:hAnsi="仿宋_GB2312" w:eastAsia="仿宋_GB2312" w:cs="仿宋_GB2312"/>
          <w:color w:val="auto"/>
          <w:sz w:val="32"/>
          <w:szCs w:val="32"/>
          <w:highlight w:val="none"/>
        </w:rPr>
        <w:t>万元，占</w:t>
      </w:r>
      <w:r>
        <w:rPr>
          <w:rFonts w:hint="eastAsia" w:ascii="仿宋_GB2312" w:hAnsi="仿宋_GB2312" w:eastAsia="仿宋_GB2312" w:cs="仿宋_GB2312"/>
          <w:color w:val="auto"/>
          <w:sz w:val="32"/>
          <w:szCs w:val="32"/>
          <w:highlight w:val="none"/>
          <w:lang w:val="en-US" w:eastAsia="zh-CN"/>
        </w:rPr>
        <w:t>37.36</w:t>
      </w:r>
      <w:r>
        <w:rPr>
          <w:rFonts w:hint="eastAsia" w:ascii="仿宋_GB2312" w:hAnsi="仿宋_GB2312" w:eastAsia="仿宋_GB2312" w:cs="仿宋_GB2312"/>
          <w:color w:val="auto"/>
          <w:sz w:val="32"/>
          <w:szCs w:val="32"/>
          <w:highlight w:val="none"/>
        </w:rPr>
        <w:t>%；政府性基金预算财政拨款收入</w:t>
      </w:r>
      <w:r>
        <w:rPr>
          <w:rFonts w:hint="eastAsia" w:ascii="仿宋_GB2312" w:hAnsi="仿宋_GB2312" w:eastAsia="仿宋_GB2312" w:cs="仿宋_GB2312"/>
          <w:color w:val="auto"/>
          <w:sz w:val="32"/>
          <w:szCs w:val="32"/>
          <w:highlight w:val="none"/>
          <w:lang w:val="en-US" w:eastAsia="zh-CN"/>
        </w:rPr>
        <w:t>6735.49</w:t>
      </w:r>
      <w:r>
        <w:rPr>
          <w:rFonts w:hint="eastAsia" w:ascii="仿宋_GB2312" w:hAnsi="仿宋_GB2312" w:eastAsia="仿宋_GB2312" w:cs="仿宋_GB2312"/>
          <w:color w:val="auto"/>
          <w:sz w:val="32"/>
          <w:szCs w:val="32"/>
          <w:highlight w:val="none"/>
        </w:rPr>
        <w:t>万元，占</w:t>
      </w:r>
      <w:r>
        <w:rPr>
          <w:rFonts w:hint="eastAsia" w:ascii="仿宋_GB2312" w:hAnsi="仿宋_GB2312" w:eastAsia="仿宋_GB2312" w:cs="仿宋_GB2312"/>
          <w:color w:val="auto"/>
          <w:sz w:val="32"/>
          <w:szCs w:val="32"/>
          <w:highlight w:val="none"/>
          <w:lang w:val="en-US" w:eastAsia="zh-CN"/>
        </w:rPr>
        <w:t>59.04</w:t>
      </w:r>
      <w:r>
        <w:rPr>
          <w:rFonts w:hint="eastAsia" w:ascii="仿宋_GB2312" w:hAnsi="仿宋_GB2312" w:eastAsia="仿宋_GB2312" w:cs="仿宋_GB2312"/>
          <w:color w:val="auto"/>
          <w:sz w:val="32"/>
          <w:szCs w:val="32"/>
          <w:highlight w:val="none"/>
        </w:rPr>
        <w:t>%；其他收入</w:t>
      </w:r>
      <w:r>
        <w:rPr>
          <w:rFonts w:hint="eastAsia" w:ascii="仿宋_GB2312" w:hAnsi="仿宋_GB2312" w:eastAsia="仿宋_GB2312" w:cs="仿宋_GB2312"/>
          <w:color w:val="auto"/>
          <w:sz w:val="32"/>
          <w:szCs w:val="32"/>
          <w:highlight w:val="none"/>
          <w:lang w:val="en-US" w:eastAsia="zh-CN"/>
        </w:rPr>
        <w:t>411.47</w:t>
      </w:r>
      <w:r>
        <w:rPr>
          <w:rFonts w:hint="eastAsia" w:ascii="仿宋_GB2312" w:hAnsi="仿宋_GB2312" w:eastAsia="仿宋_GB2312" w:cs="仿宋_GB2312"/>
          <w:color w:val="auto"/>
          <w:sz w:val="32"/>
          <w:szCs w:val="32"/>
          <w:highlight w:val="none"/>
        </w:rPr>
        <w:t>万元，占</w:t>
      </w:r>
      <w:r>
        <w:rPr>
          <w:rFonts w:hint="eastAsia" w:ascii="仿宋_GB2312" w:hAnsi="仿宋_GB2312" w:eastAsia="仿宋_GB2312" w:cs="仿宋_GB2312"/>
          <w:color w:val="auto"/>
          <w:sz w:val="32"/>
          <w:szCs w:val="32"/>
          <w:highlight w:val="none"/>
          <w:lang w:val="en-US" w:eastAsia="zh-CN"/>
        </w:rPr>
        <w:t>3.6</w:t>
      </w:r>
      <w:r>
        <w:rPr>
          <w:rFonts w:hint="eastAsia" w:ascii="仿宋_GB2312" w:hAnsi="仿宋_GB2312" w:eastAsia="仿宋_GB2312" w:cs="仿宋_GB2312"/>
          <w:color w:val="auto"/>
          <w:sz w:val="32"/>
          <w:szCs w:val="32"/>
          <w:highlight w:val="none"/>
        </w:rPr>
        <w:t>%。</w:t>
      </w:r>
    </w:p>
    <w:p>
      <w:pPr>
        <w:keepNext w:val="0"/>
        <w:keepLines w:val="0"/>
        <w:pageBreakBefore w:val="0"/>
        <w:kinsoku/>
        <w:wordWrap/>
        <w:overflowPunct/>
        <w:topLinePunct w:val="0"/>
        <w:bidi w:val="0"/>
        <w:snapToGrid/>
        <w:spacing w:line="576" w:lineRule="exact"/>
        <w:ind w:left="0" w:leftChars="0" w:right="0" w:firstLine="640" w:firstLineChars="200"/>
        <w:textAlignment w:val="auto"/>
        <w:rPr>
          <w:rFonts w:ascii="仿宋_GB2312" w:eastAsia="仿宋_GB2312"/>
          <w:color w:val="auto"/>
          <w:sz w:val="32"/>
          <w:szCs w:val="32"/>
          <w:highlight w:val="none"/>
        </w:rPr>
      </w:pPr>
    </w:p>
    <w:p>
      <w:pPr>
        <w:pStyle w:val="2"/>
        <w:rPr>
          <w:rFonts w:ascii="仿宋_GB2312" w:eastAsia="仿宋_GB2312"/>
          <w:color w:val="auto"/>
          <w:sz w:val="32"/>
          <w:szCs w:val="32"/>
          <w:highlight w:val="none"/>
        </w:rPr>
      </w:pPr>
      <w:r>
        <w:drawing>
          <wp:anchor distT="0" distB="0" distL="114300" distR="114300" simplePos="0" relativeHeight="251663360" behindDoc="1" locked="0" layoutInCell="1" allowOverlap="1">
            <wp:simplePos x="0" y="0"/>
            <wp:positionH relativeFrom="column">
              <wp:posOffset>652145</wp:posOffset>
            </wp:positionH>
            <wp:positionV relativeFrom="paragraph">
              <wp:posOffset>-29210</wp:posOffset>
            </wp:positionV>
            <wp:extent cx="4014470" cy="3102610"/>
            <wp:effectExtent l="0" t="0" r="5080" b="2540"/>
            <wp:wrapNone/>
            <wp:docPr id="1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5"/>
                    <pic:cNvPicPr>
                      <a:picLocks noChangeAspect="1"/>
                    </pic:cNvPicPr>
                  </pic:nvPicPr>
                  <pic:blipFill>
                    <a:blip r:embed="rId9"/>
                    <a:srcRect l="21278" t="3754" r="20489" b="1306"/>
                    <a:stretch>
                      <a:fillRect/>
                    </a:stretch>
                  </pic:blipFill>
                  <pic:spPr>
                    <a:xfrm>
                      <a:off x="0" y="0"/>
                      <a:ext cx="4014470" cy="3102610"/>
                    </a:xfrm>
                    <a:prstGeom prst="rect">
                      <a:avLst/>
                    </a:prstGeom>
                    <a:noFill/>
                    <a:ln>
                      <a:noFill/>
                    </a:ln>
                  </pic:spPr>
                </pic:pic>
              </a:graphicData>
            </a:graphic>
          </wp:anchor>
        </w:drawing>
      </w:r>
    </w:p>
    <w:p>
      <w:pPr>
        <w:pStyle w:val="2"/>
        <w:rPr>
          <w:rFonts w:ascii="仿宋_GB2312" w:eastAsia="仿宋_GB2312"/>
          <w:color w:val="auto"/>
          <w:sz w:val="32"/>
          <w:szCs w:val="32"/>
          <w:highlight w:val="none"/>
        </w:rPr>
      </w:pPr>
    </w:p>
    <w:p>
      <w:pPr>
        <w:pStyle w:val="2"/>
        <w:rPr>
          <w:rFonts w:ascii="仿宋_GB2312" w:eastAsia="仿宋_GB2312"/>
          <w:color w:val="auto"/>
          <w:sz w:val="32"/>
          <w:szCs w:val="32"/>
          <w:highlight w:val="none"/>
        </w:rPr>
      </w:pPr>
    </w:p>
    <w:p>
      <w:pPr>
        <w:pStyle w:val="2"/>
        <w:rPr>
          <w:rFonts w:ascii="仿宋_GB2312" w:eastAsia="仿宋_GB2312"/>
          <w:color w:val="auto"/>
          <w:sz w:val="32"/>
          <w:szCs w:val="32"/>
          <w:highlight w:val="none"/>
        </w:rPr>
      </w:pPr>
    </w:p>
    <w:p>
      <w:pPr>
        <w:pStyle w:val="2"/>
        <w:rPr>
          <w:rFonts w:ascii="仿宋_GB2312" w:eastAsia="仿宋_GB2312"/>
          <w:color w:val="auto"/>
          <w:sz w:val="32"/>
          <w:szCs w:val="32"/>
          <w:highlight w:val="none"/>
        </w:rPr>
      </w:pPr>
    </w:p>
    <w:p>
      <w:pPr>
        <w:pStyle w:val="2"/>
        <w:rPr>
          <w:rFonts w:ascii="仿宋_GB2312" w:eastAsia="仿宋_GB2312"/>
          <w:color w:val="auto"/>
          <w:sz w:val="32"/>
          <w:szCs w:val="32"/>
          <w:highlight w:val="none"/>
        </w:rPr>
      </w:pPr>
    </w:p>
    <w:p>
      <w:pPr>
        <w:pStyle w:val="2"/>
        <w:rPr>
          <w:rFonts w:ascii="仿宋_GB2312" w:eastAsia="仿宋_GB2312"/>
          <w:color w:val="auto"/>
          <w:sz w:val="32"/>
          <w:szCs w:val="32"/>
          <w:highlight w:val="none"/>
        </w:rPr>
      </w:pPr>
    </w:p>
    <w:p>
      <w:pPr>
        <w:pStyle w:val="2"/>
        <w:rPr>
          <w:rFonts w:ascii="仿宋_GB2312" w:eastAsia="仿宋_GB2312"/>
          <w:color w:val="auto"/>
          <w:sz w:val="32"/>
          <w:szCs w:val="32"/>
          <w:highlight w:val="none"/>
        </w:rPr>
      </w:pPr>
    </w:p>
    <w:p>
      <w:pPr>
        <w:pStyle w:val="2"/>
        <w:rPr>
          <w:rFonts w:ascii="仿宋_GB2312" w:eastAsia="仿宋_GB2312"/>
          <w:color w:val="auto"/>
          <w:sz w:val="32"/>
          <w:szCs w:val="32"/>
          <w:highlight w:val="none"/>
        </w:rPr>
      </w:pPr>
    </w:p>
    <w:p>
      <w:pPr>
        <w:pStyle w:val="2"/>
        <w:rPr>
          <w:rFonts w:ascii="仿宋_GB2312" w:eastAsia="仿宋_GB2312"/>
          <w:color w:val="auto"/>
          <w:sz w:val="32"/>
          <w:szCs w:val="32"/>
          <w:highlight w:val="none"/>
        </w:rPr>
      </w:pPr>
    </w:p>
    <w:p>
      <w:pPr>
        <w:pStyle w:val="2"/>
        <w:rPr>
          <w:rFonts w:ascii="仿宋_GB2312" w:eastAsia="仿宋_GB2312"/>
          <w:color w:val="auto"/>
          <w:sz w:val="32"/>
          <w:szCs w:val="32"/>
          <w:highlight w:val="none"/>
        </w:rPr>
      </w:pPr>
    </w:p>
    <w:p>
      <w:pPr>
        <w:pStyle w:val="2"/>
        <w:rPr>
          <w:rFonts w:ascii="仿宋_GB2312" w:eastAsia="仿宋_GB2312"/>
          <w:color w:val="auto"/>
          <w:sz w:val="32"/>
          <w:szCs w:val="32"/>
          <w:highlight w:val="none"/>
        </w:rPr>
      </w:pPr>
    </w:p>
    <w:p>
      <w:pPr>
        <w:keepNext w:val="0"/>
        <w:keepLines w:val="0"/>
        <w:pageBreakBefore w:val="0"/>
        <w:kinsoku/>
        <w:wordWrap/>
        <w:overflowPunct/>
        <w:topLinePunct w:val="0"/>
        <w:bidi w:val="0"/>
        <w:snapToGrid/>
        <w:spacing w:line="576" w:lineRule="exact"/>
        <w:ind w:left="0" w:leftChars="0" w:right="0" w:firstLine="640" w:firstLineChars="200"/>
        <w:textAlignment w:val="auto"/>
        <w:outlineLvl w:val="1"/>
        <w:rPr>
          <w:rFonts w:hint="eastAsia" w:ascii="黑体" w:hAnsi="黑体" w:eastAsia="黑体"/>
          <w:color w:val="auto"/>
          <w:sz w:val="32"/>
          <w:szCs w:val="32"/>
          <w:highlight w:val="none"/>
        </w:rPr>
      </w:pPr>
      <w:bookmarkStart w:id="29" w:name="_Toc15377207"/>
      <w:bookmarkStart w:id="30" w:name="_Toc15396605"/>
      <w:r>
        <w:rPr>
          <w:rFonts w:hint="eastAsia" w:ascii="黑体" w:hAnsi="黑体" w:eastAsia="黑体"/>
          <w:color w:val="auto"/>
          <w:sz w:val="32"/>
          <w:szCs w:val="32"/>
          <w:highlight w:val="none"/>
          <w:lang w:eastAsia="zh-CN"/>
        </w:rPr>
        <w:t>三、</w:t>
      </w:r>
      <w:r>
        <w:rPr>
          <w:rFonts w:hint="eastAsia" w:ascii="黑体" w:hAnsi="黑体" w:eastAsia="黑体"/>
          <w:color w:val="auto"/>
          <w:sz w:val="32"/>
          <w:szCs w:val="32"/>
          <w:highlight w:val="none"/>
        </w:rPr>
        <w:t>支出决算情况说明</w:t>
      </w:r>
      <w:bookmarkEnd w:id="29"/>
      <w:bookmarkEnd w:id="30"/>
    </w:p>
    <w:p>
      <w:pPr>
        <w:keepNext w:val="0"/>
        <w:keepLines w:val="0"/>
        <w:pageBreakBefore w:val="0"/>
        <w:widowControl/>
        <w:kinsoku/>
        <w:wordWrap/>
        <w:overflowPunct/>
        <w:topLinePunct w:val="0"/>
        <w:bidi w:val="0"/>
        <w:snapToGrid/>
        <w:spacing w:line="576" w:lineRule="exact"/>
        <w:ind w:left="0" w:leftChars="0" w:right="0" w:firstLine="640" w:firstLineChars="200"/>
        <w:jc w:val="left"/>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20</w:t>
      </w:r>
      <w:r>
        <w:rPr>
          <w:rFonts w:hint="eastAsia" w:ascii="仿宋_GB2312" w:hAnsi="仿宋_GB2312" w:eastAsia="仿宋_GB2312" w:cs="仿宋_GB2312"/>
          <w:color w:val="auto"/>
          <w:sz w:val="32"/>
          <w:szCs w:val="32"/>
          <w:highlight w:val="none"/>
          <w:lang w:val="en-US" w:eastAsia="zh-CN"/>
        </w:rPr>
        <w:t>21</w:t>
      </w:r>
      <w:r>
        <w:rPr>
          <w:rFonts w:hint="eastAsia" w:ascii="仿宋_GB2312" w:hAnsi="仿宋_GB2312" w:eastAsia="仿宋_GB2312" w:cs="仿宋_GB2312"/>
          <w:color w:val="auto"/>
          <w:sz w:val="32"/>
          <w:szCs w:val="32"/>
          <w:highlight w:val="none"/>
        </w:rPr>
        <w:t>年本年支出合计</w:t>
      </w:r>
      <w:r>
        <w:rPr>
          <w:rFonts w:hint="eastAsia" w:ascii="仿宋_GB2312" w:hAnsi="仿宋_GB2312" w:eastAsia="仿宋_GB2312" w:cs="仿宋_GB2312"/>
          <w:color w:val="auto"/>
          <w:sz w:val="32"/>
          <w:szCs w:val="32"/>
          <w:highlight w:val="none"/>
          <w:lang w:val="en-US" w:eastAsia="zh-CN"/>
        </w:rPr>
        <w:t>12132.42</w:t>
      </w:r>
      <w:r>
        <w:rPr>
          <w:rFonts w:hint="eastAsia" w:ascii="仿宋_GB2312" w:hAnsi="仿宋_GB2312" w:eastAsia="仿宋_GB2312" w:cs="仿宋_GB2312"/>
          <w:color w:val="auto"/>
          <w:sz w:val="32"/>
          <w:szCs w:val="32"/>
          <w:highlight w:val="none"/>
        </w:rPr>
        <w:t>万元，其中：基本支出</w:t>
      </w:r>
      <w:r>
        <w:rPr>
          <w:rFonts w:hint="eastAsia" w:ascii="仿宋_GB2312" w:hAnsi="仿宋_GB2312" w:eastAsia="仿宋_GB2312" w:cs="仿宋_GB2312"/>
          <w:color w:val="auto"/>
          <w:sz w:val="32"/>
          <w:szCs w:val="32"/>
          <w:highlight w:val="none"/>
          <w:lang w:val="en-US" w:eastAsia="zh-CN"/>
        </w:rPr>
        <w:t>2727.45</w:t>
      </w:r>
      <w:r>
        <w:rPr>
          <w:rFonts w:hint="eastAsia" w:ascii="仿宋_GB2312" w:hAnsi="仿宋_GB2312" w:eastAsia="仿宋_GB2312" w:cs="仿宋_GB2312"/>
          <w:color w:val="auto"/>
          <w:sz w:val="32"/>
          <w:szCs w:val="32"/>
          <w:highlight w:val="none"/>
        </w:rPr>
        <w:t>万元，占</w:t>
      </w:r>
      <w:r>
        <w:rPr>
          <w:rFonts w:hint="eastAsia" w:ascii="仿宋_GB2312" w:hAnsi="仿宋_GB2312" w:eastAsia="仿宋_GB2312" w:cs="仿宋_GB2312"/>
          <w:color w:val="auto"/>
          <w:sz w:val="32"/>
          <w:szCs w:val="32"/>
          <w:highlight w:val="none"/>
          <w:lang w:val="en-US" w:eastAsia="zh-CN"/>
        </w:rPr>
        <w:t>22.48</w:t>
      </w:r>
      <w:r>
        <w:rPr>
          <w:rFonts w:hint="eastAsia" w:ascii="仿宋_GB2312" w:hAnsi="仿宋_GB2312" w:eastAsia="仿宋_GB2312" w:cs="仿宋_GB2312"/>
          <w:color w:val="auto"/>
          <w:sz w:val="32"/>
          <w:szCs w:val="32"/>
          <w:highlight w:val="none"/>
        </w:rPr>
        <w:t>%；项目支出</w:t>
      </w:r>
      <w:r>
        <w:rPr>
          <w:rFonts w:hint="eastAsia" w:ascii="仿宋_GB2312" w:hAnsi="仿宋_GB2312" w:eastAsia="仿宋_GB2312" w:cs="仿宋_GB2312"/>
          <w:color w:val="auto"/>
          <w:sz w:val="32"/>
          <w:szCs w:val="32"/>
          <w:highlight w:val="none"/>
          <w:lang w:val="en-US" w:eastAsia="zh-CN"/>
        </w:rPr>
        <w:t>9404.97</w:t>
      </w:r>
      <w:r>
        <w:rPr>
          <w:rFonts w:hint="eastAsia" w:ascii="仿宋_GB2312" w:hAnsi="仿宋_GB2312" w:eastAsia="仿宋_GB2312" w:cs="仿宋_GB2312"/>
          <w:color w:val="auto"/>
          <w:sz w:val="32"/>
          <w:szCs w:val="32"/>
          <w:highlight w:val="none"/>
        </w:rPr>
        <w:t>万元，占</w:t>
      </w:r>
      <w:r>
        <w:rPr>
          <w:rFonts w:hint="eastAsia" w:ascii="仿宋_GB2312" w:hAnsi="仿宋_GB2312" w:eastAsia="仿宋_GB2312" w:cs="仿宋_GB2312"/>
          <w:color w:val="auto"/>
          <w:sz w:val="32"/>
          <w:szCs w:val="32"/>
          <w:highlight w:val="none"/>
          <w:lang w:val="en-US" w:eastAsia="zh-CN"/>
        </w:rPr>
        <w:t>77.52</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kinsoku/>
        <w:wordWrap/>
        <w:overflowPunct/>
        <w:topLinePunct w:val="0"/>
        <w:bidi w:val="0"/>
        <w:snapToGrid/>
        <w:spacing w:line="576" w:lineRule="exact"/>
        <w:ind w:left="0" w:leftChars="0" w:right="0" w:firstLine="420" w:firstLineChars="200"/>
        <w:jc w:val="left"/>
        <w:textAlignment w:val="auto"/>
        <w:rPr>
          <w:rFonts w:hint="eastAsia" w:ascii="仿宋_GB2312" w:hAnsi="仿宋_GB2312" w:eastAsia="仿宋_GB2312" w:cs="仿宋_GB2312"/>
          <w:color w:val="auto"/>
          <w:sz w:val="32"/>
          <w:szCs w:val="32"/>
          <w:highlight w:val="none"/>
        </w:rPr>
      </w:pPr>
      <w:r>
        <w:drawing>
          <wp:anchor distT="0" distB="0" distL="114300" distR="114300" simplePos="0" relativeHeight="251665408" behindDoc="1" locked="0" layoutInCell="1" allowOverlap="1">
            <wp:simplePos x="0" y="0"/>
            <wp:positionH relativeFrom="column">
              <wp:posOffset>927735</wp:posOffset>
            </wp:positionH>
            <wp:positionV relativeFrom="paragraph">
              <wp:posOffset>95250</wp:posOffset>
            </wp:positionV>
            <wp:extent cx="3729355" cy="3876040"/>
            <wp:effectExtent l="0" t="0" r="4445" b="10160"/>
            <wp:wrapNone/>
            <wp:docPr id="1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8"/>
                    <pic:cNvPicPr>
                      <a:picLocks noChangeAspect="1"/>
                    </pic:cNvPicPr>
                  </pic:nvPicPr>
                  <pic:blipFill>
                    <a:blip r:embed="rId10"/>
                    <a:srcRect l="30043" t="6823" r="29975" b="5510"/>
                    <a:stretch>
                      <a:fillRect/>
                    </a:stretch>
                  </pic:blipFill>
                  <pic:spPr>
                    <a:xfrm>
                      <a:off x="0" y="0"/>
                      <a:ext cx="3729355" cy="3876040"/>
                    </a:xfrm>
                    <a:prstGeom prst="rect">
                      <a:avLst/>
                    </a:prstGeom>
                    <a:noFill/>
                    <a:ln>
                      <a:noFill/>
                    </a:ln>
                  </pic:spPr>
                </pic:pic>
              </a:graphicData>
            </a:graphic>
          </wp:anchor>
        </w:drawing>
      </w:r>
    </w:p>
    <w:p>
      <w:pPr>
        <w:keepNext w:val="0"/>
        <w:keepLines w:val="0"/>
        <w:pageBreakBefore w:val="0"/>
        <w:kinsoku/>
        <w:wordWrap/>
        <w:overflowPunct/>
        <w:topLinePunct w:val="0"/>
        <w:bidi w:val="0"/>
        <w:snapToGrid/>
        <w:spacing w:line="576" w:lineRule="exact"/>
        <w:ind w:left="0" w:leftChars="0" w:right="0" w:firstLine="640" w:firstLineChars="200"/>
        <w:textAlignment w:val="auto"/>
        <w:rPr>
          <w:rFonts w:ascii="仿宋_GB2312" w:eastAsia="仿宋_GB2312"/>
          <w:color w:val="auto"/>
          <w:sz w:val="32"/>
          <w:szCs w:val="32"/>
          <w:highlight w:val="none"/>
        </w:rPr>
      </w:pPr>
    </w:p>
    <w:p>
      <w:pPr>
        <w:pStyle w:val="2"/>
        <w:rPr>
          <w:rFonts w:ascii="仿宋_GB2312" w:eastAsia="仿宋_GB2312"/>
          <w:color w:val="auto"/>
          <w:sz w:val="32"/>
          <w:szCs w:val="32"/>
          <w:highlight w:val="none"/>
        </w:rPr>
      </w:pPr>
    </w:p>
    <w:p>
      <w:pPr>
        <w:pStyle w:val="2"/>
        <w:rPr>
          <w:rFonts w:ascii="仿宋_GB2312" w:eastAsia="仿宋_GB2312"/>
          <w:color w:val="auto"/>
          <w:sz w:val="32"/>
          <w:szCs w:val="32"/>
          <w:highlight w:val="none"/>
        </w:rPr>
      </w:pPr>
    </w:p>
    <w:p>
      <w:pPr>
        <w:pStyle w:val="2"/>
        <w:rPr>
          <w:rFonts w:ascii="仿宋_GB2312" w:eastAsia="仿宋_GB2312"/>
          <w:color w:val="auto"/>
          <w:sz w:val="32"/>
          <w:szCs w:val="32"/>
          <w:highlight w:val="none"/>
        </w:rPr>
      </w:pPr>
    </w:p>
    <w:p>
      <w:pPr>
        <w:pStyle w:val="2"/>
        <w:rPr>
          <w:rFonts w:ascii="仿宋_GB2312" w:eastAsia="仿宋_GB2312"/>
          <w:color w:val="auto"/>
          <w:sz w:val="32"/>
          <w:szCs w:val="32"/>
          <w:highlight w:val="none"/>
        </w:rPr>
      </w:pPr>
    </w:p>
    <w:p>
      <w:pPr>
        <w:pStyle w:val="2"/>
        <w:rPr>
          <w:rFonts w:ascii="仿宋_GB2312" w:eastAsia="仿宋_GB2312"/>
          <w:color w:val="auto"/>
          <w:sz w:val="32"/>
          <w:szCs w:val="32"/>
          <w:highlight w:val="none"/>
        </w:rPr>
      </w:pPr>
    </w:p>
    <w:p>
      <w:pPr>
        <w:pStyle w:val="2"/>
        <w:rPr>
          <w:rFonts w:ascii="仿宋_GB2312" w:eastAsia="仿宋_GB2312"/>
          <w:color w:val="auto"/>
          <w:sz w:val="32"/>
          <w:szCs w:val="32"/>
          <w:highlight w:val="none"/>
        </w:rPr>
      </w:pPr>
    </w:p>
    <w:p>
      <w:pPr>
        <w:pStyle w:val="2"/>
        <w:rPr>
          <w:rFonts w:ascii="仿宋_GB2312" w:eastAsia="仿宋_GB2312"/>
          <w:color w:val="auto"/>
          <w:sz w:val="32"/>
          <w:szCs w:val="32"/>
          <w:highlight w:val="none"/>
        </w:rPr>
      </w:pPr>
    </w:p>
    <w:p>
      <w:pPr>
        <w:pStyle w:val="2"/>
        <w:rPr>
          <w:rFonts w:ascii="仿宋_GB2312" w:eastAsia="仿宋_GB2312"/>
          <w:color w:val="auto"/>
          <w:sz w:val="32"/>
          <w:szCs w:val="32"/>
          <w:highlight w:val="none"/>
        </w:rPr>
      </w:pPr>
    </w:p>
    <w:p>
      <w:pPr>
        <w:pStyle w:val="2"/>
        <w:rPr>
          <w:rFonts w:ascii="仿宋_GB2312" w:eastAsia="仿宋_GB2312"/>
          <w:color w:val="auto"/>
          <w:sz w:val="32"/>
          <w:szCs w:val="32"/>
          <w:highlight w:val="none"/>
        </w:rPr>
      </w:pPr>
    </w:p>
    <w:p>
      <w:pPr>
        <w:pStyle w:val="2"/>
        <w:rPr>
          <w:rFonts w:ascii="仿宋_GB2312" w:eastAsia="仿宋_GB2312"/>
          <w:color w:val="auto"/>
          <w:sz w:val="32"/>
          <w:szCs w:val="32"/>
          <w:highlight w:val="none"/>
        </w:rPr>
      </w:pPr>
    </w:p>
    <w:p>
      <w:pPr>
        <w:pStyle w:val="2"/>
        <w:rPr>
          <w:rFonts w:ascii="仿宋_GB2312" w:eastAsia="仿宋_GB2312"/>
          <w:color w:val="auto"/>
          <w:sz w:val="32"/>
          <w:szCs w:val="32"/>
          <w:highlight w:val="none"/>
        </w:rPr>
      </w:pPr>
    </w:p>
    <w:p>
      <w:pPr>
        <w:keepNext w:val="0"/>
        <w:keepLines w:val="0"/>
        <w:pageBreakBefore w:val="0"/>
        <w:kinsoku/>
        <w:wordWrap/>
        <w:overflowPunct/>
        <w:topLinePunct w:val="0"/>
        <w:bidi w:val="0"/>
        <w:snapToGrid/>
        <w:spacing w:line="576" w:lineRule="exact"/>
        <w:ind w:left="0" w:leftChars="0" w:right="0" w:firstLine="640" w:firstLineChars="200"/>
        <w:textAlignment w:val="auto"/>
        <w:outlineLvl w:val="1"/>
        <w:rPr>
          <w:rStyle w:val="25"/>
          <w:rFonts w:ascii="黑体" w:hAnsi="黑体" w:eastAsia="黑体"/>
          <w:b w:val="0"/>
          <w:color w:val="auto"/>
          <w:highlight w:val="none"/>
        </w:rPr>
      </w:pPr>
      <w:bookmarkStart w:id="31" w:name="_Toc15396606"/>
      <w:bookmarkStart w:id="32" w:name="_Toc15377208"/>
      <w:r>
        <w:rPr>
          <w:rFonts w:hint="eastAsia" w:ascii="黑体" w:hAnsi="黑体" w:eastAsia="黑体"/>
          <w:color w:val="auto"/>
          <w:sz w:val="32"/>
          <w:szCs w:val="32"/>
          <w:highlight w:val="none"/>
        </w:rPr>
        <w:t>四、财</w:t>
      </w:r>
      <w:r>
        <w:rPr>
          <w:rStyle w:val="25"/>
          <w:rFonts w:hint="eastAsia" w:ascii="黑体" w:hAnsi="黑体" w:eastAsia="黑体"/>
          <w:b w:val="0"/>
          <w:color w:val="auto"/>
          <w:highlight w:val="none"/>
        </w:rPr>
        <w:t>政拨款收入支出决算总体情况说明</w:t>
      </w:r>
      <w:bookmarkEnd w:id="31"/>
      <w:bookmarkEnd w:id="32"/>
    </w:p>
    <w:p>
      <w:pPr>
        <w:keepNext w:val="0"/>
        <w:keepLines w:val="0"/>
        <w:pageBreakBefore w:val="0"/>
        <w:widowControl/>
        <w:kinsoku/>
        <w:wordWrap/>
        <w:overflowPunct/>
        <w:topLinePunct w:val="0"/>
        <w:bidi w:val="0"/>
        <w:snapToGrid/>
        <w:spacing w:line="576" w:lineRule="exact"/>
        <w:ind w:left="0" w:leftChars="0" w:right="0"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w:t>
      </w:r>
      <w:r>
        <w:rPr>
          <w:rFonts w:hint="eastAsia" w:ascii="仿宋_GB2312" w:hAnsi="仿宋_GB2312" w:eastAsia="仿宋_GB2312" w:cs="仿宋_GB2312"/>
          <w:color w:val="auto"/>
          <w:sz w:val="32"/>
          <w:szCs w:val="32"/>
          <w:highlight w:val="none"/>
          <w:lang w:val="en-US" w:eastAsia="zh-CN"/>
        </w:rPr>
        <w:t>21</w:t>
      </w:r>
      <w:r>
        <w:rPr>
          <w:rFonts w:hint="eastAsia" w:ascii="仿宋_GB2312" w:hAnsi="仿宋_GB2312" w:eastAsia="仿宋_GB2312" w:cs="仿宋_GB2312"/>
          <w:color w:val="auto"/>
          <w:sz w:val="32"/>
          <w:szCs w:val="32"/>
          <w:highlight w:val="none"/>
        </w:rPr>
        <w:t>年财政拨款收、支总计</w:t>
      </w:r>
      <w:r>
        <w:rPr>
          <w:rFonts w:hint="eastAsia" w:ascii="仿宋_GB2312" w:hAnsi="仿宋_GB2312" w:eastAsia="仿宋_GB2312" w:cs="仿宋_GB2312"/>
          <w:color w:val="auto"/>
          <w:sz w:val="32"/>
          <w:szCs w:val="32"/>
          <w:highlight w:val="none"/>
          <w:lang w:val="en-US" w:eastAsia="zh-CN"/>
        </w:rPr>
        <w:t>12646.1</w:t>
      </w:r>
      <w:r>
        <w:rPr>
          <w:rFonts w:hint="eastAsia" w:ascii="仿宋_GB2312" w:hAnsi="仿宋_GB2312" w:eastAsia="仿宋_GB2312" w:cs="仿宋_GB2312"/>
          <w:color w:val="auto"/>
          <w:sz w:val="32"/>
          <w:szCs w:val="32"/>
          <w:highlight w:val="none"/>
        </w:rPr>
        <w:t>万元。与20</w:t>
      </w:r>
      <w:r>
        <w:rPr>
          <w:rFonts w:hint="eastAsia" w:ascii="仿宋_GB2312" w:hAnsi="仿宋_GB2312" w:eastAsia="仿宋_GB2312" w:cs="仿宋_GB2312"/>
          <w:color w:val="auto"/>
          <w:sz w:val="32"/>
          <w:szCs w:val="32"/>
          <w:highlight w:val="none"/>
          <w:lang w:val="en-US" w:eastAsia="zh-CN"/>
        </w:rPr>
        <w:t>20</w:t>
      </w:r>
      <w:r>
        <w:rPr>
          <w:rFonts w:hint="eastAsia" w:ascii="仿宋_GB2312" w:hAnsi="仿宋_GB2312" w:eastAsia="仿宋_GB2312" w:cs="仿宋_GB2312"/>
          <w:color w:val="auto"/>
          <w:sz w:val="32"/>
          <w:szCs w:val="32"/>
          <w:highlight w:val="none"/>
        </w:rPr>
        <w:t>年相比，财政拨款收、支总计各增</w:t>
      </w:r>
      <w:r>
        <w:rPr>
          <w:rFonts w:hint="eastAsia" w:ascii="仿宋_GB2312" w:hAnsi="仿宋_GB2312" w:eastAsia="仿宋_GB2312" w:cs="仿宋_GB2312"/>
          <w:color w:val="auto"/>
          <w:sz w:val="32"/>
          <w:szCs w:val="32"/>
          <w:highlight w:val="none"/>
          <w:lang w:val="en-US" w:eastAsia="zh-CN"/>
        </w:rPr>
        <w:t>加332.66</w:t>
      </w:r>
      <w:r>
        <w:rPr>
          <w:rFonts w:hint="eastAsia" w:ascii="仿宋_GB2312" w:hAnsi="仿宋_GB2312" w:eastAsia="仿宋_GB2312" w:cs="仿宋_GB2312"/>
          <w:color w:val="auto"/>
          <w:sz w:val="32"/>
          <w:szCs w:val="32"/>
          <w:highlight w:val="none"/>
        </w:rPr>
        <w:t>万元，增长</w:t>
      </w:r>
      <w:r>
        <w:rPr>
          <w:rFonts w:hint="eastAsia" w:ascii="仿宋_GB2312" w:hAnsi="仿宋_GB2312" w:eastAsia="仿宋_GB2312" w:cs="仿宋_GB2312"/>
          <w:color w:val="auto"/>
          <w:sz w:val="32"/>
          <w:szCs w:val="32"/>
          <w:highlight w:val="none"/>
          <w:lang w:val="en-US" w:eastAsia="zh-CN"/>
        </w:rPr>
        <w:t>2.7</w:t>
      </w:r>
      <w:r>
        <w:rPr>
          <w:rFonts w:hint="eastAsia" w:ascii="仿宋_GB2312" w:hAnsi="仿宋_GB2312" w:eastAsia="仿宋_GB2312" w:cs="仿宋_GB2312"/>
          <w:color w:val="auto"/>
          <w:sz w:val="32"/>
          <w:szCs w:val="32"/>
          <w:highlight w:val="none"/>
        </w:rPr>
        <w:t>%。主要变动原因是</w:t>
      </w:r>
      <w:r>
        <w:rPr>
          <w:rFonts w:hint="eastAsia" w:ascii="仿宋_GB2312" w:hAnsi="仿宋_GB2312" w:eastAsia="仿宋_GB2312" w:cs="仿宋_GB2312"/>
          <w:color w:val="auto"/>
          <w:sz w:val="32"/>
          <w:szCs w:val="32"/>
          <w:highlight w:val="none"/>
          <w:lang w:val="en-US" w:eastAsia="zh-CN"/>
        </w:rPr>
        <w:t>自然资源储备交易中心基金预算拨增加。</w:t>
      </w:r>
    </w:p>
    <w:p>
      <w:pPr>
        <w:keepNext w:val="0"/>
        <w:keepLines w:val="0"/>
        <w:pageBreakBefore w:val="0"/>
        <w:kinsoku/>
        <w:wordWrap/>
        <w:overflowPunct/>
        <w:topLinePunct w:val="0"/>
        <w:bidi w:val="0"/>
        <w:snapToGrid/>
        <w:spacing w:line="576" w:lineRule="exact"/>
        <w:ind w:left="0" w:leftChars="0" w:right="0" w:firstLine="420" w:firstLineChars="200"/>
        <w:textAlignment w:val="auto"/>
        <w:rPr>
          <w:rFonts w:ascii="仿宋" w:hAnsi="仿宋" w:eastAsia="仿宋"/>
          <w:color w:val="auto"/>
          <w:sz w:val="32"/>
          <w:szCs w:val="32"/>
          <w:highlight w:val="none"/>
        </w:rPr>
      </w:pPr>
      <w:r>
        <w:drawing>
          <wp:anchor distT="0" distB="0" distL="114300" distR="114300" simplePos="0" relativeHeight="251662336" behindDoc="1" locked="0" layoutInCell="1" allowOverlap="1">
            <wp:simplePos x="0" y="0"/>
            <wp:positionH relativeFrom="column">
              <wp:posOffset>227330</wp:posOffset>
            </wp:positionH>
            <wp:positionV relativeFrom="paragraph">
              <wp:posOffset>70485</wp:posOffset>
            </wp:positionV>
            <wp:extent cx="5224145" cy="3526790"/>
            <wp:effectExtent l="4445" t="4445" r="10160" b="12065"/>
            <wp:wrapNone/>
            <wp:docPr id="10"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pStyle w:val="2"/>
        <w:rPr>
          <w:rFonts w:ascii="仿宋" w:hAnsi="仿宋" w:eastAsia="仿宋"/>
          <w:color w:val="auto"/>
          <w:sz w:val="32"/>
          <w:szCs w:val="32"/>
          <w:highlight w:val="none"/>
        </w:rPr>
      </w:pPr>
    </w:p>
    <w:p>
      <w:pPr>
        <w:pStyle w:val="2"/>
        <w:rPr>
          <w:rFonts w:ascii="仿宋" w:hAnsi="仿宋" w:eastAsia="仿宋"/>
          <w:color w:val="auto"/>
          <w:sz w:val="32"/>
          <w:szCs w:val="32"/>
          <w:highlight w:val="none"/>
        </w:rPr>
      </w:pPr>
    </w:p>
    <w:p>
      <w:pPr>
        <w:pStyle w:val="2"/>
        <w:rPr>
          <w:rFonts w:ascii="仿宋" w:hAnsi="仿宋" w:eastAsia="仿宋"/>
          <w:color w:val="auto"/>
          <w:sz w:val="32"/>
          <w:szCs w:val="32"/>
          <w:highlight w:val="none"/>
        </w:rPr>
      </w:pPr>
    </w:p>
    <w:p>
      <w:pPr>
        <w:pStyle w:val="2"/>
        <w:rPr>
          <w:rFonts w:ascii="仿宋" w:hAnsi="仿宋" w:eastAsia="仿宋"/>
          <w:color w:val="auto"/>
          <w:sz w:val="32"/>
          <w:szCs w:val="32"/>
          <w:highlight w:val="none"/>
        </w:rPr>
      </w:pPr>
    </w:p>
    <w:p>
      <w:pPr>
        <w:pStyle w:val="2"/>
        <w:rPr>
          <w:rFonts w:ascii="仿宋" w:hAnsi="仿宋" w:eastAsia="仿宋"/>
          <w:color w:val="auto"/>
          <w:sz w:val="32"/>
          <w:szCs w:val="32"/>
          <w:highlight w:val="none"/>
        </w:rPr>
      </w:pPr>
    </w:p>
    <w:p>
      <w:pPr>
        <w:pStyle w:val="2"/>
        <w:rPr>
          <w:rFonts w:ascii="仿宋" w:hAnsi="仿宋" w:eastAsia="仿宋"/>
          <w:color w:val="auto"/>
          <w:sz w:val="32"/>
          <w:szCs w:val="32"/>
          <w:highlight w:val="none"/>
        </w:rPr>
      </w:pPr>
    </w:p>
    <w:p>
      <w:pPr>
        <w:pStyle w:val="2"/>
        <w:rPr>
          <w:rFonts w:ascii="仿宋" w:hAnsi="仿宋" w:eastAsia="仿宋"/>
          <w:color w:val="auto"/>
          <w:sz w:val="32"/>
          <w:szCs w:val="32"/>
          <w:highlight w:val="none"/>
        </w:rPr>
      </w:pPr>
    </w:p>
    <w:p>
      <w:pPr>
        <w:pStyle w:val="2"/>
        <w:rPr>
          <w:rFonts w:ascii="仿宋" w:hAnsi="仿宋" w:eastAsia="仿宋"/>
          <w:color w:val="auto"/>
          <w:sz w:val="32"/>
          <w:szCs w:val="32"/>
          <w:highlight w:val="none"/>
        </w:rPr>
      </w:pPr>
    </w:p>
    <w:p>
      <w:pPr>
        <w:pStyle w:val="2"/>
        <w:rPr>
          <w:rFonts w:ascii="仿宋" w:hAnsi="仿宋" w:eastAsia="仿宋"/>
          <w:color w:val="auto"/>
          <w:sz w:val="32"/>
          <w:szCs w:val="32"/>
          <w:highlight w:val="none"/>
        </w:rPr>
      </w:pPr>
    </w:p>
    <w:p>
      <w:pPr>
        <w:pStyle w:val="2"/>
        <w:rPr>
          <w:rFonts w:ascii="仿宋" w:hAnsi="仿宋" w:eastAsia="仿宋"/>
          <w:color w:val="auto"/>
          <w:sz w:val="32"/>
          <w:szCs w:val="32"/>
          <w:highlight w:val="none"/>
        </w:rPr>
      </w:pPr>
    </w:p>
    <w:p>
      <w:pPr>
        <w:keepNext w:val="0"/>
        <w:keepLines w:val="0"/>
        <w:pageBreakBefore w:val="0"/>
        <w:widowControl/>
        <w:kinsoku/>
        <w:wordWrap/>
        <w:overflowPunct/>
        <w:topLinePunct w:val="0"/>
        <w:bidi w:val="0"/>
        <w:snapToGrid/>
        <w:spacing w:line="576" w:lineRule="exact"/>
        <w:ind w:left="0" w:leftChars="0" w:right="0" w:firstLine="640" w:firstLineChars="200"/>
        <w:jc w:val="left"/>
        <w:textAlignment w:val="auto"/>
        <w:rPr>
          <w:rFonts w:hint="eastAsia" w:ascii="仿宋_GB2312" w:hAnsi="仿宋_GB2312" w:eastAsia="仿宋_GB2312" w:cs="仿宋_GB2312"/>
          <w:color w:val="auto"/>
          <w:sz w:val="32"/>
          <w:szCs w:val="32"/>
          <w:highlight w:val="none"/>
        </w:rPr>
      </w:pPr>
    </w:p>
    <w:p>
      <w:pPr>
        <w:keepNext w:val="0"/>
        <w:keepLines w:val="0"/>
        <w:pageBreakBefore w:val="0"/>
        <w:kinsoku/>
        <w:wordWrap/>
        <w:overflowPunct/>
        <w:topLinePunct w:val="0"/>
        <w:bidi w:val="0"/>
        <w:snapToGrid/>
        <w:spacing w:line="576" w:lineRule="exact"/>
        <w:ind w:left="0" w:leftChars="0" w:right="0" w:firstLine="643" w:firstLineChars="200"/>
        <w:textAlignment w:val="auto"/>
        <w:rPr>
          <w:rFonts w:ascii="仿宋" w:hAnsi="仿宋" w:eastAsia="仿宋"/>
          <w:b/>
          <w:color w:val="auto"/>
          <w:sz w:val="32"/>
          <w:szCs w:val="32"/>
          <w:highlight w:val="none"/>
        </w:rPr>
      </w:pPr>
    </w:p>
    <w:p>
      <w:pPr>
        <w:keepNext w:val="0"/>
        <w:keepLines w:val="0"/>
        <w:pageBreakBefore w:val="0"/>
        <w:kinsoku/>
        <w:wordWrap/>
        <w:overflowPunct/>
        <w:topLinePunct w:val="0"/>
        <w:bidi w:val="0"/>
        <w:snapToGrid/>
        <w:spacing w:line="576" w:lineRule="exact"/>
        <w:ind w:left="0" w:leftChars="0" w:right="0" w:firstLine="640" w:firstLineChars="200"/>
        <w:textAlignment w:val="auto"/>
        <w:outlineLvl w:val="1"/>
        <w:rPr>
          <w:rStyle w:val="25"/>
          <w:rFonts w:ascii="黑体" w:hAnsi="黑体" w:eastAsia="黑体"/>
          <w:b w:val="0"/>
          <w:color w:val="auto"/>
          <w:highlight w:val="none"/>
        </w:rPr>
      </w:pPr>
      <w:bookmarkStart w:id="33" w:name="_Toc15396607"/>
      <w:bookmarkStart w:id="34" w:name="_Toc15377209"/>
      <w:r>
        <w:rPr>
          <w:rFonts w:hint="eastAsia" w:ascii="黑体" w:hAnsi="黑体" w:eastAsia="黑体"/>
          <w:color w:val="auto"/>
          <w:sz w:val="32"/>
          <w:szCs w:val="32"/>
          <w:highlight w:val="none"/>
        </w:rPr>
        <w:t>五、</w:t>
      </w:r>
      <w:r>
        <w:rPr>
          <w:rFonts w:hint="eastAsia" w:ascii="黑体" w:hAnsi="黑体" w:eastAsia="黑体"/>
          <w:b/>
          <w:color w:val="auto"/>
          <w:sz w:val="32"/>
          <w:szCs w:val="32"/>
          <w:highlight w:val="none"/>
        </w:rPr>
        <w:t>一</w:t>
      </w:r>
      <w:r>
        <w:rPr>
          <w:rStyle w:val="25"/>
          <w:rFonts w:hint="eastAsia" w:ascii="黑体" w:hAnsi="黑体" w:eastAsia="黑体"/>
          <w:b w:val="0"/>
          <w:color w:val="auto"/>
          <w:highlight w:val="none"/>
        </w:rPr>
        <w:t>般公共预算财政拨款支出决算情况说明</w:t>
      </w:r>
      <w:bookmarkEnd w:id="33"/>
      <w:bookmarkEnd w:id="34"/>
    </w:p>
    <w:p>
      <w:pPr>
        <w:keepNext w:val="0"/>
        <w:keepLines w:val="0"/>
        <w:pageBreakBefore w:val="0"/>
        <w:widowControl w:val="0"/>
        <w:kinsoku/>
        <w:wordWrap/>
        <w:overflowPunct/>
        <w:topLinePunct w:val="0"/>
        <w:autoSpaceDE/>
        <w:autoSpaceDN/>
        <w:bidi w:val="0"/>
        <w:adjustRightInd/>
        <w:snapToGrid/>
        <w:spacing w:line="576" w:lineRule="exact"/>
        <w:ind w:left="0" w:leftChars="0" w:right="0" w:firstLine="640" w:firstLineChars="200"/>
        <w:jc w:val="left"/>
        <w:textAlignment w:val="auto"/>
        <w:rPr>
          <w:rFonts w:hint="eastAsia" w:ascii="仿宋_GB2312" w:hAnsi="仿宋_GB2312" w:eastAsia="仿宋_GB2312" w:cs="仿宋_GB2312"/>
          <w:color w:val="auto"/>
          <w:sz w:val="32"/>
          <w:szCs w:val="32"/>
          <w:highlight w:val="none"/>
        </w:rPr>
      </w:pPr>
      <w:bookmarkStart w:id="35" w:name="_Toc15377210"/>
      <w:r>
        <w:rPr>
          <w:rFonts w:hint="eastAsia" w:ascii="仿宋_GB2312" w:hAnsi="仿宋_GB2312" w:eastAsia="仿宋_GB2312" w:cs="仿宋_GB2312"/>
          <w:color w:val="auto"/>
          <w:sz w:val="32"/>
          <w:szCs w:val="32"/>
          <w:highlight w:val="none"/>
        </w:rPr>
        <w:t>（一）一般公共预算财政拨款支出决算总体情况</w:t>
      </w:r>
      <w:bookmarkEnd w:id="35"/>
    </w:p>
    <w:p>
      <w:pPr>
        <w:keepNext w:val="0"/>
        <w:keepLines w:val="0"/>
        <w:pageBreakBefore w:val="0"/>
        <w:widowControl w:val="0"/>
        <w:kinsoku/>
        <w:wordWrap/>
        <w:overflowPunct/>
        <w:topLinePunct w:val="0"/>
        <w:autoSpaceDE/>
        <w:autoSpaceDN/>
        <w:bidi w:val="0"/>
        <w:adjustRightInd/>
        <w:snapToGrid/>
        <w:spacing w:line="576" w:lineRule="exact"/>
        <w:ind w:left="0" w:leftChars="0" w:right="0"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w:t>
      </w:r>
      <w:r>
        <w:rPr>
          <w:rFonts w:hint="eastAsia" w:ascii="仿宋_GB2312" w:hAnsi="仿宋_GB2312" w:eastAsia="仿宋_GB2312" w:cs="仿宋_GB2312"/>
          <w:color w:val="auto"/>
          <w:sz w:val="32"/>
          <w:szCs w:val="32"/>
          <w:highlight w:val="none"/>
          <w:lang w:val="en-US" w:eastAsia="zh-CN"/>
        </w:rPr>
        <w:t>21</w:t>
      </w:r>
      <w:r>
        <w:rPr>
          <w:rFonts w:hint="eastAsia" w:ascii="仿宋_GB2312" w:hAnsi="仿宋_GB2312" w:eastAsia="仿宋_GB2312" w:cs="仿宋_GB2312"/>
          <w:color w:val="auto"/>
          <w:sz w:val="32"/>
          <w:szCs w:val="32"/>
          <w:highlight w:val="none"/>
        </w:rPr>
        <w:t>年一般公共预算财政拨款支出</w:t>
      </w:r>
      <w:r>
        <w:rPr>
          <w:rFonts w:hint="eastAsia" w:ascii="仿宋_GB2312" w:hAnsi="仿宋_GB2312" w:eastAsia="仿宋_GB2312" w:cs="仿宋_GB2312"/>
          <w:color w:val="auto"/>
          <w:sz w:val="32"/>
          <w:szCs w:val="32"/>
          <w:highlight w:val="none"/>
          <w:lang w:val="en-US" w:eastAsia="zh-CN"/>
        </w:rPr>
        <w:t>4506.61</w:t>
      </w:r>
      <w:r>
        <w:rPr>
          <w:rFonts w:hint="eastAsia" w:ascii="仿宋_GB2312" w:hAnsi="仿宋_GB2312" w:eastAsia="仿宋_GB2312" w:cs="仿宋_GB2312"/>
          <w:color w:val="auto"/>
          <w:sz w:val="32"/>
          <w:szCs w:val="32"/>
          <w:highlight w:val="none"/>
        </w:rPr>
        <w:t>万元，占本年支出合计的</w:t>
      </w:r>
      <w:r>
        <w:rPr>
          <w:rFonts w:hint="eastAsia" w:ascii="仿宋_GB2312" w:hAnsi="仿宋_GB2312" w:eastAsia="仿宋_GB2312" w:cs="仿宋_GB2312"/>
          <w:color w:val="auto"/>
          <w:sz w:val="32"/>
          <w:szCs w:val="32"/>
          <w:highlight w:val="none"/>
          <w:lang w:val="en-US" w:eastAsia="zh-CN"/>
        </w:rPr>
        <w:t>37.15</w:t>
      </w:r>
      <w:r>
        <w:rPr>
          <w:rFonts w:hint="eastAsia" w:ascii="仿宋_GB2312" w:hAnsi="仿宋_GB2312" w:eastAsia="仿宋_GB2312" w:cs="仿宋_GB2312"/>
          <w:color w:val="auto"/>
          <w:sz w:val="32"/>
          <w:szCs w:val="32"/>
          <w:highlight w:val="none"/>
        </w:rPr>
        <w:t>%。与20</w:t>
      </w:r>
      <w:r>
        <w:rPr>
          <w:rFonts w:hint="eastAsia" w:ascii="仿宋_GB2312" w:hAnsi="仿宋_GB2312" w:eastAsia="仿宋_GB2312" w:cs="仿宋_GB2312"/>
          <w:color w:val="auto"/>
          <w:sz w:val="32"/>
          <w:szCs w:val="32"/>
          <w:highlight w:val="none"/>
          <w:lang w:val="en-US" w:eastAsia="zh-CN"/>
        </w:rPr>
        <w:t>20</w:t>
      </w:r>
      <w:r>
        <w:rPr>
          <w:rFonts w:hint="eastAsia" w:ascii="仿宋_GB2312" w:hAnsi="仿宋_GB2312" w:eastAsia="仿宋_GB2312" w:cs="仿宋_GB2312"/>
          <w:color w:val="auto"/>
          <w:sz w:val="32"/>
          <w:szCs w:val="32"/>
          <w:highlight w:val="none"/>
        </w:rPr>
        <w:t>年相比，一般公共预算财政拨款</w:t>
      </w:r>
      <w:r>
        <w:rPr>
          <w:rFonts w:hint="eastAsia" w:ascii="仿宋_GB2312" w:hAnsi="仿宋_GB2312" w:eastAsia="仿宋_GB2312" w:cs="仿宋_GB2312"/>
          <w:color w:val="auto"/>
          <w:sz w:val="32"/>
          <w:szCs w:val="32"/>
          <w:highlight w:val="none"/>
          <w:lang w:eastAsia="zh-CN"/>
        </w:rPr>
        <w:t>支出</w:t>
      </w:r>
      <w:r>
        <w:rPr>
          <w:rFonts w:hint="eastAsia" w:ascii="仿宋_GB2312" w:hAnsi="仿宋_GB2312" w:eastAsia="仿宋_GB2312" w:cs="仿宋_GB2312"/>
          <w:color w:val="auto"/>
          <w:sz w:val="32"/>
          <w:szCs w:val="32"/>
          <w:highlight w:val="none"/>
          <w:lang w:val="en-US" w:eastAsia="zh-CN"/>
        </w:rPr>
        <w:t>增加279.18</w:t>
      </w:r>
      <w:r>
        <w:rPr>
          <w:rFonts w:hint="eastAsia" w:ascii="仿宋_GB2312" w:hAnsi="仿宋_GB2312" w:eastAsia="仿宋_GB2312" w:cs="仿宋_GB2312"/>
          <w:color w:val="auto"/>
          <w:sz w:val="32"/>
          <w:szCs w:val="32"/>
          <w:highlight w:val="none"/>
        </w:rPr>
        <w:t>万元，增长</w:t>
      </w:r>
      <w:r>
        <w:rPr>
          <w:rFonts w:hint="eastAsia" w:ascii="仿宋_GB2312" w:hAnsi="仿宋_GB2312" w:eastAsia="仿宋_GB2312" w:cs="仿宋_GB2312"/>
          <w:color w:val="auto"/>
          <w:sz w:val="32"/>
          <w:szCs w:val="32"/>
          <w:highlight w:val="none"/>
          <w:lang w:val="en-US" w:eastAsia="zh-CN"/>
        </w:rPr>
        <w:t>6.6</w:t>
      </w:r>
      <w:r>
        <w:rPr>
          <w:rFonts w:hint="eastAsia" w:ascii="仿宋_GB2312" w:hAnsi="仿宋_GB2312" w:eastAsia="仿宋_GB2312" w:cs="仿宋_GB2312"/>
          <w:color w:val="auto"/>
          <w:sz w:val="32"/>
          <w:szCs w:val="32"/>
          <w:highlight w:val="none"/>
        </w:rPr>
        <w:t>%。主要变动原因是</w:t>
      </w:r>
      <w:r>
        <w:rPr>
          <w:rFonts w:hint="eastAsia" w:ascii="仿宋_GB2312" w:hAnsi="仿宋_GB2312" w:eastAsia="仿宋_GB2312" w:cs="仿宋_GB2312"/>
          <w:color w:val="auto"/>
          <w:sz w:val="32"/>
          <w:szCs w:val="32"/>
          <w:highlight w:val="none"/>
          <w:lang w:val="en-US" w:eastAsia="zh-CN"/>
        </w:rPr>
        <w:t>一是2021年我局部分职能职责增加，市城管局划转6人入我局，人员及公用支出增加。二是项目经费增加。</w:t>
      </w:r>
    </w:p>
    <w:p>
      <w:pPr>
        <w:keepNext w:val="0"/>
        <w:keepLines w:val="0"/>
        <w:pageBreakBefore w:val="0"/>
        <w:kinsoku/>
        <w:wordWrap/>
        <w:overflowPunct/>
        <w:topLinePunct w:val="0"/>
        <w:bidi w:val="0"/>
        <w:snapToGrid/>
        <w:spacing w:line="576" w:lineRule="exact"/>
        <w:ind w:left="0" w:leftChars="0" w:right="0" w:firstLine="420" w:firstLineChars="200"/>
        <w:textAlignment w:val="auto"/>
        <w:outlineLvl w:val="2"/>
        <w:rPr>
          <w:rFonts w:hint="eastAsia" w:ascii="仿宋" w:hAnsi="仿宋" w:eastAsia="仿宋"/>
          <w:b/>
          <w:color w:val="auto"/>
          <w:sz w:val="32"/>
          <w:szCs w:val="32"/>
          <w:highlight w:val="none"/>
        </w:rPr>
      </w:pPr>
      <w:bookmarkStart w:id="36" w:name="_Toc15377211"/>
      <w:r>
        <w:drawing>
          <wp:anchor distT="0" distB="0" distL="114300" distR="114300" simplePos="0" relativeHeight="251661312" behindDoc="1" locked="0" layoutInCell="1" allowOverlap="1">
            <wp:simplePos x="0" y="0"/>
            <wp:positionH relativeFrom="column">
              <wp:posOffset>27940</wp:posOffset>
            </wp:positionH>
            <wp:positionV relativeFrom="paragraph">
              <wp:posOffset>208915</wp:posOffset>
            </wp:positionV>
            <wp:extent cx="5592445" cy="4455160"/>
            <wp:effectExtent l="4445" t="4445" r="22860" b="17145"/>
            <wp:wrapNone/>
            <wp:docPr id="9"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pPr>
        <w:pStyle w:val="2"/>
        <w:rPr>
          <w:rFonts w:hint="eastAsia" w:ascii="仿宋" w:hAnsi="仿宋" w:eastAsia="仿宋"/>
          <w:b/>
          <w:color w:val="auto"/>
          <w:sz w:val="32"/>
          <w:szCs w:val="32"/>
          <w:highlight w:val="none"/>
        </w:rPr>
      </w:pPr>
    </w:p>
    <w:p>
      <w:pPr>
        <w:pStyle w:val="2"/>
        <w:rPr>
          <w:rFonts w:hint="eastAsia" w:ascii="仿宋" w:hAnsi="仿宋" w:eastAsia="仿宋"/>
          <w:b/>
          <w:color w:val="auto"/>
          <w:sz w:val="32"/>
          <w:szCs w:val="32"/>
          <w:highlight w:val="none"/>
        </w:rPr>
      </w:pPr>
    </w:p>
    <w:p>
      <w:pPr>
        <w:pStyle w:val="2"/>
        <w:rPr>
          <w:rFonts w:hint="eastAsia" w:ascii="仿宋" w:hAnsi="仿宋" w:eastAsia="仿宋"/>
          <w:b/>
          <w:color w:val="auto"/>
          <w:sz w:val="32"/>
          <w:szCs w:val="32"/>
          <w:highlight w:val="none"/>
        </w:rPr>
      </w:pPr>
    </w:p>
    <w:p>
      <w:pPr>
        <w:pStyle w:val="2"/>
        <w:rPr>
          <w:rFonts w:hint="eastAsia" w:ascii="仿宋" w:hAnsi="仿宋" w:eastAsia="仿宋"/>
          <w:b/>
          <w:color w:val="auto"/>
          <w:sz w:val="32"/>
          <w:szCs w:val="32"/>
          <w:highlight w:val="none"/>
        </w:rPr>
      </w:pPr>
    </w:p>
    <w:p>
      <w:pPr>
        <w:pStyle w:val="2"/>
        <w:rPr>
          <w:rFonts w:hint="eastAsia" w:ascii="仿宋" w:hAnsi="仿宋" w:eastAsia="仿宋"/>
          <w:b/>
          <w:color w:val="auto"/>
          <w:sz w:val="32"/>
          <w:szCs w:val="32"/>
          <w:highlight w:val="none"/>
        </w:rPr>
      </w:pPr>
    </w:p>
    <w:p>
      <w:pPr>
        <w:keepNext w:val="0"/>
        <w:keepLines w:val="0"/>
        <w:pageBreakBefore w:val="0"/>
        <w:kinsoku/>
        <w:wordWrap/>
        <w:overflowPunct/>
        <w:topLinePunct w:val="0"/>
        <w:bidi w:val="0"/>
        <w:snapToGrid/>
        <w:spacing w:line="576" w:lineRule="exact"/>
        <w:ind w:left="0" w:leftChars="0" w:right="0" w:firstLine="643" w:firstLineChars="200"/>
        <w:textAlignment w:val="auto"/>
        <w:outlineLvl w:val="2"/>
        <w:rPr>
          <w:rFonts w:hint="eastAsia" w:ascii="仿宋" w:hAnsi="仿宋" w:eastAsia="仿宋"/>
          <w:b/>
          <w:color w:val="auto"/>
          <w:sz w:val="32"/>
          <w:szCs w:val="32"/>
          <w:highlight w:val="none"/>
        </w:rPr>
      </w:pPr>
    </w:p>
    <w:p>
      <w:pPr>
        <w:keepNext w:val="0"/>
        <w:keepLines w:val="0"/>
        <w:pageBreakBefore w:val="0"/>
        <w:kinsoku/>
        <w:wordWrap/>
        <w:overflowPunct/>
        <w:topLinePunct w:val="0"/>
        <w:bidi w:val="0"/>
        <w:snapToGrid/>
        <w:spacing w:line="576" w:lineRule="exact"/>
        <w:ind w:left="0" w:leftChars="0" w:right="0" w:firstLine="643" w:firstLineChars="200"/>
        <w:textAlignment w:val="auto"/>
        <w:outlineLvl w:val="2"/>
        <w:rPr>
          <w:rFonts w:hint="eastAsia" w:ascii="仿宋" w:hAnsi="仿宋" w:eastAsia="仿宋"/>
          <w:b/>
          <w:color w:val="auto"/>
          <w:sz w:val="32"/>
          <w:szCs w:val="32"/>
          <w:highlight w:val="none"/>
        </w:rPr>
      </w:pPr>
    </w:p>
    <w:p>
      <w:pPr>
        <w:keepNext w:val="0"/>
        <w:keepLines w:val="0"/>
        <w:pageBreakBefore w:val="0"/>
        <w:kinsoku/>
        <w:wordWrap/>
        <w:overflowPunct/>
        <w:topLinePunct w:val="0"/>
        <w:bidi w:val="0"/>
        <w:snapToGrid/>
        <w:spacing w:line="576" w:lineRule="exact"/>
        <w:ind w:left="0" w:leftChars="0" w:right="0" w:firstLine="643" w:firstLineChars="200"/>
        <w:textAlignment w:val="auto"/>
        <w:outlineLvl w:val="2"/>
        <w:rPr>
          <w:rFonts w:hint="eastAsia" w:ascii="仿宋" w:hAnsi="仿宋" w:eastAsia="仿宋"/>
          <w:b/>
          <w:color w:val="auto"/>
          <w:sz w:val="32"/>
          <w:szCs w:val="32"/>
          <w:highlight w:val="none"/>
        </w:rPr>
      </w:pPr>
    </w:p>
    <w:p>
      <w:pPr>
        <w:pStyle w:val="2"/>
        <w:rPr>
          <w:rFonts w:hint="eastAsia" w:ascii="仿宋" w:hAnsi="仿宋" w:eastAsia="仿宋"/>
          <w:b/>
          <w:color w:val="auto"/>
          <w:sz w:val="32"/>
          <w:szCs w:val="32"/>
          <w:highlight w:val="none"/>
        </w:rPr>
      </w:pPr>
    </w:p>
    <w:p>
      <w:pPr>
        <w:pStyle w:val="2"/>
        <w:rPr>
          <w:rFonts w:hint="eastAsia" w:ascii="仿宋" w:hAnsi="仿宋" w:eastAsia="仿宋"/>
          <w:b/>
          <w:color w:val="auto"/>
          <w:sz w:val="32"/>
          <w:szCs w:val="32"/>
          <w:highlight w:val="none"/>
        </w:rPr>
      </w:pPr>
    </w:p>
    <w:p>
      <w:pPr>
        <w:pStyle w:val="2"/>
        <w:rPr>
          <w:rFonts w:hint="eastAsia" w:ascii="仿宋" w:hAnsi="仿宋" w:eastAsia="仿宋"/>
          <w:b/>
          <w:color w:val="auto"/>
          <w:sz w:val="32"/>
          <w:szCs w:val="32"/>
          <w:highlight w:val="none"/>
        </w:rPr>
      </w:pPr>
    </w:p>
    <w:p>
      <w:pPr>
        <w:pStyle w:val="2"/>
        <w:rPr>
          <w:rFonts w:hint="eastAsia" w:ascii="仿宋" w:hAnsi="仿宋" w:eastAsia="仿宋"/>
          <w:b/>
          <w:color w:val="auto"/>
          <w:sz w:val="32"/>
          <w:szCs w:val="32"/>
          <w:highlight w:val="none"/>
        </w:rPr>
      </w:pPr>
    </w:p>
    <w:p>
      <w:pPr>
        <w:keepNext w:val="0"/>
        <w:keepLines w:val="0"/>
        <w:pageBreakBefore w:val="0"/>
        <w:kinsoku/>
        <w:wordWrap/>
        <w:overflowPunct/>
        <w:topLinePunct w:val="0"/>
        <w:bidi w:val="0"/>
        <w:snapToGrid/>
        <w:spacing w:line="576" w:lineRule="exact"/>
        <w:ind w:left="0" w:leftChars="0" w:right="0" w:firstLine="643" w:firstLineChars="200"/>
        <w:textAlignment w:val="auto"/>
        <w:outlineLvl w:val="2"/>
        <w:rPr>
          <w:rFonts w:hint="eastAsia" w:ascii="仿宋" w:hAnsi="仿宋" w:eastAsia="仿宋"/>
          <w:b/>
          <w:color w:val="auto"/>
          <w:sz w:val="32"/>
          <w:szCs w:val="32"/>
          <w:highlight w:val="none"/>
        </w:rPr>
      </w:pPr>
    </w:p>
    <w:p>
      <w:pPr>
        <w:keepNext w:val="0"/>
        <w:keepLines w:val="0"/>
        <w:pageBreakBefore w:val="0"/>
        <w:kinsoku/>
        <w:wordWrap/>
        <w:overflowPunct/>
        <w:topLinePunct w:val="0"/>
        <w:bidi w:val="0"/>
        <w:snapToGrid/>
        <w:spacing w:line="576" w:lineRule="exact"/>
        <w:ind w:left="0" w:leftChars="0" w:right="0" w:firstLine="643" w:firstLineChars="200"/>
        <w:textAlignment w:val="auto"/>
        <w:outlineLvl w:val="2"/>
        <w:rPr>
          <w:rFonts w:hint="eastAsia" w:ascii="仿宋" w:hAnsi="仿宋" w:eastAsia="仿宋"/>
          <w:b/>
          <w:color w:val="auto"/>
          <w:sz w:val="32"/>
          <w:szCs w:val="32"/>
          <w:highlight w:val="none"/>
        </w:rPr>
      </w:pPr>
    </w:p>
    <w:p>
      <w:pPr>
        <w:keepNext w:val="0"/>
        <w:keepLines w:val="0"/>
        <w:pageBreakBefore w:val="0"/>
        <w:kinsoku/>
        <w:wordWrap/>
        <w:overflowPunct/>
        <w:topLinePunct w:val="0"/>
        <w:bidi w:val="0"/>
        <w:snapToGrid/>
        <w:spacing w:line="576" w:lineRule="exact"/>
        <w:ind w:left="0" w:leftChars="0" w:right="0" w:firstLine="643" w:firstLineChars="200"/>
        <w:textAlignment w:val="auto"/>
        <w:outlineLvl w:val="2"/>
        <w:rPr>
          <w:rFonts w:hint="eastAsia" w:ascii="仿宋" w:hAnsi="仿宋" w:eastAsia="仿宋"/>
          <w:b/>
          <w:color w:val="auto"/>
          <w:sz w:val="32"/>
          <w:szCs w:val="32"/>
          <w:highlight w:val="none"/>
        </w:rPr>
      </w:pPr>
    </w:p>
    <w:p>
      <w:pPr>
        <w:keepNext w:val="0"/>
        <w:keepLines w:val="0"/>
        <w:pageBreakBefore w:val="0"/>
        <w:kinsoku/>
        <w:wordWrap/>
        <w:overflowPunct/>
        <w:topLinePunct w:val="0"/>
        <w:bidi w:val="0"/>
        <w:snapToGrid/>
        <w:spacing w:line="576" w:lineRule="exact"/>
        <w:ind w:left="0" w:leftChars="0" w:right="0" w:firstLine="643" w:firstLineChars="200"/>
        <w:textAlignment w:val="auto"/>
        <w:outlineLvl w:val="2"/>
        <w:rPr>
          <w:rFonts w:ascii="仿宋" w:hAnsi="仿宋" w:eastAsia="仿宋"/>
          <w:b/>
          <w:color w:val="auto"/>
          <w:sz w:val="32"/>
          <w:szCs w:val="32"/>
          <w:highlight w:val="none"/>
        </w:rPr>
      </w:pPr>
      <w:r>
        <w:rPr>
          <w:rFonts w:hint="eastAsia" w:ascii="仿宋" w:hAnsi="仿宋" w:eastAsia="仿宋"/>
          <w:b/>
          <w:color w:val="auto"/>
          <w:sz w:val="32"/>
          <w:szCs w:val="32"/>
          <w:highlight w:val="none"/>
        </w:rPr>
        <w:t>（二）一般公共预算财政拨款支出决算结构情况</w:t>
      </w:r>
      <w:bookmarkEnd w:id="36"/>
    </w:p>
    <w:p>
      <w:pPr>
        <w:keepNext w:val="0"/>
        <w:keepLines w:val="0"/>
        <w:pageBreakBefore w:val="0"/>
        <w:widowControl/>
        <w:kinsoku/>
        <w:wordWrap/>
        <w:overflowPunct/>
        <w:topLinePunct w:val="0"/>
        <w:bidi w:val="0"/>
        <w:snapToGrid/>
        <w:spacing w:line="576" w:lineRule="exact"/>
        <w:ind w:left="0" w:leftChars="0" w:right="0" w:firstLine="640"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20</w:t>
      </w:r>
      <w:r>
        <w:rPr>
          <w:rFonts w:hint="eastAsia" w:ascii="仿宋_GB2312" w:hAnsi="仿宋_GB2312" w:eastAsia="仿宋_GB2312" w:cs="仿宋_GB2312"/>
          <w:color w:val="auto"/>
          <w:sz w:val="32"/>
          <w:szCs w:val="32"/>
          <w:highlight w:val="none"/>
          <w:lang w:val="en-US" w:eastAsia="zh-CN"/>
        </w:rPr>
        <w:t>21</w:t>
      </w:r>
      <w:r>
        <w:rPr>
          <w:rFonts w:hint="eastAsia" w:ascii="仿宋_GB2312" w:hAnsi="仿宋_GB2312" w:eastAsia="仿宋_GB2312" w:cs="仿宋_GB2312"/>
          <w:color w:val="auto"/>
          <w:sz w:val="32"/>
          <w:szCs w:val="32"/>
          <w:highlight w:val="none"/>
        </w:rPr>
        <w:t>年一般公共预算财政拨款支出</w:t>
      </w:r>
      <w:r>
        <w:rPr>
          <w:rFonts w:hint="eastAsia" w:ascii="仿宋_GB2312" w:hAnsi="仿宋_GB2312" w:eastAsia="仿宋_GB2312" w:cs="仿宋_GB2312"/>
          <w:color w:val="auto"/>
          <w:sz w:val="32"/>
          <w:szCs w:val="32"/>
          <w:highlight w:val="none"/>
          <w:lang w:val="en-US" w:eastAsia="zh-CN"/>
        </w:rPr>
        <w:t>4506.61</w:t>
      </w:r>
      <w:r>
        <w:rPr>
          <w:rFonts w:hint="eastAsia" w:ascii="仿宋_GB2312" w:hAnsi="仿宋_GB2312" w:eastAsia="仿宋_GB2312" w:cs="仿宋_GB2312"/>
          <w:color w:val="auto"/>
          <w:sz w:val="32"/>
          <w:szCs w:val="32"/>
          <w:highlight w:val="none"/>
        </w:rPr>
        <w:t>万元，主要用于以下方面:社会保障和就业（类）支出</w:t>
      </w:r>
      <w:r>
        <w:rPr>
          <w:rFonts w:hint="eastAsia" w:ascii="仿宋_GB2312" w:hAnsi="仿宋_GB2312" w:eastAsia="仿宋_GB2312" w:cs="仿宋_GB2312"/>
          <w:color w:val="auto"/>
          <w:sz w:val="32"/>
          <w:szCs w:val="32"/>
          <w:highlight w:val="none"/>
          <w:lang w:val="en-US" w:eastAsia="zh-CN"/>
        </w:rPr>
        <w:t>299.95</w:t>
      </w:r>
      <w:r>
        <w:rPr>
          <w:rFonts w:hint="eastAsia" w:ascii="仿宋_GB2312" w:hAnsi="仿宋_GB2312" w:eastAsia="仿宋_GB2312" w:cs="仿宋_GB2312"/>
          <w:color w:val="auto"/>
          <w:sz w:val="32"/>
          <w:szCs w:val="32"/>
          <w:highlight w:val="none"/>
        </w:rPr>
        <w:t>万元，占</w:t>
      </w:r>
      <w:r>
        <w:rPr>
          <w:rFonts w:hint="eastAsia" w:ascii="仿宋_GB2312" w:hAnsi="仿宋_GB2312" w:eastAsia="仿宋_GB2312" w:cs="仿宋_GB2312"/>
          <w:color w:val="auto"/>
          <w:sz w:val="32"/>
          <w:szCs w:val="32"/>
          <w:highlight w:val="none"/>
          <w:lang w:val="en-US" w:eastAsia="zh-CN"/>
        </w:rPr>
        <w:t>6.66</w:t>
      </w:r>
      <w:r>
        <w:rPr>
          <w:rFonts w:hint="eastAsia" w:ascii="仿宋_GB2312" w:hAnsi="仿宋_GB2312" w:eastAsia="仿宋_GB2312" w:cs="仿宋_GB2312"/>
          <w:color w:val="auto"/>
          <w:sz w:val="32"/>
          <w:szCs w:val="32"/>
          <w:highlight w:val="none"/>
        </w:rPr>
        <w:t>%；卫生健康支出</w:t>
      </w:r>
      <w:r>
        <w:rPr>
          <w:rFonts w:hint="eastAsia" w:ascii="仿宋_GB2312" w:hAnsi="仿宋_GB2312" w:eastAsia="仿宋_GB2312" w:cs="仿宋_GB2312"/>
          <w:color w:val="auto"/>
          <w:sz w:val="32"/>
          <w:szCs w:val="32"/>
          <w:highlight w:val="none"/>
          <w:lang w:val="en-US" w:eastAsia="zh-CN"/>
        </w:rPr>
        <w:t>94.94</w:t>
      </w:r>
      <w:r>
        <w:rPr>
          <w:rFonts w:hint="eastAsia" w:ascii="仿宋_GB2312" w:hAnsi="仿宋_GB2312" w:eastAsia="仿宋_GB2312" w:cs="仿宋_GB2312"/>
          <w:color w:val="auto"/>
          <w:sz w:val="32"/>
          <w:szCs w:val="32"/>
          <w:highlight w:val="none"/>
        </w:rPr>
        <w:t>万元，占</w:t>
      </w:r>
      <w:r>
        <w:rPr>
          <w:rFonts w:hint="eastAsia" w:ascii="仿宋_GB2312" w:hAnsi="仿宋_GB2312" w:eastAsia="仿宋_GB2312" w:cs="仿宋_GB2312"/>
          <w:color w:val="auto"/>
          <w:sz w:val="32"/>
          <w:szCs w:val="32"/>
          <w:highlight w:val="none"/>
          <w:lang w:val="en-US" w:eastAsia="zh-CN"/>
        </w:rPr>
        <w:t>2.11</w:t>
      </w:r>
      <w:r>
        <w:rPr>
          <w:rFonts w:hint="eastAsia" w:ascii="仿宋_GB2312" w:hAnsi="仿宋_GB2312" w:eastAsia="仿宋_GB2312" w:cs="仿宋_GB2312"/>
          <w:color w:val="auto"/>
          <w:sz w:val="32"/>
          <w:szCs w:val="32"/>
          <w:highlight w:val="none"/>
        </w:rPr>
        <w:t>%；住房保障支出</w:t>
      </w:r>
      <w:r>
        <w:rPr>
          <w:rFonts w:hint="eastAsia" w:ascii="仿宋_GB2312" w:hAnsi="仿宋_GB2312" w:eastAsia="仿宋_GB2312" w:cs="仿宋_GB2312"/>
          <w:color w:val="auto"/>
          <w:sz w:val="32"/>
          <w:szCs w:val="32"/>
          <w:highlight w:val="none"/>
          <w:lang w:val="en-US" w:eastAsia="zh-CN"/>
        </w:rPr>
        <w:t>253.17</w:t>
      </w:r>
      <w:r>
        <w:rPr>
          <w:rFonts w:hint="eastAsia" w:ascii="仿宋_GB2312" w:hAnsi="仿宋_GB2312" w:eastAsia="仿宋_GB2312" w:cs="仿宋_GB2312"/>
          <w:color w:val="auto"/>
          <w:sz w:val="32"/>
          <w:szCs w:val="32"/>
          <w:highlight w:val="none"/>
        </w:rPr>
        <w:t>万元，占</w:t>
      </w:r>
      <w:r>
        <w:rPr>
          <w:rFonts w:hint="eastAsia" w:ascii="仿宋_GB2312" w:hAnsi="仿宋_GB2312" w:eastAsia="仿宋_GB2312" w:cs="仿宋_GB2312"/>
          <w:color w:val="auto"/>
          <w:sz w:val="32"/>
          <w:szCs w:val="32"/>
          <w:highlight w:val="none"/>
          <w:lang w:val="en-US" w:eastAsia="zh-CN"/>
        </w:rPr>
        <w:t>5.62</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自然资源海洋气象等支出3693.25万元，占81.95%；灾害防治及应急管理支出115.3万元，占2.56%，其他支出50.00万元，占1.1%。</w:t>
      </w:r>
    </w:p>
    <w:p>
      <w:pPr>
        <w:pStyle w:val="2"/>
        <w:rPr>
          <w:rFonts w:hint="eastAsia" w:ascii="仿宋_GB2312" w:hAnsi="仿宋_GB2312" w:eastAsia="仿宋_GB2312" w:cs="仿宋_GB2312"/>
          <w:color w:val="auto"/>
          <w:sz w:val="32"/>
          <w:szCs w:val="32"/>
          <w:highlight w:val="none"/>
          <w:lang w:val="en-US" w:eastAsia="zh-CN"/>
        </w:rPr>
      </w:pPr>
    </w:p>
    <w:p>
      <w:pPr>
        <w:pStyle w:val="2"/>
        <w:rPr>
          <w:rFonts w:hint="eastAsia" w:ascii="仿宋_GB2312" w:hAnsi="仿宋_GB2312" w:eastAsia="仿宋_GB2312" w:cs="仿宋_GB2312"/>
          <w:color w:val="auto"/>
          <w:sz w:val="32"/>
          <w:szCs w:val="32"/>
          <w:highlight w:val="none"/>
          <w:lang w:val="en-US" w:eastAsia="zh-CN"/>
        </w:rPr>
      </w:pPr>
    </w:p>
    <w:p>
      <w:pPr>
        <w:pStyle w:val="2"/>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drawing>
          <wp:anchor distT="0" distB="0" distL="114300" distR="114300" simplePos="0" relativeHeight="251664384" behindDoc="1" locked="0" layoutInCell="1" allowOverlap="1">
            <wp:simplePos x="0" y="0"/>
            <wp:positionH relativeFrom="column">
              <wp:posOffset>-179705</wp:posOffset>
            </wp:positionH>
            <wp:positionV relativeFrom="paragraph">
              <wp:posOffset>48260</wp:posOffset>
            </wp:positionV>
            <wp:extent cx="5770880" cy="3011170"/>
            <wp:effectExtent l="0" t="0" r="1270" b="17780"/>
            <wp:wrapNone/>
            <wp:docPr id="1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7"/>
                    <pic:cNvPicPr>
                      <a:picLocks noChangeAspect="1"/>
                    </pic:cNvPicPr>
                  </pic:nvPicPr>
                  <pic:blipFill>
                    <a:blip r:embed="rId13"/>
                    <a:srcRect l="9139" t="3244" r="8740" b="6369"/>
                    <a:stretch>
                      <a:fillRect/>
                    </a:stretch>
                  </pic:blipFill>
                  <pic:spPr>
                    <a:xfrm>
                      <a:off x="0" y="0"/>
                      <a:ext cx="5770880" cy="3011170"/>
                    </a:xfrm>
                    <a:prstGeom prst="rect">
                      <a:avLst/>
                    </a:prstGeom>
                    <a:noFill/>
                    <a:ln>
                      <a:noFill/>
                    </a:ln>
                  </pic:spPr>
                </pic:pic>
              </a:graphicData>
            </a:graphic>
          </wp:anchor>
        </w:drawing>
      </w:r>
    </w:p>
    <w:p>
      <w:pPr>
        <w:pStyle w:val="2"/>
        <w:rPr>
          <w:rFonts w:hint="eastAsia" w:ascii="仿宋_GB2312" w:hAnsi="仿宋_GB2312" w:eastAsia="仿宋_GB2312" w:cs="仿宋_GB2312"/>
          <w:color w:val="auto"/>
          <w:kern w:val="2"/>
          <w:sz w:val="32"/>
          <w:szCs w:val="32"/>
          <w:highlight w:val="none"/>
          <w:lang w:val="en-US" w:eastAsia="zh-CN" w:bidi="ar-SA"/>
        </w:rPr>
      </w:pPr>
    </w:p>
    <w:p>
      <w:pPr>
        <w:pStyle w:val="2"/>
        <w:rPr>
          <w:rFonts w:hint="eastAsia" w:ascii="仿宋_GB2312" w:hAnsi="仿宋_GB2312" w:eastAsia="仿宋_GB2312" w:cs="仿宋_GB2312"/>
          <w:color w:val="auto"/>
          <w:kern w:val="2"/>
          <w:sz w:val="32"/>
          <w:szCs w:val="32"/>
          <w:highlight w:val="none"/>
          <w:lang w:val="en-US" w:eastAsia="zh-CN" w:bidi="ar-SA"/>
        </w:rPr>
      </w:pPr>
    </w:p>
    <w:p>
      <w:pPr>
        <w:pStyle w:val="2"/>
        <w:rPr>
          <w:rFonts w:hint="eastAsia" w:ascii="仿宋_GB2312" w:hAnsi="仿宋_GB2312" w:eastAsia="仿宋_GB2312" w:cs="仿宋_GB2312"/>
          <w:color w:val="auto"/>
          <w:kern w:val="2"/>
          <w:sz w:val="32"/>
          <w:szCs w:val="32"/>
          <w:highlight w:val="none"/>
          <w:lang w:val="en-US" w:eastAsia="zh-CN" w:bidi="ar-SA"/>
        </w:rPr>
      </w:pPr>
    </w:p>
    <w:p>
      <w:pPr>
        <w:pStyle w:val="2"/>
        <w:rPr>
          <w:rFonts w:hint="eastAsia" w:ascii="仿宋_GB2312" w:hAnsi="仿宋_GB2312" w:eastAsia="仿宋_GB2312" w:cs="仿宋_GB2312"/>
          <w:color w:val="auto"/>
          <w:kern w:val="2"/>
          <w:sz w:val="32"/>
          <w:szCs w:val="32"/>
          <w:highlight w:val="none"/>
          <w:lang w:val="en-US" w:eastAsia="zh-CN" w:bidi="ar-SA"/>
        </w:rPr>
      </w:pPr>
    </w:p>
    <w:p>
      <w:pPr>
        <w:pStyle w:val="2"/>
        <w:rPr>
          <w:rFonts w:hint="eastAsia" w:ascii="仿宋_GB2312" w:hAnsi="仿宋_GB2312" w:eastAsia="仿宋_GB2312" w:cs="仿宋_GB2312"/>
          <w:color w:val="auto"/>
          <w:kern w:val="2"/>
          <w:sz w:val="32"/>
          <w:szCs w:val="32"/>
          <w:highlight w:val="none"/>
          <w:lang w:val="en-US" w:eastAsia="zh-CN" w:bidi="ar-SA"/>
        </w:rPr>
      </w:pPr>
    </w:p>
    <w:p>
      <w:pPr>
        <w:pStyle w:val="2"/>
        <w:rPr>
          <w:rFonts w:hint="eastAsia" w:ascii="仿宋_GB2312" w:hAnsi="仿宋_GB2312" w:eastAsia="仿宋_GB2312" w:cs="仿宋_GB2312"/>
          <w:color w:val="auto"/>
          <w:kern w:val="2"/>
          <w:sz w:val="32"/>
          <w:szCs w:val="32"/>
          <w:highlight w:val="none"/>
          <w:lang w:val="en-US" w:eastAsia="zh-CN" w:bidi="ar-SA"/>
        </w:rPr>
      </w:pPr>
    </w:p>
    <w:p>
      <w:pPr>
        <w:pStyle w:val="2"/>
        <w:rPr>
          <w:rFonts w:hint="eastAsia" w:ascii="仿宋_GB2312" w:hAnsi="仿宋_GB2312" w:eastAsia="仿宋_GB2312" w:cs="仿宋_GB2312"/>
          <w:color w:val="auto"/>
          <w:kern w:val="2"/>
          <w:sz w:val="32"/>
          <w:szCs w:val="32"/>
          <w:highlight w:val="none"/>
          <w:lang w:val="en-US" w:eastAsia="zh-CN" w:bidi="ar-SA"/>
        </w:rPr>
      </w:pPr>
    </w:p>
    <w:p>
      <w:pPr>
        <w:pStyle w:val="2"/>
        <w:rPr>
          <w:rFonts w:hint="eastAsia" w:ascii="仿宋_GB2312" w:hAnsi="仿宋_GB2312" w:eastAsia="仿宋_GB2312" w:cs="仿宋_GB2312"/>
          <w:color w:val="auto"/>
          <w:kern w:val="2"/>
          <w:sz w:val="32"/>
          <w:szCs w:val="32"/>
          <w:highlight w:val="none"/>
          <w:lang w:val="en-US" w:eastAsia="zh-CN" w:bidi="ar-SA"/>
        </w:rPr>
      </w:pPr>
    </w:p>
    <w:p>
      <w:pPr>
        <w:pStyle w:val="2"/>
        <w:rPr>
          <w:rFonts w:hint="eastAsia" w:ascii="仿宋_GB2312" w:hAnsi="仿宋_GB2312" w:eastAsia="仿宋_GB2312" w:cs="仿宋_GB2312"/>
          <w:color w:val="auto"/>
          <w:kern w:val="2"/>
          <w:sz w:val="32"/>
          <w:szCs w:val="32"/>
          <w:highlight w:val="none"/>
          <w:lang w:val="en-US" w:eastAsia="zh-CN" w:bidi="ar-SA"/>
        </w:rPr>
      </w:pPr>
    </w:p>
    <w:p>
      <w:pPr>
        <w:pStyle w:val="2"/>
        <w:rPr>
          <w:rFonts w:hint="eastAsia" w:ascii="仿宋_GB2312" w:hAnsi="仿宋_GB2312" w:eastAsia="仿宋_GB2312" w:cs="仿宋_GB2312"/>
          <w:color w:val="auto"/>
          <w:kern w:val="2"/>
          <w:sz w:val="32"/>
          <w:szCs w:val="32"/>
          <w:highlight w:val="none"/>
          <w:lang w:val="en-US" w:eastAsia="zh-CN" w:bidi="ar-SA"/>
        </w:rPr>
      </w:pPr>
    </w:p>
    <w:p>
      <w:pPr>
        <w:pStyle w:val="2"/>
        <w:rPr>
          <w:rFonts w:hint="eastAsia" w:ascii="仿宋_GB2312" w:hAnsi="仿宋_GB2312" w:eastAsia="仿宋_GB2312" w:cs="仿宋_GB2312"/>
          <w:color w:val="auto"/>
          <w:kern w:val="2"/>
          <w:sz w:val="32"/>
          <w:szCs w:val="32"/>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firstLine="640" w:firstLineChars="200"/>
        <w:jc w:val="left"/>
        <w:textAlignment w:val="auto"/>
        <w:rPr>
          <w:rFonts w:hint="eastAsia"/>
        </w:rPr>
      </w:pPr>
      <w:bookmarkStart w:id="37" w:name="_Toc15377212"/>
      <w:r>
        <w:rPr>
          <w:rFonts w:hint="eastAsia" w:ascii="仿宋_GB2312" w:hAnsi="仿宋_GB2312" w:eastAsia="仿宋_GB2312" w:cs="仿宋_GB2312"/>
          <w:color w:val="auto"/>
          <w:sz w:val="32"/>
          <w:szCs w:val="32"/>
          <w:highlight w:val="none"/>
        </w:rPr>
        <w:t>（三）一般公共预算财政拨款支出决算具体情况</w:t>
      </w:r>
      <w:bookmarkEnd w:id="37"/>
    </w:p>
    <w:p>
      <w:pPr>
        <w:keepNext w:val="0"/>
        <w:keepLines w:val="0"/>
        <w:pageBreakBefore w:val="0"/>
        <w:widowControl w:val="0"/>
        <w:kinsoku/>
        <w:wordWrap/>
        <w:overflowPunct/>
        <w:topLinePunct w:val="0"/>
        <w:autoSpaceDE/>
        <w:autoSpaceDN/>
        <w:bidi w:val="0"/>
        <w:adjustRightInd/>
        <w:snapToGrid/>
        <w:spacing w:line="576" w:lineRule="exact"/>
        <w:ind w:left="0" w:leftChars="0" w:right="0" w:firstLine="640" w:firstLineChars="200"/>
        <w:jc w:val="left"/>
        <w:textAlignment w:val="auto"/>
        <w:rPr>
          <w:rFonts w:hint="eastAsia" w:ascii="仿宋_GB2312" w:hAnsi="仿宋_GB2312" w:eastAsia="仿宋_GB2312" w:cs="仿宋_GB2312"/>
          <w:color w:val="auto"/>
          <w:sz w:val="32"/>
          <w:szCs w:val="32"/>
          <w:highlight w:val="none"/>
        </w:rPr>
      </w:pPr>
      <w:bookmarkStart w:id="38" w:name="_Toc15378460"/>
      <w:bookmarkStart w:id="39" w:name="_Toc15377444"/>
      <w:bookmarkStart w:id="40" w:name="_Toc15377213"/>
      <w:r>
        <w:rPr>
          <w:rFonts w:hint="eastAsia" w:ascii="仿宋_GB2312" w:hAnsi="仿宋_GB2312" w:eastAsia="仿宋_GB2312" w:cs="仿宋_GB2312"/>
          <w:color w:val="auto"/>
          <w:sz w:val="32"/>
          <w:szCs w:val="32"/>
          <w:highlight w:val="none"/>
        </w:rPr>
        <w:t>20</w:t>
      </w:r>
      <w:r>
        <w:rPr>
          <w:rFonts w:hint="eastAsia" w:ascii="仿宋_GB2312" w:hAnsi="仿宋_GB2312" w:eastAsia="仿宋_GB2312" w:cs="仿宋_GB2312"/>
          <w:color w:val="auto"/>
          <w:sz w:val="32"/>
          <w:szCs w:val="32"/>
          <w:highlight w:val="none"/>
          <w:lang w:val="en-US" w:eastAsia="zh-CN"/>
        </w:rPr>
        <w:t>21</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eastAsia="zh-CN"/>
        </w:rPr>
        <w:t>一</w:t>
      </w:r>
      <w:r>
        <w:rPr>
          <w:rFonts w:hint="eastAsia" w:ascii="仿宋_GB2312" w:hAnsi="仿宋_GB2312" w:eastAsia="仿宋_GB2312" w:cs="仿宋_GB2312"/>
          <w:color w:val="auto"/>
          <w:sz w:val="32"/>
          <w:szCs w:val="32"/>
          <w:highlight w:val="none"/>
        </w:rPr>
        <w:t>般公共预算支出决算数为</w:t>
      </w:r>
      <w:r>
        <w:rPr>
          <w:rFonts w:hint="eastAsia" w:ascii="仿宋_GB2312" w:hAnsi="仿宋_GB2312" w:eastAsia="仿宋_GB2312" w:cs="仿宋_GB2312"/>
          <w:color w:val="auto"/>
          <w:sz w:val="32"/>
          <w:szCs w:val="32"/>
          <w:highlight w:val="none"/>
          <w:lang w:val="en-US" w:eastAsia="zh-CN"/>
        </w:rPr>
        <w:t>4506.61</w:t>
      </w:r>
      <w:r>
        <w:rPr>
          <w:rFonts w:hint="eastAsia" w:ascii="仿宋_GB2312" w:hAnsi="仿宋_GB2312" w:eastAsia="仿宋_GB2312" w:cs="仿宋_GB2312"/>
          <w:color w:val="auto"/>
          <w:sz w:val="32"/>
          <w:szCs w:val="32"/>
          <w:highlight w:val="none"/>
        </w:rPr>
        <w:t>，完成预算</w:t>
      </w:r>
      <w:r>
        <w:rPr>
          <w:rFonts w:hint="eastAsia" w:ascii="仿宋_GB2312" w:hAnsi="仿宋_GB2312" w:eastAsia="仿宋_GB2312" w:cs="仿宋_GB2312"/>
          <w:color w:val="auto"/>
          <w:sz w:val="32"/>
          <w:szCs w:val="32"/>
          <w:highlight w:val="none"/>
          <w:lang w:val="en-US" w:eastAsia="zh-CN"/>
        </w:rPr>
        <w:t>89.17</w:t>
      </w:r>
      <w:r>
        <w:rPr>
          <w:rFonts w:hint="eastAsia" w:ascii="仿宋_GB2312" w:hAnsi="仿宋_GB2312" w:eastAsia="仿宋_GB2312" w:cs="仿宋_GB2312"/>
          <w:color w:val="auto"/>
          <w:sz w:val="32"/>
          <w:szCs w:val="32"/>
          <w:highlight w:val="none"/>
        </w:rPr>
        <w:t>%。其中：</w:t>
      </w:r>
      <w:bookmarkEnd w:id="38"/>
      <w:bookmarkEnd w:id="39"/>
      <w:bookmarkEnd w:id="40"/>
    </w:p>
    <w:p>
      <w:pPr>
        <w:keepNext w:val="0"/>
        <w:keepLines w:val="0"/>
        <w:pageBreakBefore w:val="0"/>
        <w:widowControl w:val="0"/>
        <w:kinsoku/>
        <w:wordWrap/>
        <w:overflowPunct/>
        <w:topLinePunct w:val="0"/>
        <w:autoSpaceDE/>
        <w:autoSpaceDN/>
        <w:bidi w:val="0"/>
        <w:adjustRightInd/>
        <w:snapToGrid/>
        <w:spacing w:line="576" w:lineRule="exact"/>
        <w:ind w:left="0" w:leftChars="0" w:right="0" w:firstLine="640" w:firstLineChars="200"/>
        <w:jc w:val="left"/>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社会保障和就业（类）</w:t>
      </w:r>
      <w:r>
        <w:rPr>
          <w:rFonts w:hint="eastAsia" w:ascii="仿宋_GB2312" w:hAnsi="仿宋_GB2312" w:eastAsia="仿宋_GB2312" w:cs="仿宋_GB2312"/>
          <w:color w:val="auto"/>
          <w:sz w:val="32"/>
          <w:szCs w:val="32"/>
          <w:highlight w:val="none"/>
          <w:lang w:val="en-US" w:eastAsia="zh-CN"/>
        </w:rPr>
        <w:t>人力资源和社会保障管理事务</w:t>
      </w:r>
      <w:r>
        <w:rPr>
          <w:rFonts w:hint="eastAsia" w:ascii="仿宋_GB2312" w:hAnsi="仿宋_GB2312" w:eastAsia="仿宋_GB2312" w:cs="仿宋_GB2312"/>
          <w:color w:val="auto"/>
          <w:sz w:val="32"/>
          <w:szCs w:val="32"/>
          <w:highlight w:val="none"/>
        </w:rPr>
        <w:t>（款）</w:t>
      </w:r>
      <w:r>
        <w:rPr>
          <w:rFonts w:hint="eastAsia" w:ascii="仿宋_GB2312" w:hAnsi="仿宋_GB2312" w:eastAsia="仿宋_GB2312" w:cs="仿宋_GB2312"/>
          <w:color w:val="auto"/>
          <w:sz w:val="32"/>
          <w:szCs w:val="32"/>
          <w:highlight w:val="none"/>
          <w:lang w:val="en-US" w:eastAsia="zh-CN"/>
        </w:rPr>
        <w:t>其他人力资源和社会保障管理事务</w:t>
      </w:r>
      <w:r>
        <w:rPr>
          <w:rFonts w:hint="eastAsia" w:ascii="仿宋_GB2312" w:hAnsi="仿宋_GB2312" w:eastAsia="仿宋_GB2312" w:cs="仿宋_GB2312"/>
          <w:color w:val="auto"/>
          <w:sz w:val="32"/>
          <w:szCs w:val="32"/>
          <w:highlight w:val="none"/>
        </w:rPr>
        <w:t>（项）:</w:t>
      </w:r>
      <w:r>
        <w:rPr>
          <w:rFonts w:hint="eastAsia" w:ascii="仿宋_GB2312" w:hAnsi="仿宋_GB2312" w:eastAsia="仿宋_GB2312" w:cs="仿宋_GB2312"/>
          <w:color w:val="auto"/>
          <w:sz w:val="32"/>
          <w:szCs w:val="32"/>
          <w:highlight w:val="none"/>
          <w:lang w:val="en-US" w:eastAsia="zh-CN"/>
        </w:rPr>
        <w:t>支出决算数为15.55万元，完成预算的100%。</w:t>
      </w:r>
    </w:p>
    <w:p>
      <w:pPr>
        <w:keepNext w:val="0"/>
        <w:keepLines w:val="0"/>
        <w:pageBreakBefore w:val="0"/>
        <w:widowControl w:val="0"/>
        <w:kinsoku/>
        <w:wordWrap/>
        <w:overflowPunct/>
        <w:topLinePunct w:val="0"/>
        <w:autoSpaceDE/>
        <w:autoSpaceDN/>
        <w:bidi w:val="0"/>
        <w:adjustRightInd/>
        <w:snapToGrid/>
        <w:spacing w:line="576" w:lineRule="exact"/>
        <w:ind w:left="0" w:leftChars="0" w:right="0"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.社会保障和就业（类）行政事业单位离退休（款）机关事业单位基本养老保险缴费支出（项）:支出决算</w:t>
      </w:r>
      <w:r>
        <w:rPr>
          <w:rFonts w:hint="eastAsia" w:ascii="仿宋_GB2312" w:hAnsi="仿宋_GB2312" w:eastAsia="仿宋_GB2312" w:cs="仿宋_GB2312"/>
          <w:color w:val="auto"/>
          <w:sz w:val="32"/>
          <w:szCs w:val="32"/>
          <w:highlight w:val="none"/>
          <w:lang w:val="en-US" w:eastAsia="zh-CN"/>
        </w:rPr>
        <w:t>数为182.90</w:t>
      </w:r>
      <w:r>
        <w:rPr>
          <w:rFonts w:hint="eastAsia" w:ascii="仿宋_GB2312" w:hAnsi="仿宋_GB2312" w:eastAsia="仿宋_GB2312" w:cs="仿宋_GB2312"/>
          <w:color w:val="auto"/>
          <w:sz w:val="32"/>
          <w:szCs w:val="32"/>
          <w:highlight w:val="none"/>
        </w:rPr>
        <w:t>万元，完成预算</w:t>
      </w:r>
      <w:r>
        <w:rPr>
          <w:rFonts w:hint="eastAsia" w:ascii="仿宋_GB2312" w:hAnsi="仿宋_GB2312" w:eastAsia="仿宋_GB2312" w:cs="仿宋_GB2312"/>
          <w:color w:val="auto"/>
          <w:sz w:val="32"/>
          <w:szCs w:val="32"/>
          <w:highlight w:val="none"/>
          <w:lang w:val="en-US" w:eastAsia="zh-CN"/>
        </w:rPr>
        <w:t>的</w:t>
      </w:r>
      <w:r>
        <w:rPr>
          <w:rFonts w:hint="eastAsia" w:ascii="仿宋_GB2312" w:hAnsi="仿宋_GB2312" w:eastAsia="仿宋_GB2312" w:cs="仿宋_GB2312"/>
          <w:color w:val="auto"/>
          <w:sz w:val="32"/>
          <w:szCs w:val="32"/>
          <w:highlight w:val="none"/>
        </w:rPr>
        <w:t>100%。</w:t>
      </w:r>
    </w:p>
    <w:p>
      <w:pPr>
        <w:keepNext w:val="0"/>
        <w:keepLines w:val="0"/>
        <w:pageBreakBefore w:val="0"/>
        <w:widowControl w:val="0"/>
        <w:kinsoku/>
        <w:wordWrap/>
        <w:overflowPunct/>
        <w:topLinePunct w:val="0"/>
        <w:autoSpaceDE/>
        <w:autoSpaceDN/>
        <w:bidi w:val="0"/>
        <w:adjustRightInd/>
        <w:snapToGrid/>
        <w:spacing w:line="576" w:lineRule="exact"/>
        <w:ind w:left="0" w:leftChars="0" w:right="0"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.社会保障和就业（类）行政事业单位离退休（款）机关事业单位职业年金缴费支出（项）:支出决算</w:t>
      </w:r>
      <w:r>
        <w:rPr>
          <w:rFonts w:hint="eastAsia" w:ascii="仿宋_GB2312" w:hAnsi="仿宋_GB2312" w:eastAsia="仿宋_GB2312" w:cs="仿宋_GB2312"/>
          <w:color w:val="auto"/>
          <w:sz w:val="32"/>
          <w:szCs w:val="32"/>
          <w:highlight w:val="none"/>
          <w:lang w:val="en-US" w:eastAsia="zh-CN"/>
        </w:rPr>
        <w:t>数为45.62</w:t>
      </w:r>
      <w:r>
        <w:rPr>
          <w:rFonts w:hint="eastAsia" w:ascii="仿宋_GB2312" w:hAnsi="仿宋_GB2312" w:eastAsia="仿宋_GB2312" w:cs="仿宋_GB2312"/>
          <w:color w:val="auto"/>
          <w:sz w:val="32"/>
          <w:szCs w:val="32"/>
          <w:highlight w:val="none"/>
        </w:rPr>
        <w:t>万元，完成预算</w:t>
      </w:r>
      <w:r>
        <w:rPr>
          <w:rFonts w:hint="eastAsia" w:ascii="仿宋_GB2312" w:hAnsi="仿宋_GB2312" w:eastAsia="仿宋_GB2312" w:cs="仿宋_GB2312"/>
          <w:color w:val="auto"/>
          <w:sz w:val="32"/>
          <w:szCs w:val="32"/>
          <w:highlight w:val="none"/>
          <w:lang w:val="en-US" w:eastAsia="zh-CN"/>
        </w:rPr>
        <w:t>的</w:t>
      </w:r>
      <w:r>
        <w:rPr>
          <w:rFonts w:hint="eastAsia" w:ascii="仿宋_GB2312" w:hAnsi="仿宋_GB2312" w:eastAsia="仿宋_GB2312" w:cs="仿宋_GB2312"/>
          <w:color w:val="auto"/>
          <w:sz w:val="32"/>
          <w:szCs w:val="32"/>
          <w:highlight w:val="none"/>
        </w:rPr>
        <w:t>100%。</w:t>
      </w:r>
    </w:p>
    <w:p>
      <w:pPr>
        <w:keepNext w:val="0"/>
        <w:keepLines w:val="0"/>
        <w:pageBreakBefore w:val="0"/>
        <w:widowControl w:val="0"/>
        <w:kinsoku/>
        <w:wordWrap/>
        <w:overflowPunct/>
        <w:topLinePunct w:val="0"/>
        <w:autoSpaceDE/>
        <w:autoSpaceDN/>
        <w:bidi w:val="0"/>
        <w:adjustRightInd/>
        <w:snapToGrid/>
        <w:spacing w:line="576" w:lineRule="exact"/>
        <w:ind w:left="0" w:leftChars="0" w:right="0" w:firstLine="640" w:firstLineChars="200"/>
        <w:jc w:val="left"/>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.社会保障和就业（类）抚恤（款）死亡抚恤（项）:支出决算</w:t>
      </w:r>
      <w:r>
        <w:rPr>
          <w:rFonts w:hint="eastAsia" w:ascii="仿宋_GB2312" w:hAnsi="仿宋_GB2312" w:eastAsia="仿宋_GB2312" w:cs="仿宋_GB2312"/>
          <w:color w:val="auto"/>
          <w:sz w:val="32"/>
          <w:szCs w:val="32"/>
          <w:highlight w:val="none"/>
          <w:lang w:val="en-US" w:eastAsia="zh-CN"/>
        </w:rPr>
        <w:t>数为19.72</w:t>
      </w:r>
      <w:r>
        <w:rPr>
          <w:rFonts w:hint="eastAsia" w:ascii="仿宋_GB2312" w:hAnsi="仿宋_GB2312" w:eastAsia="仿宋_GB2312" w:cs="仿宋_GB2312"/>
          <w:color w:val="auto"/>
          <w:sz w:val="32"/>
          <w:szCs w:val="32"/>
          <w:highlight w:val="none"/>
        </w:rPr>
        <w:t>万元，完成预算</w:t>
      </w:r>
      <w:r>
        <w:rPr>
          <w:rFonts w:hint="eastAsia" w:ascii="仿宋_GB2312" w:hAnsi="仿宋_GB2312" w:eastAsia="仿宋_GB2312" w:cs="仿宋_GB2312"/>
          <w:color w:val="auto"/>
          <w:sz w:val="32"/>
          <w:szCs w:val="32"/>
          <w:highlight w:val="none"/>
          <w:lang w:val="en-US" w:eastAsia="zh-CN"/>
        </w:rPr>
        <w:t>的</w:t>
      </w:r>
      <w:r>
        <w:rPr>
          <w:rFonts w:hint="eastAsia" w:ascii="仿宋_GB2312" w:hAnsi="仿宋_GB2312" w:eastAsia="仿宋_GB2312" w:cs="仿宋_GB2312"/>
          <w:color w:val="auto"/>
          <w:sz w:val="32"/>
          <w:szCs w:val="32"/>
          <w:highlight w:val="none"/>
        </w:rPr>
        <w:t>100%</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left="0" w:leftChars="0" w:right="0" w:firstLine="640" w:firstLineChars="200"/>
        <w:jc w:val="left"/>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社会保障和就业（类）</w:t>
      </w:r>
      <w:r>
        <w:rPr>
          <w:rFonts w:hint="eastAsia" w:ascii="仿宋_GB2312" w:hAnsi="仿宋_GB2312" w:eastAsia="仿宋_GB2312" w:cs="仿宋_GB2312"/>
          <w:color w:val="auto"/>
          <w:sz w:val="32"/>
          <w:szCs w:val="32"/>
          <w:highlight w:val="none"/>
          <w:lang w:val="en-US" w:eastAsia="zh-CN"/>
        </w:rPr>
        <w:t>其他社会保障和就业支出</w:t>
      </w:r>
      <w:r>
        <w:rPr>
          <w:rFonts w:hint="eastAsia" w:ascii="仿宋_GB2312" w:hAnsi="仿宋_GB2312" w:eastAsia="仿宋_GB2312" w:cs="仿宋_GB2312"/>
          <w:color w:val="auto"/>
          <w:sz w:val="32"/>
          <w:szCs w:val="32"/>
          <w:highlight w:val="none"/>
        </w:rPr>
        <w:t>（款）</w:t>
      </w:r>
      <w:r>
        <w:rPr>
          <w:rFonts w:hint="eastAsia" w:ascii="仿宋_GB2312" w:hAnsi="仿宋_GB2312" w:eastAsia="仿宋_GB2312" w:cs="仿宋_GB2312"/>
          <w:color w:val="auto"/>
          <w:sz w:val="32"/>
          <w:szCs w:val="32"/>
          <w:highlight w:val="none"/>
          <w:lang w:val="en-US" w:eastAsia="zh-CN"/>
        </w:rPr>
        <w:t>其他社会保障和就业支出</w:t>
      </w:r>
      <w:r>
        <w:rPr>
          <w:rFonts w:hint="eastAsia" w:ascii="仿宋_GB2312" w:hAnsi="仿宋_GB2312" w:eastAsia="仿宋_GB2312" w:cs="仿宋_GB2312"/>
          <w:color w:val="auto"/>
          <w:sz w:val="32"/>
          <w:szCs w:val="32"/>
          <w:highlight w:val="none"/>
        </w:rPr>
        <w:t>（项）:</w:t>
      </w:r>
      <w:r>
        <w:rPr>
          <w:rFonts w:hint="eastAsia" w:ascii="仿宋_GB2312" w:hAnsi="仿宋_GB2312" w:eastAsia="仿宋_GB2312" w:cs="仿宋_GB2312"/>
          <w:color w:val="auto"/>
          <w:sz w:val="32"/>
          <w:szCs w:val="32"/>
          <w:highlight w:val="none"/>
          <w:lang w:val="en-US" w:eastAsia="zh-CN"/>
        </w:rPr>
        <w:t>支出决算数为36.16万元，完成预算的100%。</w:t>
      </w:r>
    </w:p>
    <w:p>
      <w:pPr>
        <w:keepNext w:val="0"/>
        <w:keepLines w:val="0"/>
        <w:pageBreakBefore w:val="0"/>
        <w:widowControl w:val="0"/>
        <w:kinsoku/>
        <w:wordWrap/>
        <w:overflowPunct/>
        <w:topLinePunct w:val="0"/>
        <w:autoSpaceDE/>
        <w:autoSpaceDN/>
        <w:bidi w:val="0"/>
        <w:adjustRightInd/>
        <w:snapToGrid/>
        <w:spacing w:line="576" w:lineRule="exact"/>
        <w:ind w:left="0" w:leftChars="0" w:right="0"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.卫生健康（类）行政事业单位医疗（款）行政单位医疗（项）:支出决算</w:t>
      </w:r>
      <w:r>
        <w:rPr>
          <w:rFonts w:hint="eastAsia" w:ascii="仿宋_GB2312" w:hAnsi="仿宋_GB2312" w:eastAsia="仿宋_GB2312" w:cs="仿宋_GB2312"/>
          <w:color w:val="auto"/>
          <w:sz w:val="32"/>
          <w:szCs w:val="32"/>
          <w:highlight w:val="none"/>
          <w:lang w:val="en-US" w:eastAsia="zh-CN"/>
        </w:rPr>
        <w:t>数为49.26</w:t>
      </w:r>
      <w:r>
        <w:rPr>
          <w:rFonts w:hint="eastAsia" w:ascii="仿宋_GB2312" w:hAnsi="仿宋_GB2312" w:eastAsia="仿宋_GB2312" w:cs="仿宋_GB2312"/>
          <w:color w:val="auto"/>
          <w:sz w:val="32"/>
          <w:szCs w:val="32"/>
          <w:highlight w:val="none"/>
        </w:rPr>
        <w:t>万元，完成预算</w:t>
      </w:r>
      <w:r>
        <w:rPr>
          <w:rFonts w:hint="eastAsia" w:ascii="仿宋_GB2312" w:hAnsi="仿宋_GB2312" w:eastAsia="仿宋_GB2312" w:cs="仿宋_GB2312"/>
          <w:color w:val="auto"/>
          <w:sz w:val="32"/>
          <w:szCs w:val="32"/>
          <w:highlight w:val="none"/>
          <w:lang w:val="en-US" w:eastAsia="zh-CN"/>
        </w:rPr>
        <w:t>的</w:t>
      </w:r>
      <w:r>
        <w:rPr>
          <w:rFonts w:hint="eastAsia" w:ascii="仿宋_GB2312" w:hAnsi="仿宋_GB2312" w:eastAsia="仿宋_GB2312" w:cs="仿宋_GB2312"/>
          <w:color w:val="auto"/>
          <w:sz w:val="32"/>
          <w:szCs w:val="32"/>
          <w:highlight w:val="none"/>
        </w:rPr>
        <w:t>100%</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left="0" w:leftChars="0" w:right="0"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rPr>
        <w:t>.卫生健康（类）行政事业单位医疗（款）事业单位医疗（项）:支出决算</w:t>
      </w:r>
      <w:r>
        <w:rPr>
          <w:rFonts w:hint="eastAsia" w:ascii="仿宋_GB2312" w:hAnsi="仿宋_GB2312" w:eastAsia="仿宋_GB2312" w:cs="仿宋_GB2312"/>
          <w:color w:val="auto"/>
          <w:sz w:val="32"/>
          <w:szCs w:val="32"/>
          <w:highlight w:val="none"/>
          <w:lang w:val="en-US" w:eastAsia="zh-CN"/>
        </w:rPr>
        <w:t>数45.68</w:t>
      </w:r>
      <w:r>
        <w:rPr>
          <w:rFonts w:hint="eastAsia" w:ascii="仿宋_GB2312" w:hAnsi="仿宋_GB2312" w:eastAsia="仿宋_GB2312" w:cs="仿宋_GB2312"/>
          <w:color w:val="auto"/>
          <w:sz w:val="32"/>
          <w:szCs w:val="32"/>
          <w:highlight w:val="none"/>
        </w:rPr>
        <w:t>万元，完成预算</w:t>
      </w:r>
      <w:r>
        <w:rPr>
          <w:rFonts w:hint="eastAsia" w:ascii="仿宋_GB2312" w:hAnsi="仿宋_GB2312" w:eastAsia="仿宋_GB2312" w:cs="仿宋_GB2312"/>
          <w:color w:val="auto"/>
          <w:sz w:val="32"/>
          <w:szCs w:val="32"/>
          <w:highlight w:val="none"/>
          <w:lang w:val="en-US" w:eastAsia="zh-CN"/>
        </w:rPr>
        <w:t>的</w:t>
      </w:r>
      <w:r>
        <w:rPr>
          <w:rFonts w:hint="eastAsia" w:ascii="仿宋_GB2312" w:hAnsi="仿宋_GB2312" w:eastAsia="仿宋_GB2312" w:cs="仿宋_GB2312"/>
          <w:color w:val="auto"/>
          <w:sz w:val="32"/>
          <w:szCs w:val="32"/>
          <w:highlight w:val="none"/>
        </w:rPr>
        <w:t>100%。</w:t>
      </w:r>
    </w:p>
    <w:p>
      <w:pPr>
        <w:keepNext w:val="0"/>
        <w:keepLines w:val="0"/>
        <w:pageBreakBefore w:val="0"/>
        <w:widowControl w:val="0"/>
        <w:kinsoku/>
        <w:wordWrap/>
        <w:overflowPunct/>
        <w:topLinePunct w:val="0"/>
        <w:autoSpaceDE/>
        <w:autoSpaceDN/>
        <w:bidi w:val="0"/>
        <w:adjustRightInd/>
        <w:snapToGrid/>
        <w:spacing w:line="576" w:lineRule="exact"/>
        <w:ind w:left="0" w:leftChars="0" w:right="0"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rPr>
        <w:t>.自然资源海洋气象等支出（类）自然资源事务（款）行政运行(项）：支出决算数</w:t>
      </w:r>
      <w:r>
        <w:rPr>
          <w:rFonts w:hint="eastAsia" w:ascii="仿宋_GB2312" w:hAnsi="仿宋_GB2312" w:eastAsia="仿宋_GB2312" w:cs="仿宋_GB2312"/>
          <w:color w:val="auto"/>
          <w:sz w:val="32"/>
          <w:szCs w:val="32"/>
          <w:highlight w:val="none"/>
          <w:lang w:val="en-US" w:eastAsia="zh-CN"/>
        </w:rPr>
        <w:t>为1057.24</w:t>
      </w:r>
      <w:r>
        <w:rPr>
          <w:rFonts w:hint="eastAsia" w:ascii="仿宋_GB2312" w:hAnsi="仿宋_GB2312" w:eastAsia="仿宋_GB2312" w:cs="仿宋_GB2312"/>
          <w:color w:val="auto"/>
          <w:sz w:val="32"/>
          <w:szCs w:val="32"/>
          <w:highlight w:val="none"/>
        </w:rPr>
        <w:t>万元，完成预算</w:t>
      </w:r>
      <w:r>
        <w:rPr>
          <w:rFonts w:hint="eastAsia" w:ascii="仿宋_GB2312" w:hAnsi="仿宋_GB2312" w:eastAsia="仿宋_GB2312" w:cs="仿宋_GB2312"/>
          <w:color w:val="auto"/>
          <w:sz w:val="32"/>
          <w:szCs w:val="32"/>
          <w:highlight w:val="none"/>
          <w:lang w:val="en-US" w:eastAsia="zh-CN"/>
        </w:rPr>
        <w:t>的85.17</w:t>
      </w:r>
      <w:r>
        <w:rPr>
          <w:rFonts w:hint="eastAsia" w:ascii="仿宋_GB2312" w:hAnsi="仿宋_GB2312" w:eastAsia="仿宋_GB2312" w:cs="仿宋_GB2312"/>
          <w:color w:val="auto"/>
          <w:sz w:val="32"/>
          <w:szCs w:val="32"/>
          <w:highlight w:val="none"/>
        </w:rPr>
        <w:t>%，决算数小于预算数主要原因</w:t>
      </w:r>
      <w:r>
        <w:rPr>
          <w:rFonts w:hint="eastAsia" w:ascii="仿宋_GB2312" w:hAnsi="仿宋_GB2312" w:eastAsia="仿宋_GB2312" w:cs="仿宋_GB2312"/>
          <w:color w:val="auto"/>
          <w:sz w:val="32"/>
          <w:szCs w:val="32"/>
          <w:highlight w:val="none"/>
          <w:lang w:val="en-US" w:eastAsia="zh-CN"/>
        </w:rPr>
        <w:t>一是</w:t>
      </w:r>
      <w:r>
        <w:rPr>
          <w:rFonts w:hint="eastAsia" w:ascii="仿宋_GB2312" w:hAnsi="仿宋_GB2312" w:eastAsia="仿宋_GB2312" w:cs="仿宋_GB2312"/>
          <w:color w:val="auto"/>
          <w:sz w:val="32"/>
          <w:szCs w:val="32"/>
          <w:highlight w:val="none"/>
        </w:rPr>
        <w:t>202</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其他收入项目经费减少，二是</w:t>
      </w:r>
      <w:r>
        <w:rPr>
          <w:rFonts w:hint="eastAsia" w:ascii="仿宋_GB2312" w:hAnsi="仿宋_GB2312" w:eastAsia="仿宋_GB2312" w:cs="仿宋_GB2312"/>
          <w:color w:val="auto"/>
          <w:sz w:val="32"/>
          <w:szCs w:val="32"/>
          <w:highlight w:val="none"/>
        </w:rPr>
        <w:t>严格控制经费，压缩各项</w:t>
      </w:r>
      <w:r>
        <w:rPr>
          <w:rFonts w:hint="eastAsia" w:ascii="仿宋_GB2312" w:hAnsi="仿宋_GB2312" w:eastAsia="仿宋_GB2312" w:cs="仿宋_GB2312"/>
          <w:color w:val="auto"/>
          <w:sz w:val="32"/>
          <w:szCs w:val="32"/>
          <w:highlight w:val="none"/>
          <w:lang w:val="en-US" w:eastAsia="zh-CN"/>
        </w:rPr>
        <w:t>开支</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76" w:lineRule="exact"/>
        <w:ind w:left="0" w:leftChars="0" w:right="0"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9</w:t>
      </w:r>
      <w:r>
        <w:rPr>
          <w:rFonts w:hint="eastAsia" w:ascii="仿宋_GB2312" w:hAnsi="仿宋_GB2312" w:eastAsia="仿宋_GB2312" w:cs="仿宋_GB2312"/>
          <w:color w:val="auto"/>
          <w:sz w:val="32"/>
          <w:szCs w:val="32"/>
          <w:highlight w:val="none"/>
        </w:rPr>
        <w:t>.自然资源海洋气象等支出（类）自然资源事务（款）</w:t>
      </w:r>
      <w:r>
        <w:rPr>
          <w:rFonts w:hint="eastAsia" w:ascii="仿宋_GB2312" w:hAnsi="仿宋_GB2312" w:eastAsia="仿宋_GB2312" w:cs="仿宋_GB2312"/>
          <w:color w:val="auto"/>
          <w:sz w:val="32"/>
          <w:szCs w:val="32"/>
          <w:highlight w:val="none"/>
          <w:lang w:val="en-US" w:eastAsia="zh-CN"/>
        </w:rPr>
        <w:t>机关事务</w:t>
      </w:r>
      <w:r>
        <w:rPr>
          <w:rFonts w:hint="eastAsia" w:ascii="仿宋_GB2312" w:hAnsi="仿宋_GB2312" w:eastAsia="仿宋_GB2312" w:cs="仿宋_GB2312"/>
          <w:color w:val="auto"/>
          <w:sz w:val="32"/>
          <w:szCs w:val="32"/>
          <w:highlight w:val="none"/>
        </w:rPr>
        <w:t>（项）：支出决算数</w:t>
      </w:r>
      <w:r>
        <w:rPr>
          <w:rFonts w:hint="eastAsia" w:ascii="仿宋_GB2312" w:hAnsi="仿宋_GB2312" w:eastAsia="仿宋_GB2312" w:cs="仿宋_GB2312"/>
          <w:color w:val="auto"/>
          <w:sz w:val="32"/>
          <w:szCs w:val="32"/>
          <w:highlight w:val="none"/>
          <w:lang w:val="en-US" w:eastAsia="zh-CN"/>
        </w:rPr>
        <w:t>为30.78</w:t>
      </w:r>
      <w:r>
        <w:rPr>
          <w:rFonts w:hint="eastAsia" w:ascii="仿宋_GB2312" w:hAnsi="仿宋_GB2312" w:eastAsia="仿宋_GB2312" w:cs="仿宋_GB2312"/>
          <w:color w:val="auto"/>
          <w:sz w:val="32"/>
          <w:szCs w:val="32"/>
          <w:highlight w:val="none"/>
        </w:rPr>
        <w:t>万元，完成预算</w:t>
      </w:r>
      <w:r>
        <w:rPr>
          <w:rFonts w:hint="eastAsia" w:ascii="仿宋_GB2312" w:hAnsi="仿宋_GB2312" w:eastAsia="仿宋_GB2312" w:cs="仿宋_GB2312"/>
          <w:color w:val="auto"/>
          <w:sz w:val="32"/>
          <w:szCs w:val="32"/>
          <w:highlight w:val="none"/>
          <w:lang w:val="en-US" w:eastAsia="zh-CN"/>
        </w:rPr>
        <w:t>的</w:t>
      </w:r>
      <w:r>
        <w:rPr>
          <w:rFonts w:hint="eastAsia" w:ascii="仿宋_GB2312" w:hAnsi="仿宋_GB2312" w:eastAsia="仿宋_GB2312" w:cs="仿宋_GB2312"/>
          <w:color w:val="auto"/>
          <w:sz w:val="32"/>
          <w:szCs w:val="32"/>
          <w:highlight w:val="none"/>
        </w:rPr>
        <w:t>100%。</w:t>
      </w:r>
    </w:p>
    <w:p>
      <w:pPr>
        <w:keepNext w:val="0"/>
        <w:keepLines w:val="0"/>
        <w:pageBreakBefore w:val="0"/>
        <w:widowControl w:val="0"/>
        <w:kinsoku/>
        <w:wordWrap/>
        <w:overflowPunct/>
        <w:topLinePunct w:val="0"/>
        <w:autoSpaceDE/>
        <w:autoSpaceDN/>
        <w:bidi w:val="0"/>
        <w:adjustRightInd/>
        <w:snapToGrid/>
        <w:spacing w:line="576" w:lineRule="exact"/>
        <w:ind w:left="0" w:leftChars="0" w:right="0"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rPr>
        <w:t>.自然资源海洋气象等支出（类）自然资源事务（款）自然资源利用与保护（项）：支出决算数</w:t>
      </w:r>
      <w:r>
        <w:rPr>
          <w:rFonts w:hint="eastAsia" w:ascii="仿宋_GB2312" w:hAnsi="仿宋_GB2312" w:eastAsia="仿宋_GB2312" w:cs="仿宋_GB2312"/>
          <w:color w:val="auto"/>
          <w:sz w:val="32"/>
          <w:szCs w:val="32"/>
          <w:highlight w:val="none"/>
          <w:lang w:val="en-US" w:eastAsia="zh-CN"/>
        </w:rPr>
        <w:t>为180.37</w:t>
      </w:r>
      <w:r>
        <w:rPr>
          <w:rFonts w:hint="eastAsia" w:ascii="仿宋_GB2312" w:hAnsi="仿宋_GB2312" w:eastAsia="仿宋_GB2312" w:cs="仿宋_GB2312"/>
          <w:color w:val="auto"/>
          <w:sz w:val="32"/>
          <w:szCs w:val="32"/>
          <w:highlight w:val="none"/>
        </w:rPr>
        <w:t>万元，完成预算9</w:t>
      </w:r>
      <w:r>
        <w:rPr>
          <w:rFonts w:hint="eastAsia" w:ascii="仿宋_GB2312" w:hAnsi="仿宋_GB2312" w:eastAsia="仿宋_GB2312" w:cs="仿宋_GB2312"/>
          <w:color w:val="auto"/>
          <w:sz w:val="32"/>
          <w:szCs w:val="32"/>
          <w:highlight w:val="none"/>
          <w:lang w:val="en-US" w:eastAsia="zh-CN"/>
        </w:rPr>
        <w:t>8.38</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与预算基本持平。</w:t>
      </w:r>
    </w:p>
    <w:p>
      <w:pPr>
        <w:keepNext w:val="0"/>
        <w:keepLines w:val="0"/>
        <w:pageBreakBefore w:val="0"/>
        <w:widowControl w:val="0"/>
        <w:kinsoku/>
        <w:wordWrap/>
        <w:overflowPunct/>
        <w:topLinePunct w:val="0"/>
        <w:autoSpaceDE/>
        <w:autoSpaceDN/>
        <w:bidi w:val="0"/>
        <w:adjustRightInd/>
        <w:snapToGrid/>
        <w:spacing w:line="576" w:lineRule="exact"/>
        <w:ind w:left="0" w:leftChars="0" w:right="0"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11</w:t>
      </w:r>
      <w:r>
        <w:rPr>
          <w:rFonts w:hint="eastAsia" w:ascii="仿宋_GB2312" w:hAnsi="仿宋_GB2312" w:eastAsia="仿宋_GB2312" w:cs="仿宋_GB2312"/>
          <w:color w:val="auto"/>
          <w:sz w:val="32"/>
          <w:szCs w:val="32"/>
          <w:highlight w:val="none"/>
        </w:rPr>
        <w:t>.自然资源海洋气象等支出（类）自然资源事务（款）</w:t>
      </w:r>
      <w:r>
        <w:rPr>
          <w:rFonts w:hint="eastAsia" w:ascii="仿宋_GB2312" w:hAnsi="仿宋_GB2312" w:eastAsia="仿宋_GB2312" w:cs="仿宋_GB2312"/>
          <w:color w:val="auto"/>
          <w:sz w:val="32"/>
          <w:szCs w:val="32"/>
          <w:highlight w:val="none"/>
          <w:lang w:val="en-US" w:eastAsia="zh-CN"/>
        </w:rPr>
        <w:t>自然资源调查与确权登记</w:t>
      </w:r>
      <w:r>
        <w:rPr>
          <w:rFonts w:hint="eastAsia" w:ascii="仿宋_GB2312" w:hAnsi="仿宋_GB2312" w:eastAsia="仿宋_GB2312" w:cs="仿宋_GB2312"/>
          <w:color w:val="auto"/>
          <w:sz w:val="32"/>
          <w:szCs w:val="32"/>
          <w:highlight w:val="none"/>
        </w:rPr>
        <w:t>（项）：支出决算数</w:t>
      </w:r>
      <w:r>
        <w:rPr>
          <w:rFonts w:hint="eastAsia" w:ascii="仿宋_GB2312" w:hAnsi="仿宋_GB2312" w:eastAsia="仿宋_GB2312" w:cs="仿宋_GB2312"/>
          <w:color w:val="auto"/>
          <w:sz w:val="32"/>
          <w:szCs w:val="32"/>
          <w:highlight w:val="none"/>
          <w:lang w:val="en-US" w:eastAsia="zh-CN"/>
        </w:rPr>
        <w:t>为12</w:t>
      </w:r>
      <w:r>
        <w:rPr>
          <w:rFonts w:hint="eastAsia" w:ascii="仿宋_GB2312" w:hAnsi="仿宋_GB2312" w:eastAsia="仿宋_GB2312" w:cs="仿宋_GB2312"/>
          <w:color w:val="auto"/>
          <w:sz w:val="32"/>
          <w:szCs w:val="32"/>
          <w:highlight w:val="none"/>
        </w:rPr>
        <w:t>万元，完成预算</w:t>
      </w:r>
      <w:r>
        <w:rPr>
          <w:rFonts w:hint="eastAsia" w:ascii="仿宋_GB2312" w:hAnsi="仿宋_GB2312" w:eastAsia="仿宋_GB2312" w:cs="仿宋_GB2312"/>
          <w:color w:val="auto"/>
          <w:sz w:val="32"/>
          <w:szCs w:val="32"/>
          <w:highlight w:val="none"/>
          <w:lang w:val="en-US" w:eastAsia="zh-CN"/>
        </w:rPr>
        <w:t>的</w:t>
      </w:r>
      <w:r>
        <w:rPr>
          <w:rFonts w:hint="eastAsia" w:ascii="仿宋_GB2312" w:hAnsi="仿宋_GB2312" w:eastAsia="仿宋_GB2312" w:cs="仿宋_GB2312"/>
          <w:color w:val="auto"/>
          <w:sz w:val="32"/>
          <w:szCs w:val="32"/>
          <w:highlight w:val="none"/>
        </w:rPr>
        <w:t>100%。</w:t>
      </w:r>
    </w:p>
    <w:p>
      <w:pPr>
        <w:keepNext w:val="0"/>
        <w:keepLines w:val="0"/>
        <w:pageBreakBefore w:val="0"/>
        <w:widowControl w:val="0"/>
        <w:kinsoku/>
        <w:wordWrap/>
        <w:overflowPunct/>
        <w:topLinePunct w:val="0"/>
        <w:bidi w:val="0"/>
        <w:snapToGrid/>
        <w:spacing w:line="576" w:lineRule="exact"/>
        <w:ind w:left="0" w:leftChars="0" w:right="0" w:firstLine="640"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12.</w:t>
      </w:r>
      <w:r>
        <w:rPr>
          <w:rFonts w:hint="eastAsia" w:ascii="仿宋_GB2312" w:hAnsi="仿宋_GB2312" w:eastAsia="仿宋_GB2312" w:cs="仿宋_GB2312"/>
          <w:color w:val="auto"/>
          <w:sz w:val="32"/>
          <w:szCs w:val="32"/>
          <w:highlight w:val="none"/>
        </w:rPr>
        <w:t>自然资源海洋气象等支出（类）自然资源事务（款）地质勘察与矿产资源管理（项）：</w:t>
      </w:r>
      <w:r>
        <w:rPr>
          <w:rFonts w:hint="eastAsia" w:ascii="仿宋_GB2312" w:hAnsi="仿宋_GB2312" w:eastAsia="仿宋_GB2312" w:cs="仿宋_GB2312"/>
          <w:color w:val="auto"/>
          <w:sz w:val="32"/>
          <w:szCs w:val="32"/>
          <w:highlight w:val="none"/>
          <w:lang w:val="en-US" w:eastAsia="zh-CN"/>
        </w:rPr>
        <w:t>支出决算数为105.76，完成预算的100%。</w:t>
      </w:r>
    </w:p>
    <w:p>
      <w:pPr>
        <w:keepNext w:val="0"/>
        <w:keepLines w:val="0"/>
        <w:pageBreakBefore w:val="0"/>
        <w:widowControl w:val="0"/>
        <w:kinsoku/>
        <w:wordWrap/>
        <w:overflowPunct/>
        <w:topLinePunct w:val="0"/>
        <w:bidi w:val="0"/>
        <w:snapToGrid/>
        <w:spacing w:line="576" w:lineRule="exact"/>
        <w:ind w:left="0" w:leftChars="0" w:right="0" w:firstLine="640" w:firstLineChars="200"/>
        <w:jc w:val="left"/>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13.</w:t>
      </w:r>
      <w:r>
        <w:rPr>
          <w:rFonts w:hint="eastAsia" w:ascii="仿宋_GB2312" w:hAnsi="仿宋_GB2312" w:eastAsia="仿宋_GB2312" w:cs="仿宋_GB2312"/>
          <w:color w:val="auto"/>
          <w:sz w:val="32"/>
          <w:szCs w:val="32"/>
          <w:highlight w:val="none"/>
        </w:rPr>
        <w:t>自然资源海洋气象等支出（类）自然资源事务（款）</w:t>
      </w:r>
      <w:r>
        <w:rPr>
          <w:rFonts w:hint="eastAsia" w:ascii="仿宋_GB2312" w:hAnsi="仿宋_GB2312" w:eastAsia="仿宋_GB2312" w:cs="仿宋_GB2312"/>
          <w:color w:val="auto"/>
          <w:sz w:val="32"/>
          <w:szCs w:val="32"/>
          <w:highlight w:val="none"/>
          <w:lang w:val="en-US" w:eastAsia="zh-CN"/>
        </w:rPr>
        <w:t>基础测绘与地理信息监管</w:t>
      </w:r>
      <w:r>
        <w:rPr>
          <w:rFonts w:hint="eastAsia" w:ascii="仿宋_GB2312" w:hAnsi="仿宋_GB2312" w:eastAsia="仿宋_GB2312" w:cs="仿宋_GB2312"/>
          <w:color w:val="auto"/>
          <w:sz w:val="32"/>
          <w:szCs w:val="32"/>
          <w:highlight w:val="none"/>
        </w:rPr>
        <w:t>（项）：</w:t>
      </w:r>
      <w:r>
        <w:rPr>
          <w:rFonts w:hint="eastAsia" w:ascii="仿宋_GB2312" w:hAnsi="仿宋_GB2312" w:eastAsia="仿宋_GB2312" w:cs="仿宋_GB2312"/>
          <w:color w:val="auto"/>
          <w:sz w:val="32"/>
          <w:szCs w:val="32"/>
          <w:highlight w:val="none"/>
          <w:lang w:val="en-US" w:eastAsia="zh-CN"/>
        </w:rPr>
        <w:t>决算数为93万元，完成预算的98.54%，决算数小于预算数的原因是预算数是94.37万元，招标数为93万元，余1.37万元财政2022年度收回。</w:t>
      </w:r>
    </w:p>
    <w:p>
      <w:pPr>
        <w:keepNext w:val="0"/>
        <w:keepLines w:val="0"/>
        <w:pageBreakBefore w:val="0"/>
        <w:widowControl w:val="0"/>
        <w:kinsoku/>
        <w:wordWrap/>
        <w:overflowPunct/>
        <w:topLinePunct w:val="0"/>
        <w:bidi w:val="0"/>
        <w:snapToGrid/>
        <w:spacing w:line="576" w:lineRule="exact"/>
        <w:ind w:left="0" w:leftChars="0" w:right="0"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.自然资源海洋气象等支出（类）自然资源事务（款）事业运行（项）：支出决算数</w:t>
      </w:r>
      <w:r>
        <w:rPr>
          <w:rFonts w:hint="eastAsia" w:ascii="仿宋_GB2312" w:hAnsi="仿宋_GB2312" w:eastAsia="仿宋_GB2312" w:cs="仿宋_GB2312"/>
          <w:color w:val="auto"/>
          <w:sz w:val="32"/>
          <w:szCs w:val="32"/>
          <w:highlight w:val="none"/>
          <w:lang w:val="en-US" w:eastAsia="zh-CN"/>
        </w:rPr>
        <w:t>823.82</w:t>
      </w:r>
      <w:r>
        <w:rPr>
          <w:rFonts w:hint="eastAsia" w:ascii="仿宋_GB2312" w:hAnsi="仿宋_GB2312" w:eastAsia="仿宋_GB2312" w:cs="仿宋_GB2312"/>
          <w:color w:val="auto"/>
          <w:sz w:val="32"/>
          <w:szCs w:val="32"/>
          <w:highlight w:val="none"/>
        </w:rPr>
        <w:t>万元，完成预算</w:t>
      </w:r>
      <w:r>
        <w:rPr>
          <w:rFonts w:hint="eastAsia" w:ascii="仿宋_GB2312" w:hAnsi="仿宋_GB2312" w:eastAsia="仿宋_GB2312" w:cs="仿宋_GB2312"/>
          <w:color w:val="auto"/>
          <w:sz w:val="32"/>
          <w:szCs w:val="32"/>
          <w:highlight w:val="none"/>
          <w:lang w:val="en-US" w:eastAsia="zh-CN"/>
        </w:rPr>
        <w:t>的</w:t>
      </w:r>
      <w:r>
        <w:rPr>
          <w:rFonts w:hint="eastAsia" w:ascii="仿宋_GB2312" w:hAnsi="仿宋_GB2312" w:eastAsia="仿宋_GB2312" w:cs="仿宋_GB2312"/>
          <w:color w:val="auto"/>
          <w:sz w:val="32"/>
          <w:szCs w:val="32"/>
          <w:highlight w:val="none"/>
        </w:rPr>
        <w:t>100%</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bidi w:val="0"/>
        <w:snapToGrid/>
        <w:spacing w:line="576" w:lineRule="exact"/>
        <w:ind w:left="0" w:leftChars="0" w:right="0"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.自然资源海洋气象等支出（类）自然资源事务（款）其他自然资源事务（项）：支出决算数</w:t>
      </w:r>
      <w:r>
        <w:rPr>
          <w:rFonts w:hint="eastAsia" w:ascii="仿宋_GB2312" w:hAnsi="仿宋_GB2312" w:eastAsia="仿宋_GB2312" w:cs="仿宋_GB2312"/>
          <w:color w:val="auto"/>
          <w:sz w:val="32"/>
          <w:szCs w:val="32"/>
          <w:highlight w:val="none"/>
          <w:lang w:val="en-US" w:eastAsia="zh-CN"/>
        </w:rPr>
        <w:t>为1390.28</w:t>
      </w:r>
      <w:r>
        <w:rPr>
          <w:rFonts w:hint="eastAsia" w:ascii="仿宋_GB2312" w:hAnsi="仿宋_GB2312" w:eastAsia="仿宋_GB2312" w:cs="仿宋_GB2312"/>
          <w:color w:val="auto"/>
          <w:sz w:val="32"/>
          <w:szCs w:val="32"/>
          <w:highlight w:val="none"/>
        </w:rPr>
        <w:t>万元，完成预算</w:t>
      </w:r>
      <w:r>
        <w:rPr>
          <w:rFonts w:hint="eastAsia" w:ascii="仿宋_GB2312" w:hAnsi="仿宋_GB2312" w:eastAsia="仿宋_GB2312" w:cs="仿宋_GB2312"/>
          <w:color w:val="auto"/>
          <w:sz w:val="32"/>
          <w:szCs w:val="32"/>
          <w:highlight w:val="none"/>
          <w:lang w:val="en-US" w:eastAsia="zh-CN"/>
        </w:rPr>
        <w:t>88.97</w:t>
      </w:r>
      <w:r>
        <w:rPr>
          <w:rFonts w:hint="eastAsia" w:ascii="仿宋_GB2312" w:hAnsi="仿宋_GB2312" w:eastAsia="仿宋_GB2312" w:cs="仿宋_GB2312"/>
          <w:color w:val="auto"/>
          <w:sz w:val="32"/>
          <w:szCs w:val="32"/>
          <w:highlight w:val="none"/>
        </w:rPr>
        <w:t>%，决算数小于预算数的原因是</w:t>
      </w:r>
      <w:r>
        <w:rPr>
          <w:rFonts w:hint="eastAsia" w:ascii="仿宋_GB2312" w:hAnsi="仿宋_GB2312" w:eastAsia="仿宋_GB2312" w:cs="仿宋_GB2312"/>
          <w:color w:val="auto"/>
          <w:sz w:val="32"/>
          <w:szCs w:val="32"/>
          <w:highlight w:val="none"/>
          <w:lang w:val="en-US" w:eastAsia="zh-CN"/>
        </w:rPr>
        <w:t>局属事业单位</w:t>
      </w:r>
      <w:r>
        <w:rPr>
          <w:rFonts w:hint="eastAsia" w:ascii="仿宋_GB2312" w:hAnsi="仿宋_GB2312" w:eastAsia="仿宋_GB2312" w:cs="仿宋_GB2312"/>
          <w:color w:val="auto"/>
          <w:sz w:val="32"/>
          <w:szCs w:val="32"/>
          <w:highlight w:val="none"/>
        </w:rPr>
        <w:t>地质灾害</w:t>
      </w:r>
      <w:r>
        <w:rPr>
          <w:rFonts w:hint="eastAsia" w:ascii="仿宋_GB2312" w:hAnsi="仿宋_GB2312" w:eastAsia="仿宋_GB2312" w:cs="仿宋_GB2312"/>
          <w:color w:val="auto"/>
          <w:sz w:val="32"/>
          <w:szCs w:val="32"/>
          <w:highlight w:val="none"/>
          <w:lang w:val="en-US" w:eastAsia="zh-CN"/>
        </w:rPr>
        <w:t>隐患点</w:t>
      </w:r>
      <w:r>
        <w:rPr>
          <w:rFonts w:hint="eastAsia" w:ascii="仿宋_GB2312" w:hAnsi="仿宋_GB2312" w:eastAsia="仿宋_GB2312" w:cs="仿宋_GB2312"/>
          <w:color w:val="auto"/>
          <w:sz w:val="32"/>
          <w:szCs w:val="32"/>
          <w:highlight w:val="none"/>
        </w:rPr>
        <w:t>管理</w:t>
      </w:r>
      <w:r>
        <w:rPr>
          <w:rFonts w:hint="eastAsia" w:ascii="仿宋_GB2312" w:hAnsi="仿宋_GB2312" w:eastAsia="仿宋_GB2312" w:cs="仿宋_GB2312"/>
          <w:color w:val="auto"/>
          <w:sz w:val="32"/>
          <w:szCs w:val="32"/>
          <w:highlight w:val="none"/>
          <w:lang w:val="en-US" w:eastAsia="zh-CN"/>
        </w:rPr>
        <w:t>和不动产运维经费以及局机关增减挂钩土地勘界经费，</w:t>
      </w:r>
      <w:r>
        <w:rPr>
          <w:rFonts w:hint="eastAsia" w:ascii="仿宋_GB2312" w:hAnsi="仿宋_GB2312" w:eastAsia="仿宋_GB2312" w:cs="仿宋_GB2312"/>
          <w:color w:val="auto"/>
          <w:sz w:val="32"/>
          <w:szCs w:val="32"/>
          <w:highlight w:val="none"/>
        </w:rPr>
        <w:t>本年度按进度拨款，来年继续支付。</w:t>
      </w:r>
    </w:p>
    <w:p>
      <w:pPr>
        <w:keepNext w:val="0"/>
        <w:keepLines w:val="0"/>
        <w:pageBreakBefore w:val="0"/>
        <w:widowControl w:val="0"/>
        <w:kinsoku/>
        <w:wordWrap/>
        <w:overflowPunct/>
        <w:topLinePunct w:val="0"/>
        <w:bidi w:val="0"/>
        <w:snapToGrid/>
        <w:spacing w:line="576" w:lineRule="exact"/>
        <w:ind w:left="0" w:leftChars="0" w:right="0"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.住房保障（类）住房改革（款）住房公积金（项）:支出决算为</w:t>
      </w:r>
      <w:r>
        <w:rPr>
          <w:rFonts w:hint="eastAsia" w:ascii="仿宋_GB2312" w:hAnsi="仿宋_GB2312" w:eastAsia="仿宋_GB2312" w:cs="仿宋_GB2312"/>
          <w:color w:val="auto"/>
          <w:sz w:val="32"/>
          <w:szCs w:val="32"/>
          <w:highlight w:val="none"/>
          <w:lang w:val="en-US" w:eastAsia="zh-CN"/>
        </w:rPr>
        <w:t>221.17</w:t>
      </w:r>
      <w:r>
        <w:rPr>
          <w:rFonts w:hint="eastAsia" w:ascii="仿宋_GB2312" w:hAnsi="仿宋_GB2312" w:eastAsia="仿宋_GB2312" w:cs="仿宋_GB2312"/>
          <w:color w:val="auto"/>
          <w:sz w:val="32"/>
          <w:szCs w:val="32"/>
          <w:highlight w:val="none"/>
        </w:rPr>
        <w:t>万元，完成预算</w:t>
      </w:r>
      <w:r>
        <w:rPr>
          <w:rFonts w:hint="eastAsia" w:ascii="仿宋_GB2312" w:hAnsi="仿宋_GB2312" w:eastAsia="仿宋_GB2312" w:cs="仿宋_GB2312"/>
          <w:color w:val="auto"/>
          <w:sz w:val="32"/>
          <w:szCs w:val="32"/>
          <w:highlight w:val="none"/>
          <w:lang w:val="en-US" w:eastAsia="zh-CN"/>
        </w:rPr>
        <w:t>的100</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bidi w:val="0"/>
        <w:snapToGrid/>
        <w:spacing w:line="576" w:lineRule="exact"/>
        <w:ind w:left="0" w:leftChars="0" w:right="0" w:firstLine="640" w:firstLineChars="200"/>
        <w:jc w:val="left"/>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rPr>
        <w:t>.住房保障（类）住房改革（款）购房补贴（项）：支出决算数</w:t>
      </w:r>
      <w:r>
        <w:rPr>
          <w:rFonts w:hint="eastAsia" w:ascii="仿宋_GB2312" w:hAnsi="仿宋_GB2312" w:eastAsia="仿宋_GB2312" w:cs="仿宋_GB2312"/>
          <w:color w:val="auto"/>
          <w:sz w:val="32"/>
          <w:szCs w:val="32"/>
          <w:highlight w:val="none"/>
          <w:lang w:val="en-US" w:eastAsia="zh-CN"/>
        </w:rPr>
        <w:t>为32</w:t>
      </w:r>
      <w:r>
        <w:rPr>
          <w:rFonts w:hint="eastAsia" w:ascii="仿宋_GB2312" w:hAnsi="仿宋_GB2312" w:eastAsia="仿宋_GB2312" w:cs="仿宋_GB2312"/>
          <w:color w:val="auto"/>
          <w:sz w:val="32"/>
          <w:szCs w:val="32"/>
          <w:highlight w:val="none"/>
        </w:rPr>
        <w:t>万元，完成预算</w:t>
      </w:r>
      <w:r>
        <w:rPr>
          <w:rFonts w:hint="eastAsia" w:ascii="仿宋_GB2312" w:hAnsi="仿宋_GB2312" w:eastAsia="仿宋_GB2312" w:cs="仿宋_GB2312"/>
          <w:color w:val="auto"/>
          <w:sz w:val="32"/>
          <w:szCs w:val="32"/>
          <w:highlight w:val="none"/>
          <w:lang w:val="en-US" w:eastAsia="zh-CN"/>
        </w:rPr>
        <w:t>的</w:t>
      </w:r>
      <w:r>
        <w:rPr>
          <w:rFonts w:hint="eastAsia" w:ascii="仿宋_GB2312" w:hAnsi="仿宋_GB2312" w:eastAsia="仿宋_GB2312" w:cs="仿宋_GB2312"/>
          <w:color w:val="auto"/>
          <w:sz w:val="32"/>
          <w:szCs w:val="32"/>
          <w:highlight w:val="none"/>
        </w:rPr>
        <w:t>100%</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bidi w:val="0"/>
        <w:snapToGrid/>
        <w:spacing w:line="576" w:lineRule="exact"/>
        <w:ind w:left="0" w:leftChars="0" w:right="0"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rPr>
        <w:t>.灾害防治及应急管理（类）自然灾害防治（款）地质灾害防治（项）：支出决算数</w:t>
      </w:r>
      <w:r>
        <w:rPr>
          <w:rFonts w:hint="eastAsia" w:ascii="仿宋_GB2312" w:hAnsi="仿宋_GB2312" w:eastAsia="仿宋_GB2312" w:cs="仿宋_GB2312"/>
          <w:color w:val="auto"/>
          <w:sz w:val="32"/>
          <w:szCs w:val="32"/>
          <w:highlight w:val="none"/>
          <w:lang w:val="en-US" w:eastAsia="zh-CN"/>
        </w:rPr>
        <w:t>为115.30</w:t>
      </w:r>
      <w:r>
        <w:rPr>
          <w:rFonts w:hint="eastAsia" w:ascii="仿宋_GB2312" w:hAnsi="仿宋_GB2312" w:eastAsia="仿宋_GB2312" w:cs="仿宋_GB2312"/>
          <w:color w:val="auto"/>
          <w:sz w:val="32"/>
          <w:szCs w:val="32"/>
          <w:highlight w:val="none"/>
        </w:rPr>
        <w:t>万元，完成预算</w:t>
      </w:r>
      <w:r>
        <w:rPr>
          <w:rFonts w:hint="eastAsia" w:ascii="仿宋_GB2312" w:hAnsi="仿宋_GB2312" w:eastAsia="仿宋_GB2312" w:cs="仿宋_GB2312"/>
          <w:color w:val="auto"/>
          <w:sz w:val="32"/>
          <w:szCs w:val="32"/>
          <w:highlight w:val="none"/>
          <w:lang w:val="en-US" w:eastAsia="zh-CN"/>
        </w:rPr>
        <w:t>40.48</w:t>
      </w:r>
      <w:r>
        <w:rPr>
          <w:rFonts w:hint="eastAsia" w:ascii="仿宋_GB2312" w:hAnsi="仿宋_GB2312" w:eastAsia="仿宋_GB2312" w:cs="仿宋_GB2312"/>
          <w:color w:val="auto"/>
          <w:sz w:val="32"/>
          <w:szCs w:val="32"/>
          <w:highlight w:val="none"/>
        </w:rPr>
        <w:t>%，决算数小于预算数是因为</w:t>
      </w:r>
      <w:r>
        <w:rPr>
          <w:rFonts w:hint="eastAsia" w:ascii="仿宋_GB2312" w:hAnsi="仿宋_GB2312" w:eastAsia="仿宋_GB2312" w:cs="仿宋_GB2312"/>
          <w:color w:val="auto"/>
          <w:sz w:val="32"/>
          <w:szCs w:val="32"/>
          <w:highlight w:val="none"/>
          <w:lang w:val="en-US" w:eastAsia="zh-CN"/>
        </w:rPr>
        <w:t>局属事业单位</w:t>
      </w:r>
      <w:r>
        <w:rPr>
          <w:rFonts w:hint="eastAsia" w:ascii="仿宋_GB2312" w:hAnsi="仿宋_GB2312" w:eastAsia="仿宋_GB2312" w:cs="仿宋_GB2312"/>
          <w:color w:val="auto"/>
          <w:sz w:val="32"/>
          <w:szCs w:val="32"/>
          <w:highlight w:val="none"/>
        </w:rPr>
        <w:t>2021第一批中央地灾防治补助资金属于跨年度项目，本年度按进度拨款，来年继续支付。</w:t>
      </w:r>
    </w:p>
    <w:p>
      <w:pPr>
        <w:keepNext w:val="0"/>
        <w:keepLines w:val="0"/>
        <w:pageBreakBefore w:val="0"/>
        <w:widowControl w:val="0"/>
        <w:kinsoku/>
        <w:wordWrap/>
        <w:overflowPunct/>
        <w:topLinePunct w:val="0"/>
        <w:bidi w:val="0"/>
        <w:snapToGrid/>
        <w:spacing w:line="576" w:lineRule="exact"/>
        <w:ind w:left="0" w:leftChars="0" w:right="0" w:firstLine="640" w:firstLineChars="200"/>
        <w:jc w:val="left"/>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19.其他支出</w:t>
      </w:r>
      <w:r>
        <w:rPr>
          <w:rFonts w:hint="eastAsia" w:ascii="仿宋_GB2312" w:hAnsi="仿宋_GB2312" w:eastAsia="仿宋_GB2312" w:cs="仿宋_GB2312"/>
          <w:color w:val="auto"/>
          <w:sz w:val="32"/>
          <w:szCs w:val="32"/>
          <w:highlight w:val="none"/>
        </w:rPr>
        <w:t>（类）</w:t>
      </w:r>
      <w:r>
        <w:rPr>
          <w:rFonts w:hint="eastAsia" w:ascii="仿宋_GB2312" w:hAnsi="仿宋_GB2312" w:eastAsia="仿宋_GB2312" w:cs="仿宋_GB2312"/>
          <w:color w:val="auto"/>
          <w:sz w:val="32"/>
          <w:szCs w:val="32"/>
          <w:highlight w:val="none"/>
          <w:lang w:val="en-US" w:eastAsia="zh-CN"/>
        </w:rPr>
        <w:t>其他支出</w:t>
      </w:r>
      <w:r>
        <w:rPr>
          <w:rFonts w:hint="eastAsia" w:ascii="仿宋_GB2312" w:hAnsi="仿宋_GB2312" w:eastAsia="仿宋_GB2312" w:cs="仿宋_GB2312"/>
          <w:color w:val="auto"/>
          <w:sz w:val="32"/>
          <w:szCs w:val="32"/>
          <w:highlight w:val="none"/>
        </w:rPr>
        <w:t>（款）</w:t>
      </w:r>
      <w:r>
        <w:rPr>
          <w:rFonts w:hint="eastAsia" w:ascii="仿宋_GB2312" w:hAnsi="仿宋_GB2312" w:eastAsia="仿宋_GB2312" w:cs="仿宋_GB2312"/>
          <w:color w:val="auto"/>
          <w:sz w:val="32"/>
          <w:szCs w:val="32"/>
          <w:highlight w:val="none"/>
          <w:lang w:val="en-US" w:eastAsia="zh-CN"/>
        </w:rPr>
        <w:t>其他支出</w:t>
      </w:r>
      <w:r>
        <w:rPr>
          <w:rFonts w:hint="eastAsia" w:ascii="仿宋_GB2312" w:hAnsi="仿宋_GB2312" w:eastAsia="仿宋_GB2312" w:cs="仿宋_GB2312"/>
          <w:color w:val="auto"/>
          <w:sz w:val="32"/>
          <w:szCs w:val="32"/>
          <w:highlight w:val="none"/>
        </w:rPr>
        <w:t>（项）：</w:t>
      </w:r>
      <w:r>
        <w:rPr>
          <w:rFonts w:hint="eastAsia" w:ascii="仿宋_GB2312" w:hAnsi="仿宋_GB2312" w:eastAsia="仿宋_GB2312" w:cs="仿宋_GB2312"/>
          <w:color w:val="auto"/>
          <w:sz w:val="32"/>
          <w:szCs w:val="32"/>
          <w:highlight w:val="none"/>
          <w:lang w:val="en-US" w:eastAsia="zh-CN"/>
        </w:rPr>
        <w:t>决算数为50万元，完成预算的100%。</w:t>
      </w:r>
    </w:p>
    <w:p>
      <w:pPr>
        <w:keepNext w:val="0"/>
        <w:keepLines w:val="0"/>
        <w:pageBreakBefore w:val="0"/>
        <w:widowControl w:val="0"/>
        <w:tabs>
          <w:tab w:val="right" w:pos="8306"/>
        </w:tabs>
        <w:kinsoku/>
        <w:wordWrap/>
        <w:overflowPunct/>
        <w:topLinePunct w:val="0"/>
        <w:bidi w:val="0"/>
        <w:snapToGrid/>
        <w:spacing w:line="576" w:lineRule="exact"/>
        <w:ind w:left="0" w:leftChars="0" w:right="0" w:firstLine="640" w:firstLineChars="200"/>
        <w:textAlignment w:val="auto"/>
        <w:outlineLvl w:val="1"/>
        <w:rPr>
          <w:rStyle w:val="25"/>
          <w:color w:val="auto"/>
          <w:highlight w:val="none"/>
        </w:rPr>
      </w:pPr>
      <w:bookmarkStart w:id="41" w:name="_Toc15396608"/>
      <w:bookmarkStart w:id="42" w:name="_Toc15377214"/>
      <w:r>
        <w:rPr>
          <w:rFonts w:hint="eastAsia" w:ascii="黑体" w:eastAsia="黑体"/>
          <w:color w:val="auto"/>
          <w:sz w:val="32"/>
          <w:szCs w:val="32"/>
          <w:highlight w:val="none"/>
        </w:rPr>
        <w:t>六</w:t>
      </w:r>
      <w:r>
        <w:rPr>
          <w:rFonts w:hint="eastAsia" w:ascii="黑体" w:eastAsia="黑体"/>
          <w:b/>
          <w:color w:val="auto"/>
          <w:sz w:val="32"/>
          <w:szCs w:val="32"/>
          <w:highlight w:val="none"/>
        </w:rPr>
        <w:t>、</w:t>
      </w:r>
      <w:r>
        <w:rPr>
          <w:rFonts w:hint="eastAsia" w:ascii="黑体" w:hAnsi="黑体" w:eastAsia="黑体"/>
          <w:b/>
          <w:color w:val="auto"/>
          <w:sz w:val="32"/>
          <w:szCs w:val="32"/>
          <w:highlight w:val="none"/>
        </w:rPr>
        <w:t>一</w:t>
      </w:r>
      <w:r>
        <w:rPr>
          <w:rStyle w:val="25"/>
          <w:rFonts w:hint="eastAsia" w:ascii="黑体" w:hAnsi="黑体" w:eastAsia="黑体"/>
          <w:b w:val="0"/>
          <w:color w:val="auto"/>
          <w:highlight w:val="none"/>
        </w:rPr>
        <w:t>般公共预算财政拨款基本支出决算情况说明</w:t>
      </w:r>
      <w:bookmarkEnd w:id="41"/>
      <w:bookmarkEnd w:id="42"/>
      <w:r>
        <w:rPr>
          <w:rStyle w:val="25"/>
          <w:rFonts w:ascii="黑体" w:hAnsi="黑体" w:eastAsia="黑体"/>
          <w:b w:val="0"/>
          <w:color w:val="auto"/>
          <w:highlight w:val="none"/>
        </w:rPr>
        <w:tab/>
      </w:r>
    </w:p>
    <w:p>
      <w:pPr>
        <w:keepNext w:val="0"/>
        <w:keepLines w:val="0"/>
        <w:pageBreakBefore w:val="0"/>
        <w:widowControl w:val="0"/>
        <w:kinsoku/>
        <w:wordWrap/>
        <w:overflowPunct/>
        <w:topLinePunct w:val="0"/>
        <w:bidi w:val="0"/>
        <w:snapToGrid/>
        <w:spacing w:line="576" w:lineRule="exact"/>
        <w:ind w:left="0" w:leftChars="0" w:right="0"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w:t>
      </w:r>
      <w:r>
        <w:rPr>
          <w:rFonts w:hint="eastAsia" w:ascii="仿宋_GB2312" w:hAnsi="仿宋_GB2312" w:eastAsia="仿宋_GB2312" w:cs="仿宋_GB2312"/>
          <w:color w:val="auto"/>
          <w:sz w:val="32"/>
          <w:szCs w:val="32"/>
          <w:highlight w:val="none"/>
          <w:lang w:val="en-US" w:eastAsia="zh-CN"/>
        </w:rPr>
        <w:t>21</w:t>
      </w:r>
      <w:r>
        <w:rPr>
          <w:rFonts w:hint="eastAsia" w:ascii="仿宋_GB2312" w:hAnsi="仿宋_GB2312" w:eastAsia="仿宋_GB2312" w:cs="仿宋_GB2312"/>
          <w:color w:val="auto"/>
          <w:sz w:val="32"/>
          <w:szCs w:val="32"/>
          <w:highlight w:val="none"/>
        </w:rPr>
        <w:t>年一般公共预算财政拨款基本支出</w:t>
      </w:r>
      <w:r>
        <w:rPr>
          <w:rFonts w:hint="eastAsia" w:ascii="仿宋_GB2312" w:hAnsi="仿宋_GB2312" w:eastAsia="仿宋_GB2312" w:cs="仿宋_GB2312"/>
          <w:color w:val="auto"/>
          <w:sz w:val="32"/>
          <w:szCs w:val="32"/>
          <w:highlight w:val="none"/>
          <w:lang w:val="en-US" w:eastAsia="zh-CN"/>
        </w:rPr>
        <w:t>2718.52</w:t>
      </w:r>
      <w:r>
        <w:rPr>
          <w:rFonts w:hint="eastAsia" w:ascii="仿宋_GB2312" w:hAnsi="仿宋_GB2312" w:eastAsia="仿宋_GB2312" w:cs="仿宋_GB2312"/>
          <w:color w:val="auto"/>
          <w:sz w:val="32"/>
          <w:szCs w:val="32"/>
          <w:highlight w:val="none"/>
        </w:rPr>
        <w:t>万元，其中：</w:t>
      </w:r>
    </w:p>
    <w:p>
      <w:pPr>
        <w:keepNext w:val="0"/>
        <w:keepLines w:val="0"/>
        <w:pageBreakBefore w:val="0"/>
        <w:widowControl w:val="0"/>
        <w:kinsoku/>
        <w:wordWrap/>
        <w:overflowPunct/>
        <w:topLinePunct w:val="0"/>
        <w:bidi w:val="0"/>
        <w:snapToGrid/>
        <w:spacing w:line="576" w:lineRule="exact"/>
        <w:ind w:left="0" w:leftChars="0" w:right="0" w:firstLine="640" w:firstLineChars="200"/>
        <w:jc w:val="left"/>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人员经费</w:t>
      </w:r>
      <w:r>
        <w:rPr>
          <w:rFonts w:hint="eastAsia" w:ascii="仿宋_GB2312" w:hAnsi="仿宋_GB2312" w:eastAsia="仿宋_GB2312" w:cs="仿宋_GB2312"/>
          <w:color w:val="auto"/>
          <w:sz w:val="32"/>
          <w:szCs w:val="32"/>
          <w:highlight w:val="none"/>
          <w:lang w:val="en-US" w:eastAsia="zh-CN"/>
        </w:rPr>
        <w:t>2315.00</w:t>
      </w:r>
      <w:r>
        <w:rPr>
          <w:rFonts w:hint="eastAsia" w:ascii="仿宋_GB2312" w:hAnsi="仿宋_GB2312" w:eastAsia="仿宋_GB2312" w:cs="仿宋_GB2312"/>
          <w:color w:val="auto"/>
          <w:sz w:val="32"/>
          <w:szCs w:val="32"/>
          <w:highlight w:val="none"/>
        </w:rPr>
        <w:t>万元，主要包括：基本工资、津贴补贴、奖金、伙食补助费、绩效工资、机关事业单位基本养老保险缴费、职业年金缴费、其他社会保障缴费、其他工资福利支出、抚恤金、生活补助、奖励金、住房公积金、其他对个人和家庭的补助支出等。</w:t>
      </w:r>
    </w:p>
    <w:p>
      <w:pPr>
        <w:keepNext w:val="0"/>
        <w:keepLines w:val="0"/>
        <w:pageBreakBefore w:val="0"/>
        <w:widowControl w:val="0"/>
        <w:kinsoku/>
        <w:wordWrap/>
        <w:overflowPunct/>
        <w:topLinePunct w:val="0"/>
        <w:bidi w:val="0"/>
        <w:snapToGrid/>
        <w:spacing w:line="576" w:lineRule="exact"/>
        <w:ind w:left="0" w:leftChars="0" w:right="0"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公用经费</w:t>
      </w:r>
      <w:r>
        <w:rPr>
          <w:rFonts w:hint="eastAsia" w:ascii="仿宋_GB2312" w:hAnsi="仿宋_GB2312" w:eastAsia="仿宋_GB2312" w:cs="仿宋_GB2312"/>
          <w:color w:val="auto"/>
          <w:sz w:val="32"/>
          <w:szCs w:val="32"/>
          <w:highlight w:val="none"/>
          <w:lang w:val="en-US" w:eastAsia="zh-CN"/>
        </w:rPr>
        <w:t>403.52</w:t>
      </w:r>
      <w:r>
        <w:rPr>
          <w:rFonts w:hint="eastAsia" w:ascii="仿宋_GB2312" w:hAnsi="仿宋_GB2312" w:eastAsia="仿宋_GB2312" w:cs="仿宋_GB2312"/>
          <w:color w:val="auto"/>
          <w:sz w:val="32"/>
          <w:szCs w:val="32"/>
          <w:highlight w:val="none"/>
        </w:rPr>
        <w:t>万元，主要包括：办公费、印刷费、咨询费、手续费、水费、电费、邮电费、物业管理费、差旅费、维修（护）费、租赁费、会议费、培训费、公务接待费、劳务费、委托业务费、工会经费、福利费、公务用车运行维护费、其他交通费、税金及附加费用、其他商品和服务支出、办公</w:t>
      </w:r>
      <w:r>
        <w:rPr>
          <w:rFonts w:hint="eastAsia" w:ascii="仿宋_GB2312" w:hAnsi="仿宋_GB2312" w:eastAsia="仿宋_GB2312" w:cs="仿宋_GB2312"/>
          <w:color w:val="auto"/>
          <w:sz w:val="32"/>
          <w:szCs w:val="32"/>
          <w:highlight w:val="none"/>
          <w:lang w:val="en-US" w:eastAsia="zh-CN"/>
        </w:rPr>
        <w:t>设备购置</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bidi w:val="0"/>
        <w:snapToGrid/>
        <w:spacing w:line="576" w:lineRule="exact"/>
        <w:ind w:left="0" w:leftChars="0" w:right="0" w:firstLine="640" w:firstLineChars="200"/>
        <w:textAlignment w:val="auto"/>
        <w:outlineLvl w:val="1"/>
        <w:rPr>
          <w:rStyle w:val="25"/>
          <w:rFonts w:ascii="黑体" w:hAnsi="黑体" w:eastAsia="黑体"/>
          <w:b w:val="0"/>
          <w:color w:val="auto"/>
          <w:highlight w:val="none"/>
        </w:rPr>
      </w:pPr>
      <w:bookmarkStart w:id="43" w:name="_Toc15377215"/>
      <w:bookmarkStart w:id="44" w:name="_Toc15396609"/>
      <w:r>
        <w:rPr>
          <w:rFonts w:hint="eastAsia" w:ascii="黑体" w:eastAsia="黑体"/>
          <w:color w:val="auto"/>
          <w:sz w:val="32"/>
          <w:szCs w:val="32"/>
          <w:highlight w:val="none"/>
        </w:rPr>
        <w:t>七、</w:t>
      </w:r>
      <w:r>
        <w:rPr>
          <w:rStyle w:val="25"/>
          <w:rFonts w:hint="eastAsia" w:ascii="黑体" w:hAnsi="黑体" w:eastAsia="黑体"/>
          <w:color w:val="auto"/>
          <w:highlight w:val="none"/>
        </w:rPr>
        <w:t>“</w:t>
      </w:r>
      <w:r>
        <w:rPr>
          <w:rStyle w:val="25"/>
          <w:rFonts w:hint="eastAsia" w:ascii="黑体" w:hAnsi="黑体" w:eastAsia="黑体"/>
          <w:b w:val="0"/>
          <w:color w:val="auto"/>
          <w:highlight w:val="none"/>
        </w:rPr>
        <w:t>三公”经费财政拨款支出决算情况说明</w:t>
      </w:r>
      <w:bookmarkEnd w:id="43"/>
      <w:bookmarkEnd w:id="44"/>
    </w:p>
    <w:p>
      <w:pPr>
        <w:keepNext w:val="0"/>
        <w:keepLines w:val="0"/>
        <w:pageBreakBefore w:val="0"/>
        <w:widowControl w:val="0"/>
        <w:kinsoku/>
        <w:wordWrap/>
        <w:overflowPunct/>
        <w:topLinePunct w:val="0"/>
        <w:bidi w:val="0"/>
        <w:snapToGrid/>
        <w:spacing w:line="576" w:lineRule="exact"/>
        <w:ind w:left="0" w:leftChars="0" w:right="0" w:firstLine="640" w:firstLineChars="200"/>
        <w:textAlignment w:val="auto"/>
        <w:outlineLvl w:val="2"/>
        <w:rPr>
          <w:rFonts w:hint="eastAsia" w:ascii="楷体_GB2312" w:hAnsi="楷体_GB2312" w:eastAsia="楷体_GB2312" w:cs="楷体_GB2312"/>
          <w:b w:val="0"/>
          <w:bCs/>
          <w:color w:val="auto"/>
          <w:sz w:val="32"/>
          <w:szCs w:val="32"/>
          <w:highlight w:val="none"/>
        </w:rPr>
      </w:pPr>
      <w:bookmarkStart w:id="45" w:name="_Toc15377216"/>
      <w:r>
        <w:rPr>
          <w:rFonts w:hint="eastAsia" w:ascii="楷体_GB2312" w:hAnsi="楷体_GB2312" w:eastAsia="楷体_GB2312" w:cs="楷体_GB2312"/>
          <w:b w:val="0"/>
          <w:bCs/>
          <w:color w:val="auto"/>
          <w:sz w:val="32"/>
          <w:szCs w:val="32"/>
          <w:highlight w:val="none"/>
        </w:rPr>
        <w:t>（一）“三公”经费财政拨款支出决算总体情况说明</w:t>
      </w:r>
      <w:bookmarkEnd w:id="45"/>
    </w:p>
    <w:p>
      <w:pPr>
        <w:keepNext w:val="0"/>
        <w:keepLines w:val="0"/>
        <w:pageBreakBefore w:val="0"/>
        <w:widowControl w:val="0"/>
        <w:kinsoku/>
        <w:wordWrap/>
        <w:overflowPunct/>
        <w:topLinePunct w:val="0"/>
        <w:bidi w:val="0"/>
        <w:snapToGrid/>
        <w:spacing w:line="576" w:lineRule="exact"/>
        <w:ind w:left="0" w:leftChars="0" w:right="0" w:firstLine="640" w:firstLineChars="200"/>
        <w:textAlignment w:val="auto"/>
        <w:rPr>
          <w:rFonts w:hint="default" w:ascii="仿宋" w:hAnsi="仿宋" w:eastAsia="仿宋"/>
          <w:color w:val="auto"/>
          <w:sz w:val="32"/>
          <w:szCs w:val="32"/>
          <w:highlight w:val="none"/>
          <w:lang w:val="en-US"/>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年“三公”经费财政拨款支出决算为</w:t>
      </w:r>
      <w:r>
        <w:rPr>
          <w:rFonts w:hint="eastAsia" w:ascii="仿宋" w:hAnsi="仿宋" w:eastAsia="仿宋"/>
          <w:color w:val="auto"/>
          <w:sz w:val="32"/>
          <w:szCs w:val="32"/>
          <w:highlight w:val="none"/>
          <w:lang w:val="en-US" w:eastAsia="zh-CN"/>
        </w:rPr>
        <w:t>69.65</w:t>
      </w:r>
      <w:r>
        <w:rPr>
          <w:rFonts w:hint="eastAsia" w:ascii="仿宋" w:hAnsi="仿宋" w:eastAsia="仿宋"/>
          <w:color w:val="auto"/>
          <w:sz w:val="32"/>
          <w:szCs w:val="32"/>
          <w:highlight w:val="none"/>
        </w:rPr>
        <w:t>万元，完成预算</w:t>
      </w:r>
      <w:r>
        <w:rPr>
          <w:rFonts w:hint="eastAsia" w:ascii="仿宋" w:hAnsi="仿宋" w:eastAsia="仿宋"/>
          <w:color w:val="auto"/>
          <w:sz w:val="32"/>
          <w:szCs w:val="32"/>
          <w:highlight w:val="none"/>
          <w:lang w:val="en-US" w:eastAsia="zh-CN"/>
        </w:rPr>
        <w:t>的84.39</w:t>
      </w:r>
      <w:r>
        <w:rPr>
          <w:rFonts w:ascii="仿宋" w:hAnsi="仿宋" w:eastAsia="仿宋"/>
          <w:color w:val="auto"/>
          <w:sz w:val="32"/>
          <w:szCs w:val="32"/>
          <w:highlight w:val="none"/>
        </w:rPr>
        <w:t>%</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决算数小于预算数的原因是公务接待费例行勤俭节约，压缩开支。</w:t>
      </w:r>
    </w:p>
    <w:p>
      <w:pPr>
        <w:keepNext w:val="0"/>
        <w:keepLines w:val="0"/>
        <w:pageBreakBefore w:val="0"/>
        <w:widowControl w:val="0"/>
        <w:kinsoku/>
        <w:wordWrap/>
        <w:overflowPunct/>
        <w:topLinePunct w:val="0"/>
        <w:bidi w:val="0"/>
        <w:snapToGrid/>
        <w:spacing w:line="576" w:lineRule="exact"/>
        <w:ind w:left="0" w:leftChars="0" w:right="0" w:firstLine="640" w:firstLineChars="200"/>
        <w:textAlignment w:val="auto"/>
        <w:outlineLvl w:val="2"/>
        <w:rPr>
          <w:rFonts w:hint="eastAsia" w:ascii="楷体_GB2312" w:hAnsi="楷体_GB2312" w:eastAsia="楷体_GB2312" w:cs="楷体_GB2312"/>
          <w:b w:val="0"/>
          <w:bCs/>
          <w:color w:val="auto"/>
          <w:sz w:val="32"/>
          <w:szCs w:val="32"/>
          <w:highlight w:val="none"/>
        </w:rPr>
      </w:pPr>
      <w:bookmarkStart w:id="46" w:name="_Toc15377217"/>
      <w:r>
        <w:rPr>
          <w:rFonts w:hint="eastAsia" w:ascii="楷体_GB2312" w:hAnsi="楷体_GB2312" w:eastAsia="楷体_GB2312" w:cs="楷体_GB2312"/>
          <w:b w:val="0"/>
          <w:bCs/>
          <w:color w:val="auto"/>
          <w:sz w:val="32"/>
          <w:szCs w:val="32"/>
          <w:highlight w:val="none"/>
        </w:rPr>
        <w:t>（二）“三公”经费财政拨款支出决算具体情况说明</w:t>
      </w:r>
      <w:bookmarkEnd w:id="46"/>
    </w:p>
    <w:p>
      <w:pPr>
        <w:keepNext w:val="0"/>
        <w:keepLines w:val="0"/>
        <w:pageBreakBefore w:val="0"/>
        <w:widowControl w:val="0"/>
        <w:kinsoku/>
        <w:wordWrap/>
        <w:overflowPunct/>
        <w:topLinePunct w:val="0"/>
        <w:bidi w:val="0"/>
        <w:snapToGrid/>
        <w:spacing w:line="576" w:lineRule="exact"/>
        <w:ind w:left="0" w:leftChars="0" w:right="0" w:firstLine="640" w:firstLineChars="200"/>
        <w:textAlignment w:val="auto"/>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年“三公”经费财政拨款支出决算中，因公出国（境）费支出决算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；公务用车购置及运行维护费支出决算</w:t>
      </w:r>
      <w:r>
        <w:rPr>
          <w:rFonts w:hint="eastAsia" w:ascii="仿宋" w:hAnsi="仿宋" w:eastAsia="仿宋"/>
          <w:color w:val="auto"/>
          <w:sz w:val="32"/>
          <w:szCs w:val="32"/>
          <w:highlight w:val="none"/>
          <w:lang w:val="en-US" w:eastAsia="zh-CN"/>
        </w:rPr>
        <w:t>61.67</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88.54</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；公务接待费支出决算</w:t>
      </w:r>
      <w:bookmarkStart w:id="47" w:name="OLE_LINK2"/>
      <w:r>
        <w:rPr>
          <w:rFonts w:hint="eastAsia" w:ascii="仿宋" w:hAnsi="仿宋" w:eastAsia="仿宋"/>
          <w:color w:val="auto"/>
          <w:sz w:val="32"/>
          <w:szCs w:val="32"/>
          <w:highlight w:val="none"/>
          <w:lang w:val="en-US" w:eastAsia="zh-CN"/>
        </w:rPr>
        <w:t>7.98</w:t>
      </w:r>
      <w:bookmarkEnd w:id="47"/>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11.46</w:t>
      </w:r>
      <w:r>
        <w:rPr>
          <w:rFonts w:ascii="仿宋" w:hAnsi="仿宋" w:eastAsia="仿宋"/>
          <w:color w:val="auto"/>
          <w:sz w:val="32"/>
          <w:szCs w:val="32"/>
          <w:highlight w:val="none"/>
        </w:rPr>
        <w:t>%</w:t>
      </w:r>
      <w:r>
        <w:rPr>
          <w:rFonts w:hint="eastAsia" w:ascii="仿宋" w:hAnsi="仿宋" w:eastAsia="仿宋"/>
          <w:color w:val="auto"/>
          <w:sz w:val="32"/>
          <w:szCs w:val="32"/>
          <w:highlight w:val="none"/>
        </w:rPr>
        <w:t>。具体情况如下：</w:t>
      </w:r>
    </w:p>
    <w:p>
      <w:pPr>
        <w:keepNext w:val="0"/>
        <w:keepLines w:val="0"/>
        <w:pageBreakBefore w:val="0"/>
        <w:widowControl w:val="0"/>
        <w:kinsoku/>
        <w:wordWrap/>
        <w:overflowPunct/>
        <w:topLinePunct w:val="0"/>
        <w:bidi w:val="0"/>
        <w:snapToGrid/>
        <w:spacing w:line="576" w:lineRule="exact"/>
        <w:ind w:left="0" w:leftChars="0" w:right="0" w:firstLine="420" w:firstLineChars="200"/>
        <w:textAlignment w:val="auto"/>
        <w:rPr>
          <w:rFonts w:ascii="仿宋_GB2312" w:eastAsia="仿宋_GB2312"/>
          <w:b/>
          <w:color w:val="auto"/>
          <w:sz w:val="32"/>
          <w:szCs w:val="32"/>
          <w:highlight w:val="none"/>
        </w:rPr>
      </w:pPr>
      <w:r>
        <w:drawing>
          <wp:anchor distT="0" distB="0" distL="114300" distR="114300" simplePos="0" relativeHeight="251666432" behindDoc="1" locked="0" layoutInCell="1" allowOverlap="1">
            <wp:simplePos x="0" y="0"/>
            <wp:positionH relativeFrom="column">
              <wp:posOffset>711200</wp:posOffset>
            </wp:positionH>
            <wp:positionV relativeFrom="paragraph">
              <wp:posOffset>140970</wp:posOffset>
            </wp:positionV>
            <wp:extent cx="4381500" cy="2583815"/>
            <wp:effectExtent l="0" t="0" r="0" b="6985"/>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4"/>
                    <a:srcRect l="11422" t="3929" r="10471" b="7247"/>
                    <a:stretch>
                      <a:fillRect/>
                    </a:stretch>
                  </pic:blipFill>
                  <pic:spPr>
                    <a:xfrm>
                      <a:off x="0" y="0"/>
                      <a:ext cx="4381500" cy="2583815"/>
                    </a:xfrm>
                    <a:prstGeom prst="rect">
                      <a:avLst/>
                    </a:prstGeom>
                    <a:noFill/>
                    <a:ln>
                      <a:noFill/>
                    </a:ln>
                  </pic:spPr>
                </pic:pic>
              </a:graphicData>
            </a:graphic>
          </wp:anchor>
        </w:drawing>
      </w:r>
    </w:p>
    <w:p>
      <w:pPr>
        <w:keepNext w:val="0"/>
        <w:keepLines w:val="0"/>
        <w:pageBreakBefore w:val="0"/>
        <w:widowControl w:val="0"/>
        <w:kinsoku/>
        <w:wordWrap/>
        <w:overflowPunct/>
        <w:topLinePunct w:val="0"/>
        <w:bidi w:val="0"/>
        <w:snapToGrid/>
        <w:spacing w:line="576" w:lineRule="exact"/>
        <w:ind w:left="0" w:leftChars="0" w:right="0" w:firstLine="643" w:firstLineChars="200"/>
        <w:textAlignment w:val="auto"/>
        <w:rPr>
          <w:rFonts w:ascii="仿宋_GB2312" w:eastAsia="仿宋_GB2312"/>
          <w:b/>
          <w:color w:val="auto"/>
          <w:sz w:val="32"/>
          <w:szCs w:val="32"/>
          <w:highlight w:val="none"/>
        </w:rPr>
      </w:pPr>
    </w:p>
    <w:p>
      <w:pPr>
        <w:keepNext w:val="0"/>
        <w:keepLines w:val="0"/>
        <w:pageBreakBefore w:val="0"/>
        <w:widowControl w:val="0"/>
        <w:kinsoku/>
        <w:wordWrap/>
        <w:overflowPunct/>
        <w:topLinePunct w:val="0"/>
        <w:bidi w:val="0"/>
        <w:snapToGrid/>
        <w:spacing w:line="576" w:lineRule="exact"/>
        <w:ind w:left="0" w:leftChars="0" w:right="0" w:firstLine="643" w:firstLineChars="200"/>
        <w:textAlignment w:val="auto"/>
        <w:rPr>
          <w:rFonts w:ascii="仿宋_GB2312" w:eastAsia="仿宋_GB2312"/>
          <w:b/>
          <w:color w:val="auto"/>
          <w:sz w:val="32"/>
          <w:szCs w:val="32"/>
          <w:highlight w:val="none"/>
        </w:rPr>
      </w:pPr>
    </w:p>
    <w:p>
      <w:pPr>
        <w:keepNext w:val="0"/>
        <w:keepLines w:val="0"/>
        <w:pageBreakBefore w:val="0"/>
        <w:widowControl w:val="0"/>
        <w:kinsoku/>
        <w:wordWrap/>
        <w:overflowPunct/>
        <w:topLinePunct w:val="0"/>
        <w:bidi w:val="0"/>
        <w:snapToGrid/>
        <w:spacing w:line="576" w:lineRule="exact"/>
        <w:ind w:left="0" w:leftChars="0" w:right="0" w:firstLine="643" w:firstLineChars="200"/>
        <w:textAlignment w:val="auto"/>
        <w:rPr>
          <w:rFonts w:ascii="仿宋_GB2312" w:eastAsia="仿宋_GB2312"/>
          <w:b/>
          <w:color w:val="auto"/>
          <w:sz w:val="32"/>
          <w:szCs w:val="32"/>
          <w:highlight w:val="none"/>
        </w:rPr>
      </w:pPr>
    </w:p>
    <w:p>
      <w:pPr>
        <w:keepNext w:val="0"/>
        <w:keepLines w:val="0"/>
        <w:pageBreakBefore w:val="0"/>
        <w:widowControl w:val="0"/>
        <w:kinsoku/>
        <w:wordWrap/>
        <w:overflowPunct/>
        <w:topLinePunct w:val="0"/>
        <w:bidi w:val="0"/>
        <w:snapToGrid/>
        <w:spacing w:line="576" w:lineRule="exact"/>
        <w:ind w:left="0" w:leftChars="0" w:right="0" w:firstLine="643" w:firstLineChars="200"/>
        <w:textAlignment w:val="auto"/>
        <w:rPr>
          <w:rFonts w:ascii="仿宋_GB2312" w:eastAsia="仿宋_GB2312"/>
          <w:b/>
          <w:color w:val="auto"/>
          <w:sz w:val="32"/>
          <w:szCs w:val="32"/>
          <w:highlight w:val="none"/>
        </w:rPr>
      </w:pPr>
    </w:p>
    <w:p>
      <w:pPr>
        <w:keepNext w:val="0"/>
        <w:keepLines w:val="0"/>
        <w:pageBreakBefore w:val="0"/>
        <w:widowControl w:val="0"/>
        <w:kinsoku/>
        <w:wordWrap/>
        <w:overflowPunct/>
        <w:topLinePunct w:val="0"/>
        <w:bidi w:val="0"/>
        <w:snapToGrid/>
        <w:spacing w:line="576" w:lineRule="exact"/>
        <w:ind w:left="0" w:leftChars="0" w:right="0" w:firstLine="643" w:firstLineChars="200"/>
        <w:textAlignment w:val="auto"/>
        <w:rPr>
          <w:rFonts w:ascii="仿宋_GB2312" w:eastAsia="仿宋_GB2312"/>
          <w:b/>
          <w:color w:val="auto"/>
          <w:sz w:val="32"/>
          <w:szCs w:val="32"/>
          <w:highlight w:val="none"/>
        </w:rPr>
      </w:pPr>
    </w:p>
    <w:p>
      <w:pPr>
        <w:keepNext w:val="0"/>
        <w:keepLines w:val="0"/>
        <w:pageBreakBefore w:val="0"/>
        <w:widowControl w:val="0"/>
        <w:kinsoku/>
        <w:wordWrap/>
        <w:overflowPunct/>
        <w:topLinePunct w:val="0"/>
        <w:bidi w:val="0"/>
        <w:snapToGrid/>
        <w:spacing w:line="576" w:lineRule="exact"/>
        <w:ind w:left="0" w:leftChars="0" w:right="0" w:firstLine="643" w:firstLineChars="200"/>
        <w:textAlignment w:val="auto"/>
        <w:rPr>
          <w:rFonts w:ascii="仿宋_GB2312" w:eastAsia="仿宋_GB2312"/>
          <w:b/>
          <w:color w:val="auto"/>
          <w:sz w:val="32"/>
          <w:szCs w:val="32"/>
          <w:highlight w:val="none"/>
        </w:rPr>
      </w:pPr>
    </w:p>
    <w:p>
      <w:pPr>
        <w:keepNext w:val="0"/>
        <w:keepLines w:val="0"/>
        <w:pageBreakBefore w:val="0"/>
        <w:widowControl w:val="0"/>
        <w:kinsoku/>
        <w:wordWrap/>
        <w:overflowPunct/>
        <w:topLinePunct w:val="0"/>
        <w:bidi w:val="0"/>
        <w:snapToGrid/>
        <w:spacing w:line="576" w:lineRule="exact"/>
        <w:ind w:left="0" w:leftChars="0" w:right="0" w:firstLine="643" w:firstLineChars="200"/>
        <w:textAlignment w:val="auto"/>
        <w:rPr>
          <w:rFonts w:ascii="仿宋_GB2312" w:eastAsia="仿宋_GB2312"/>
          <w:b/>
          <w:color w:val="auto"/>
          <w:sz w:val="32"/>
          <w:szCs w:val="32"/>
          <w:highlight w:val="none"/>
        </w:rPr>
      </w:pPr>
    </w:p>
    <w:p>
      <w:pPr>
        <w:keepNext w:val="0"/>
        <w:keepLines w:val="0"/>
        <w:pageBreakBefore w:val="0"/>
        <w:widowControl w:val="0"/>
        <w:kinsoku/>
        <w:wordWrap/>
        <w:overflowPunct/>
        <w:topLinePunct w:val="0"/>
        <w:bidi w:val="0"/>
        <w:snapToGrid/>
        <w:spacing w:line="576" w:lineRule="exact"/>
        <w:ind w:left="0" w:leftChars="0" w:right="0" w:firstLine="643" w:firstLineChars="200"/>
        <w:textAlignment w:val="auto"/>
        <w:rPr>
          <w:rFonts w:ascii="仿宋_GB2312" w:eastAsia="仿宋_GB2312"/>
          <w:b/>
          <w:color w:val="auto"/>
          <w:sz w:val="32"/>
          <w:szCs w:val="32"/>
          <w:highlight w:val="none"/>
        </w:rPr>
      </w:pPr>
      <w:r>
        <w:rPr>
          <w:rFonts w:ascii="仿宋_GB2312" w:eastAsia="仿宋_GB2312"/>
          <w:b/>
          <w:color w:val="auto"/>
          <w:sz w:val="32"/>
          <w:szCs w:val="32"/>
          <w:highlight w:val="none"/>
        </w:rPr>
        <w:t>1.</w:t>
      </w:r>
      <w:r>
        <w:rPr>
          <w:rFonts w:hint="eastAsia" w:ascii="仿宋_GB2312" w:eastAsia="仿宋_GB2312"/>
          <w:b/>
          <w:color w:val="auto"/>
          <w:sz w:val="32"/>
          <w:szCs w:val="32"/>
          <w:highlight w:val="none"/>
        </w:rPr>
        <w:t>因公出国（境）经费支出</w:t>
      </w:r>
      <w:r>
        <w:rPr>
          <w:rFonts w:hint="eastAsia" w:ascii="仿宋_GB2312" w:eastAsia="仿宋_GB2312"/>
          <w:b/>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val="en-US" w:eastAsia="zh-CN"/>
        </w:rPr>
        <w:t>年初未安排预算</w:t>
      </w:r>
      <w:r>
        <w:rPr>
          <w:rFonts w:hint="eastAsia" w:ascii="仿宋_GB2312" w:eastAsia="仿宋_GB2312"/>
          <w:color w:val="auto"/>
          <w:sz w:val="32"/>
          <w:szCs w:val="32"/>
          <w:highlight w:val="none"/>
        </w:rPr>
        <w:t>。因公出国（境）支出决算</w:t>
      </w:r>
      <w:r>
        <w:rPr>
          <w:rFonts w:hint="eastAsia" w:ascii="仿宋_GB2312" w:eastAsia="仿宋_GB2312"/>
          <w:color w:val="auto"/>
          <w:sz w:val="32"/>
          <w:szCs w:val="32"/>
          <w:highlight w:val="none"/>
          <w:lang w:val="en-US" w:eastAsia="zh-CN"/>
        </w:rPr>
        <w:t>较</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20</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无变化。</w:t>
      </w:r>
    </w:p>
    <w:p>
      <w:pPr>
        <w:keepNext w:val="0"/>
        <w:keepLines w:val="0"/>
        <w:pageBreakBefore w:val="0"/>
        <w:widowControl w:val="0"/>
        <w:kinsoku/>
        <w:wordWrap/>
        <w:overflowPunct/>
        <w:topLinePunct w:val="0"/>
        <w:bidi w:val="0"/>
        <w:snapToGrid/>
        <w:spacing w:line="576" w:lineRule="exact"/>
        <w:ind w:left="0" w:leftChars="0" w:right="0" w:firstLine="643" w:firstLineChars="200"/>
        <w:textAlignment w:val="auto"/>
        <w:rPr>
          <w:rFonts w:ascii="仿宋_GB2312" w:eastAsia="仿宋_GB2312"/>
          <w:b/>
          <w:color w:val="auto"/>
          <w:sz w:val="32"/>
          <w:szCs w:val="32"/>
          <w:highlight w:val="none"/>
        </w:rPr>
      </w:pPr>
      <w:r>
        <w:rPr>
          <w:rFonts w:ascii="仿宋_GB2312" w:eastAsia="仿宋_GB2312"/>
          <w:b/>
          <w:color w:val="auto"/>
          <w:sz w:val="32"/>
          <w:szCs w:val="32"/>
          <w:highlight w:val="none"/>
        </w:rPr>
        <w:t>2.</w:t>
      </w:r>
      <w:r>
        <w:rPr>
          <w:rFonts w:hint="eastAsia" w:ascii="仿宋_GB2312" w:eastAsia="仿宋_GB2312"/>
          <w:b/>
          <w:color w:val="auto"/>
          <w:sz w:val="32"/>
          <w:szCs w:val="32"/>
          <w:highlight w:val="none"/>
        </w:rPr>
        <w:t>公务用车购置及运行维护费支出</w:t>
      </w:r>
      <w:r>
        <w:rPr>
          <w:rFonts w:hint="eastAsia" w:ascii="仿宋_GB2312" w:eastAsia="仿宋_GB2312"/>
          <w:b/>
          <w:color w:val="auto"/>
          <w:sz w:val="32"/>
          <w:szCs w:val="32"/>
          <w:highlight w:val="none"/>
          <w:lang w:val="en-US" w:eastAsia="zh-CN"/>
        </w:rPr>
        <w:t>61.67</w:t>
      </w:r>
      <w:r>
        <w:rPr>
          <w:rFonts w:hint="eastAsia" w:ascii="仿宋_GB2312" w:eastAsia="仿宋_GB2312"/>
          <w:color w:val="auto"/>
          <w:sz w:val="32"/>
          <w:szCs w:val="32"/>
          <w:highlight w:val="none"/>
        </w:rPr>
        <w:t>万元,</w:t>
      </w:r>
      <w:r>
        <w:rPr>
          <w:rStyle w:val="14"/>
          <w:rFonts w:hint="eastAsia" w:ascii="仿宋" w:hAnsi="仿宋" w:eastAsia="仿宋"/>
          <w:b w:val="0"/>
          <w:bCs/>
          <w:color w:val="auto"/>
          <w:sz w:val="32"/>
          <w:szCs w:val="32"/>
          <w:highlight w:val="none"/>
        </w:rPr>
        <w:t>完成预算</w:t>
      </w:r>
      <w:r>
        <w:rPr>
          <w:rStyle w:val="14"/>
          <w:rFonts w:hint="eastAsia" w:ascii="仿宋" w:hAnsi="仿宋" w:eastAsia="仿宋"/>
          <w:b w:val="0"/>
          <w:bCs/>
          <w:color w:val="auto"/>
          <w:sz w:val="32"/>
          <w:szCs w:val="32"/>
          <w:highlight w:val="none"/>
          <w:lang w:val="en-US" w:eastAsia="zh-CN"/>
        </w:rPr>
        <w:t>100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公务用车购置及运行维护费支出决算比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20</w:t>
      </w:r>
      <w:r>
        <w:rPr>
          <w:rFonts w:hint="eastAsia" w:ascii="仿宋_GB2312" w:eastAsia="仿宋_GB2312"/>
          <w:color w:val="auto"/>
          <w:sz w:val="32"/>
          <w:szCs w:val="32"/>
          <w:highlight w:val="none"/>
        </w:rPr>
        <w:t>年减少</w:t>
      </w:r>
      <w:r>
        <w:rPr>
          <w:rFonts w:hint="eastAsia" w:ascii="仿宋_GB2312" w:eastAsia="仿宋_GB2312"/>
          <w:color w:val="auto"/>
          <w:sz w:val="32"/>
          <w:szCs w:val="32"/>
          <w:highlight w:val="none"/>
          <w:lang w:val="en-US" w:eastAsia="zh-CN"/>
        </w:rPr>
        <w:t>20.42</w:t>
      </w:r>
      <w:r>
        <w:rPr>
          <w:rFonts w:hint="eastAsia" w:ascii="仿宋_GB2312" w:eastAsia="仿宋_GB2312"/>
          <w:color w:val="auto"/>
          <w:sz w:val="32"/>
          <w:szCs w:val="32"/>
          <w:highlight w:val="none"/>
        </w:rPr>
        <w:t>万元，下降</w:t>
      </w:r>
      <w:r>
        <w:rPr>
          <w:rFonts w:hint="eastAsia" w:ascii="仿宋_GB2312" w:eastAsia="仿宋_GB2312"/>
          <w:color w:val="auto"/>
          <w:sz w:val="32"/>
          <w:szCs w:val="32"/>
          <w:highlight w:val="none"/>
          <w:lang w:val="en-US" w:eastAsia="zh-CN"/>
        </w:rPr>
        <w:t>24.88</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。主要原因是</w:t>
      </w:r>
      <w:r>
        <w:rPr>
          <w:rFonts w:hint="eastAsia" w:ascii="仿宋_GB2312" w:eastAsia="仿宋_GB2312"/>
          <w:color w:val="auto"/>
          <w:sz w:val="32"/>
          <w:szCs w:val="32"/>
          <w:highlight w:val="none"/>
          <w:lang w:val="en-US" w:eastAsia="zh-CN"/>
        </w:rPr>
        <w:t>例行勤俭节约，压缩开支。</w:t>
      </w:r>
    </w:p>
    <w:p>
      <w:pPr>
        <w:keepNext w:val="0"/>
        <w:keepLines w:val="0"/>
        <w:pageBreakBefore w:val="0"/>
        <w:widowControl w:val="0"/>
        <w:kinsoku/>
        <w:wordWrap/>
        <w:overflowPunct/>
        <w:topLinePunct w:val="0"/>
        <w:bidi w:val="0"/>
        <w:snapToGrid/>
        <w:spacing w:line="576" w:lineRule="exact"/>
        <w:ind w:left="0" w:leftChars="0" w:right="0" w:firstLine="640" w:firstLineChars="200"/>
        <w:textAlignment w:val="auto"/>
        <w:rPr>
          <w:rFonts w:ascii="仿宋_GB2312" w:eastAsia="仿宋_GB2312"/>
          <w:b/>
          <w:color w:val="auto"/>
          <w:sz w:val="32"/>
          <w:szCs w:val="32"/>
          <w:highlight w:val="none"/>
        </w:rPr>
      </w:pPr>
      <w:r>
        <w:rPr>
          <w:rFonts w:hint="eastAsia" w:ascii="仿宋_GB2312" w:eastAsia="仿宋_GB2312"/>
          <w:color w:val="auto"/>
          <w:sz w:val="32"/>
          <w:szCs w:val="32"/>
          <w:highlight w:val="none"/>
        </w:rPr>
        <w:t>其中：</w:t>
      </w:r>
      <w:r>
        <w:rPr>
          <w:rFonts w:hint="eastAsia" w:ascii="仿宋_GB2312" w:eastAsia="仿宋_GB2312"/>
          <w:b/>
          <w:color w:val="auto"/>
          <w:sz w:val="32"/>
          <w:szCs w:val="32"/>
          <w:highlight w:val="none"/>
        </w:rPr>
        <w:t>公务用车购置支出</w:t>
      </w:r>
      <w:r>
        <w:rPr>
          <w:rFonts w:hint="eastAsia" w:ascii="仿宋_GB2312" w:eastAsia="仿宋_GB2312"/>
          <w:b/>
          <w:color w:val="auto"/>
          <w:sz w:val="32"/>
          <w:szCs w:val="32"/>
          <w:highlight w:val="none"/>
          <w:lang w:val="en-US" w:eastAsia="zh-CN"/>
        </w:rPr>
        <w:t>37.29</w:t>
      </w:r>
      <w:r>
        <w:rPr>
          <w:rFonts w:hint="eastAsia" w:ascii="仿宋_GB2312" w:eastAsia="仿宋_GB2312"/>
          <w:color w:val="auto"/>
          <w:sz w:val="32"/>
          <w:szCs w:val="32"/>
          <w:highlight w:val="none"/>
        </w:rPr>
        <w:t>万元。全年</w:t>
      </w:r>
      <w:r>
        <w:rPr>
          <w:rFonts w:hint="eastAsia" w:ascii="仿宋_GB2312" w:eastAsia="仿宋_GB2312"/>
          <w:color w:val="auto"/>
          <w:sz w:val="32"/>
          <w:szCs w:val="32"/>
          <w:highlight w:val="none"/>
          <w:lang w:val="en-US" w:eastAsia="zh-CN"/>
        </w:rPr>
        <w:t>局属事业单位市地质环境监测站</w:t>
      </w:r>
      <w:r>
        <w:rPr>
          <w:rFonts w:hint="eastAsia" w:ascii="仿宋_GB2312" w:eastAsia="仿宋_GB2312"/>
          <w:color w:val="auto"/>
          <w:sz w:val="32"/>
          <w:szCs w:val="32"/>
          <w:highlight w:val="none"/>
        </w:rPr>
        <w:t>按规定更新购置公务用车</w:t>
      </w: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rPr>
        <w:t>辆，其中：越野车</w:t>
      </w: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rPr>
        <w:t>辆、金额</w:t>
      </w:r>
      <w:r>
        <w:rPr>
          <w:rFonts w:hint="eastAsia" w:ascii="仿宋_GB2312" w:eastAsia="仿宋_GB2312"/>
          <w:color w:val="auto"/>
          <w:sz w:val="32"/>
          <w:szCs w:val="32"/>
          <w:highlight w:val="none"/>
          <w:lang w:val="en-US" w:eastAsia="zh-CN"/>
        </w:rPr>
        <w:t>37.29</w:t>
      </w:r>
      <w:r>
        <w:rPr>
          <w:rFonts w:hint="eastAsia" w:ascii="仿宋_GB2312" w:eastAsia="仿宋_GB2312"/>
          <w:color w:val="auto"/>
          <w:sz w:val="32"/>
          <w:szCs w:val="32"/>
          <w:highlight w:val="none"/>
        </w:rPr>
        <w:t>万元，主要用于</w:t>
      </w:r>
      <w:r>
        <w:rPr>
          <w:rFonts w:hint="eastAsia" w:ascii="仿宋_GB2312" w:eastAsia="仿宋_GB2312"/>
          <w:color w:val="auto"/>
          <w:sz w:val="32"/>
          <w:szCs w:val="32"/>
          <w:highlight w:val="none"/>
          <w:lang w:val="en-US" w:eastAsia="zh-CN"/>
        </w:rPr>
        <w:t>地质灾害防治业务用车。</w:t>
      </w:r>
      <w:r>
        <w:rPr>
          <w:rFonts w:hint="eastAsia" w:ascii="仿宋_GB2312" w:eastAsia="仿宋_GB2312"/>
          <w:color w:val="auto"/>
          <w:sz w:val="32"/>
          <w:szCs w:val="32"/>
          <w:highlight w:val="none"/>
        </w:rPr>
        <w:t>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月底，单位共有公务用车</w:t>
      </w:r>
      <w:r>
        <w:rPr>
          <w:rFonts w:hint="eastAsia" w:ascii="仿宋_GB2312" w:eastAsia="仿宋_GB2312"/>
          <w:color w:val="auto"/>
          <w:sz w:val="32"/>
          <w:szCs w:val="32"/>
          <w:highlight w:val="none"/>
          <w:lang w:val="en-US" w:eastAsia="zh-CN"/>
        </w:rPr>
        <w:t>9</w:t>
      </w:r>
      <w:r>
        <w:rPr>
          <w:rFonts w:hint="eastAsia" w:ascii="仿宋_GB2312" w:eastAsia="仿宋_GB2312"/>
          <w:color w:val="auto"/>
          <w:sz w:val="32"/>
          <w:szCs w:val="32"/>
          <w:highlight w:val="none"/>
        </w:rPr>
        <w:t>辆，其中：越野车</w:t>
      </w:r>
      <w:r>
        <w:rPr>
          <w:rFonts w:hint="eastAsia" w:ascii="仿宋_GB2312" w:eastAsia="仿宋_GB2312"/>
          <w:color w:val="auto"/>
          <w:sz w:val="32"/>
          <w:szCs w:val="32"/>
          <w:highlight w:val="none"/>
          <w:lang w:val="en-US" w:eastAsia="zh-CN"/>
        </w:rPr>
        <w:t>9</w:t>
      </w:r>
      <w:r>
        <w:rPr>
          <w:rFonts w:hint="eastAsia" w:ascii="仿宋_GB2312" w:eastAsia="仿宋_GB2312"/>
          <w:color w:val="auto"/>
          <w:sz w:val="32"/>
          <w:szCs w:val="32"/>
          <w:highlight w:val="none"/>
        </w:rPr>
        <w:t>辆。</w:t>
      </w:r>
    </w:p>
    <w:p>
      <w:pPr>
        <w:keepNext w:val="0"/>
        <w:keepLines w:val="0"/>
        <w:pageBreakBefore w:val="0"/>
        <w:widowControl w:val="0"/>
        <w:kinsoku/>
        <w:wordWrap/>
        <w:overflowPunct/>
        <w:topLinePunct w:val="0"/>
        <w:bidi w:val="0"/>
        <w:snapToGrid/>
        <w:spacing w:line="576" w:lineRule="exact"/>
        <w:ind w:left="0" w:leftChars="0" w:right="0" w:firstLine="643" w:firstLineChars="200"/>
        <w:jc w:val="left"/>
        <w:textAlignment w:val="auto"/>
        <w:rPr>
          <w:rFonts w:hint="eastAsia" w:ascii="仿宋_GB2312" w:hAnsi="仿宋_GB2312" w:eastAsia="仿宋_GB2312" w:cs="仿宋_GB2312"/>
          <w:color w:val="000000"/>
          <w:sz w:val="32"/>
          <w:szCs w:val="32"/>
        </w:rPr>
      </w:pPr>
      <w:r>
        <w:rPr>
          <w:rFonts w:hint="eastAsia" w:ascii="仿宋_GB2312" w:eastAsia="仿宋_GB2312"/>
          <w:b/>
          <w:color w:val="auto"/>
          <w:sz w:val="32"/>
          <w:szCs w:val="32"/>
          <w:highlight w:val="none"/>
        </w:rPr>
        <w:t>公务用车运行维护费支出</w:t>
      </w:r>
      <w:r>
        <w:rPr>
          <w:rFonts w:hint="eastAsia" w:ascii="仿宋_GB2312" w:eastAsia="仿宋_GB2312"/>
          <w:b/>
          <w:color w:val="auto"/>
          <w:sz w:val="32"/>
          <w:szCs w:val="32"/>
          <w:highlight w:val="none"/>
          <w:lang w:val="en-US" w:eastAsia="zh-CN"/>
        </w:rPr>
        <w:t>24.38</w:t>
      </w:r>
      <w:r>
        <w:rPr>
          <w:rFonts w:hint="eastAsia" w:ascii="仿宋_GB2312" w:eastAsia="仿宋_GB2312"/>
          <w:color w:val="auto"/>
          <w:sz w:val="32"/>
          <w:szCs w:val="32"/>
          <w:highlight w:val="none"/>
        </w:rPr>
        <w:t>万元。主要用于</w:t>
      </w:r>
      <w:r>
        <w:rPr>
          <w:rFonts w:hint="eastAsia" w:ascii="仿宋_GB2312" w:hAnsi="仿宋_GB2312" w:eastAsia="仿宋_GB2312" w:cs="仿宋_GB2312"/>
          <w:color w:val="000000"/>
          <w:sz w:val="32"/>
          <w:szCs w:val="32"/>
        </w:rPr>
        <w:t>开展自然资源管理工作、</w:t>
      </w:r>
      <w:r>
        <w:rPr>
          <w:rFonts w:hint="eastAsia" w:ascii="仿宋_GB2312" w:hAnsi="仿宋_GB2312" w:eastAsia="仿宋_GB2312" w:cs="仿宋_GB2312"/>
          <w:color w:val="000000"/>
          <w:sz w:val="32"/>
          <w:szCs w:val="32"/>
          <w:lang w:val="en-US" w:eastAsia="zh-CN"/>
        </w:rPr>
        <w:t>地质灾害防治、耕地保护、矿业权管理、地籍测绘、土地整理、乡村振兴</w:t>
      </w:r>
      <w:r>
        <w:rPr>
          <w:rFonts w:hint="eastAsia" w:ascii="仿宋_GB2312" w:hAnsi="仿宋_GB2312" w:eastAsia="仿宋_GB2312" w:cs="仿宋_GB2312"/>
          <w:color w:val="000000"/>
          <w:sz w:val="32"/>
          <w:szCs w:val="32"/>
        </w:rPr>
        <w:t>、下乡帮扶等所需的公务用车燃料费、维修费、过路过桥费、保险费等支出。</w:t>
      </w:r>
    </w:p>
    <w:p>
      <w:pPr>
        <w:keepNext w:val="0"/>
        <w:keepLines w:val="0"/>
        <w:pageBreakBefore w:val="0"/>
        <w:widowControl w:val="0"/>
        <w:kinsoku/>
        <w:wordWrap/>
        <w:overflowPunct/>
        <w:topLinePunct w:val="0"/>
        <w:bidi w:val="0"/>
        <w:snapToGrid/>
        <w:spacing w:line="576" w:lineRule="exact"/>
        <w:ind w:left="0" w:leftChars="0" w:right="0" w:firstLine="643" w:firstLineChars="200"/>
        <w:textAlignment w:val="auto"/>
        <w:rPr>
          <w:rFonts w:ascii="仿宋_GB2312" w:eastAsia="仿宋_GB2312"/>
          <w:color w:val="auto"/>
          <w:sz w:val="32"/>
          <w:szCs w:val="32"/>
          <w:highlight w:val="none"/>
        </w:rPr>
      </w:pPr>
      <w:r>
        <w:rPr>
          <w:rFonts w:ascii="仿宋_GB2312" w:eastAsia="仿宋_GB2312"/>
          <w:b/>
          <w:color w:val="auto"/>
          <w:sz w:val="32"/>
          <w:szCs w:val="32"/>
          <w:highlight w:val="none"/>
        </w:rPr>
        <w:t>3.</w:t>
      </w:r>
      <w:r>
        <w:rPr>
          <w:rFonts w:hint="eastAsia" w:ascii="仿宋_GB2312" w:eastAsia="仿宋_GB2312"/>
          <w:b/>
          <w:color w:val="auto"/>
          <w:sz w:val="32"/>
          <w:szCs w:val="32"/>
          <w:highlight w:val="none"/>
        </w:rPr>
        <w:t>公务接待费支出</w:t>
      </w:r>
      <w:r>
        <w:rPr>
          <w:rFonts w:hint="eastAsia" w:ascii="仿宋_GB2312" w:eastAsia="仿宋_GB2312"/>
          <w:b/>
          <w:color w:val="auto"/>
          <w:sz w:val="32"/>
          <w:szCs w:val="32"/>
          <w:highlight w:val="none"/>
          <w:lang w:val="en-US" w:eastAsia="zh-CN"/>
        </w:rPr>
        <w:t>7.98</w:t>
      </w:r>
      <w:r>
        <w:rPr>
          <w:rFonts w:hint="eastAsia" w:ascii="仿宋_GB2312" w:eastAsia="仿宋_GB2312"/>
          <w:color w:val="auto"/>
          <w:sz w:val="32"/>
          <w:szCs w:val="32"/>
          <w:highlight w:val="none"/>
        </w:rPr>
        <w:t>万元，</w:t>
      </w:r>
      <w:r>
        <w:rPr>
          <w:rStyle w:val="14"/>
          <w:rFonts w:hint="eastAsia" w:ascii="仿宋" w:hAnsi="仿宋" w:eastAsia="仿宋"/>
          <w:b w:val="0"/>
          <w:bCs/>
          <w:color w:val="auto"/>
          <w:sz w:val="32"/>
          <w:szCs w:val="32"/>
          <w:highlight w:val="none"/>
        </w:rPr>
        <w:t>完成预算</w:t>
      </w:r>
      <w:r>
        <w:rPr>
          <w:rStyle w:val="14"/>
          <w:rFonts w:hint="eastAsia" w:ascii="仿宋" w:hAnsi="仿宋" w:eastAsia="仿宋"/>
          <w:b w:val="0"/>
          <w:bCs/>
          <w:color w:val="auto"/>
          <w:sz w:val="32"/>
          <w:szCs w:val="32"/>
          <w:highlight w:val="none"/>
          <w:lang w:val="en-US" w:eastAsia="zh-CN"/>
        </w:rPr>
        <w:t>的46.02</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公务接待费支出决算比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20</w:t>
      </w:r>
      <w:r>
        <w:rPr>
          <w:rFonts w:hint="eastAsia" w:ascii="仿宋_GB2312" w:eastAsia="仿宋_GB2312"/>
          <w:color w:val="auto"/>
          <w:sz w:val="32"/>
          <w:szCs w:val="32"/>
          <w:highlight w:val="none"/>
        </w:rPr>
        <w:t>年减少</w:t>
      </w:r>
      <w:r>
        <w:rPr>
          <w:rFonts w:hint="eastAsia" w:ascii="仿宋_GB2312" w:eastAsia="仿宋_GB2312"/>
          <w:color w:val="auto"/>
          <w:sz w:val="32"/>
          <w:szCs w:val="32"/>
          <w:highlight w:val="none"/>
          <w:lang w:val="en-US" w:eastAsia="zh-CN"/>
        </w:rPr>
        <w:t>2.03</w:t>
      </w:r>
      <w:r>
        <w:rPr>
          <w:rFonts w:hint="eastAsia" w:ascii="仿宋_GB2312" w:eastAsia="仿宋_GB2312"/>
          <w:color w:val="auto"/>
          <w:sz w:val="32"/>
          <w:szCs w:val="32"/>
          <w:highlight w:val="none"/>
        </w:rPr>
        <w:t>万元，下降</w:t>
      </w:r>
      <w:r>
        <w:rPr>
          <w:rFonts w:hint="eastAsia" w:ascii="仿宋_GB2312" w:eastAsia="仿宋_GB2312"/>
          <w:color w:val="auto"/>
          <w:sz w:val="32"/>
          <w:szCs w:val="32"/>
          <w:highlight w:val="none"/>
          <w:lang w:val="en-US" w:eastAsia="zh-CN"/>
        </w:rPr>
        <w:t>20.28</w:t>
      </w:r>
      <w:r>
        <w:rPr>
          <w:rFonts w:ascii="仿宋_GB2312" w:eastAsia="仿宋_GB2312"/>
          <w:color w:val="auto"/>
          <w:sz w:val="32"/>
          <w:szCs w:val="32"/>
          <w:highlight w:val="none"/>
        </w:rPr>
        <w:t>%</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主要原因是</w:t>
      </w:r>
      <w:r>
        <w:rPr>
          <w:rFonts w:hint="eastAsia" w:ascii="仿宋_GB2312" w:eastAsia="仿宋_GB2312"/>
          <w:color w:val="auto"/>
          <w:sz w:val="32"/>
          <w:szCs w:val="32"/>
          <w:highlight w:val="none"/>
          <w:lang w:val="en-US" w:eastAsia="zh-CN"/>
        </w:rPr>
        <w:t>例行勤俭节约，压缩开支</w:t>
      </w:r>
      <w:r>
        <w:rPr>
          <w:rFonts w:hint="eastAsia" w:ascii="仿宋_GB2312" w:eastAsia="仿宋_GB2312"/>
          <w:color w:val="auto"/>
          <w:sz w:val="32"/>
          <w:szCs w:val="32"/>
          <w:highlight w:val="none"/>
        </w:rPr>
        <w:t>。其中：</w:t>
      </w:r>
    </w:p>
    <w:p>
      <w:pPr>
        <w:keepNext w:val="0"/>
        <w:keepLines w:val="0"/>
        <w:pageBreakBefore w:val="0"/>
        <w:widowControl w:val="0"/>
        <w:kinsoku/>
        <w:wordWrap/>
        <w:overflowPunct/>
        <w:topLinePunct w:val="0"/>
        <w:bidi w:val="0"/>
        <w:snapToGrid/>
        <w:spacing w:line="576" w:lineRule="exact"/>
        <w:ind w:left="0" w:leftChars="0" w:right="0" w:firstLine="643" w:firstLineChars="200"/>
        <w:jc w:val="left"/>
        <w:textAlignment w:val="auto"/>
        <w:rPr>
          <w:rFonts w:hint="eastAsia" w:ascii="仿宋_GB2312" w:eastAsia="仿宋_GB2312"/>
          <w:color w:val="auto"/>
          <w:sz w:val="32"/>
          <w:szCs w:val="32"/>
          <w:highlight w:val="none"/>
          <w:lang w:eastAsia="zh-CN"/>
        </w:rPr>
      </w:pPr>
      <w:r>
        <w:rPr>
          <w:rFonts w:hint="eastAsia" w:ascii="仿宋" w:hAnsi="仿宋" w:eastAsia="仿宋"/>
          <w:b/>
          <w:color w:val="auto"/>
          <w:sz w:val="32"/>
          <w:szCs w:val="32"/>
          <w:highlight w:val="none"/>
        </w:rPr>
        <w:t>国内公务接待支出</w:t>
      </w:r>
      <w:r>
        <w:rPr>
          <w:rFonts w:hint="eastAsia" w:ascii="仿宋" w:hAnsi="仿宋" w:eastAsia="仿宋"/>
          <w:b/>
          <w:color w:val="auto"/>
          <w:sz w:val="32"/>
          <w:szCs w:val="32"/>
          <w:highlight w:val="none"/>
          <w:lang w:val="en-US" w:eastAsia="zh-CN"/>
        </w:rPr>
        <w:t>7.98</w:t>
      </w:r>
      <w:r>
        <w:rPr>
          <w:rFonts w:hint="eastAsia" w:ascii="仿宋_GB2312" w:eastAsia="仿宋_GB2312"/>
          <w:color w:val="auto"/>
          <w:sz w:val="32"/>
          <w:szCs w:val="32"/>
          <w:highlight w:val="none"/>
        </w:rPr>
        <w:t>万元，主要用于</w:t>
      </w:r>
      <w:r>
        <w:rPr>
          <w:rFonts w:hint="eastAsia" w:ascii="仿宋_GB2312" w:hAnsi="仿宋_GB2312" w:eastAsia="仿宋_GB2312" w:cs="仿宋_GB2312"/>
          <w:color w:val="000000"/>
          <w:sz w:val="32"/>
          <w:szCs w:val="32"/>
        </w:rPr>
        <w:t>省自然资源厅、上级部门及其他市州的各类检查、督查、调研和县区自然资源局来我局交流汇报等</w:t>
      </w:r>
      <w:r>
        <w:rPr>
          <w:rFonts w:hint="eastAsia" w:ascii="仿宋_GB2312" w:eastAsia="仿宋_GB2312"/>
          <w:color w:val="auto"/>
          <w:sz w:val="32"/>
          <w:szCs w:val="32"/>
          <w:highlight w:val="none"/>
        </w:rPr>
        <w:t>执行公务、开展业务活动开支的交通费、住宿费、用餐费等。国内公务接待</w:t>
      </w:r>
      <w:r>
        <w:rPr>
          <w:rFonts w:hint="eastAsia" w:ascii="仿宋_GB2312" w:eastAsia="仿宋_GB2312"/>
          <w:color w:val="auto"/>
          <w:sz w:val="32"/>
          <w:szCs w:val="32"/>
          <w:highlight w:val="none"/>
          <w:lang w:val="en-US" w:eastAsia="zh-CN"/>
        </w:rPr>
        <w:t>102</w:t>
      </w:r>
      <w:r>
        <w:rPr>
          <w:rFonts w:hint="eastAsia" w:ascii="仿宋_GB2312" w:eastAsia="仿宋_GB2312"/>
          <w:color w:val="auto"/>
          <w:sz w:val="32"/>
          <w:szCs w:val="32"/>
          <w:highlight w:val="none"/>
        </w:rPr>
        <w:t>批次，</w:t>
      </w:r>
      <w:r>
        <w:rPr>
          <w:rFonts w:hint="eastAsia" w:ascii="仿宋_GB2312" w:eastAsia="仿宋_GB2312"/>
          <w:color w:val="auto"/>
          <w:sz w:val="32"/>
          <w:szCs w:val="32"/>
          <w:highlight w:val="none"/>
          <w:lang w:val="en-US" w:eastAsia="zh-CN"/>
        </w:rPr>
        <w:t>807</w:t>
      </w:r>
      <w:r>
        <w:rPr>
          <w:rFonts w:hint="eastAsia" w:ascii="仿宋_GB2312" w:eastAsia="仿宋_GB2312"/>
          <w:color w:val="auto"/>
          <w:sz w:val="32"/>
          <w:szCs w:val="32"/>
          <w:highlight w:val="none"/>
        </w:rPr>
        <w:t>人次（不包括陪同人员），共计支出</w:t>
      </w:r>
      <w:r>
        <w:rPr>
          <w:rFonts w:hint="eastAsia" w:ascii="仿宋_GB2312" w:eastAsia="仿宋_GB2312"/>
          <w:color w:val="auto"/>
          <w:sz w:val="32"/>
          <w:szCs w:val="32"/>
          <w:highlight w:val="none"/>
          <w:lang w:val="en-US" w:eastAsia="zh-CN"/>
        </w:rPr>
        <w:t>7.98</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eastAsia="zh-CN"/>
        </w:rPr>
        <w:t>。</w:t>
      </w:r>
    </w:p>
    <w:p>
      <w:pPr>
        <w:keepNext w:val="0"/>
        <w:keepLines w:val="0"/>
        <w:pageBreakBefore w:val="0"/>
        <w:widowControl w:val="0"/>
        <w:kinsoku/>
        <w:wordWrap/>
        <w:overflowPunct/>
        <w:topLinePunct w:val="0"/>
        <w:bidi w:val="0"/>
        <w:snapToGrid/>
        <w:spacing w:line="576" w:lineRule="exact"/>
        <w:ind w:left="0" w:leftChars="0" w:right="0"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eastAsia="仿宋_GB2312"/>
          <w:color w:val="auto"/>
          <w:sz w:val="32"/>
          <w:szCs w:val="32"/>
          <w:highlight w:val="none"/>
          <w:lang w:val="en-US" w:eastAsia="zh-CN"/>
        </w:rPr>
        <w:t>其中：全年接待县区局来人对接汇报关于人事、党建、纪检、信息、卫片执法、大棚房整改等接待费0.59万元元，德阳自然资源局来我局考察学习接待费0.24万元，凉山州、阿坝州来我局考察学习接待费0.16万元，自然资源部来人接待费0.21万元，省厅派驻督察员公众对街接待费0.08万元元，省厅宣教中心来人接待费0.09万元，省厅来人关于城乡增减挂钩、安全生产地灾防治接待费0.19万元，省厅督导2021年自然资源领域生态环境问题整改工作接待费0.1万元，全年省厅来人关于调研三线划定矿产资源管理、地质灾害防治、党建、人事等接待费1.04万元，省矿产资源保护监督处来人关于矿产资源管理接待费0.07万元，省国土空间生态修复与地质研究院对接生态修复工作接待费0.12万元，省国土空间规划院对接国土空间规划工作接待费0.11万元，省国土资源执法监察总队关于对接大棚房整改、卫片执法工作接待费0.17万元，四川绿初原牧业集团考察费0.14万元.</w:t>
      </w:r>
      <w:r>
        <w:rPr>
          <w:rFonts w:hint="eastAsia" w:ascii="仿宋_GB2312" w:hAnsi="仿宋_GB2312" w:eastAsia="仿宋_GB2312" w:cs="仿宋_GB2312"/>
          <w:color w:val="000000"/>
          <w:sz w:val="32"/>
          <w:szCs w:val="32"/>
        </w:rPr>
        <w:t>地质灾害防治工作接待费</w:t>
      </w:r>
      <w:r>
        <w:rPr>
          <w:rFonts w:hint="eastAsia" w:ascii="仿宋_GB2312" w:hAnsi="仿宋_GB2312" w:eastAsia="仿宋_GB2312" w:cs="仿宋_GB2312"/>
          <w:color w:val="000000"/>
          <w:sz w:val="32"/>
          <w:szCs w:val="32"/>
          <w:lang w:val="en-US" w:eastAsia="zh-CN"/>
        </w:rPr>
        <w:t>1.48万</w:t>
      </w:r>
      <w:r>
        <w:rPr>
          <w:rFonts w:hint="eastAsia" w:ascii="仿宋_GB2312" w:hAnsi="仿宋_GB2312" w:eastAsia="仿宋_GB2312" w:cs="仿宋_GB2312"/>
          <w:color w:val="000000"/>
          <w:sz w:val="32"/>
          <w:szCs w:val="32"/>
        </w:rPr>
        <w:t>元，</w:t>
      </w:r>
      <w:r>
        <w:rPr>
          <w:rFonts w:hint="eastAsia" w:ascii="仿宋_GB2312" w:hAnsi="仿宋_GB2312" w:eastAsia="仿宋_GB2312" w:cs="仿宋_GB2312"/>
          <w:color w:val="000000"/>
          <w:sz w:val="32"/>
          <w:szCs w:val="32"/>
          <w:lang w:val="en-US" w:eastAsia="zh-CN"/>
        </w:rPr>
        <w:t>经开区</w:t>
      </w:r>
      <w:r>
        <w:rPr>
          <w:rFonts w:hint="eastAsia" w:ascii="仿宋_GB2312" w:hAnsi="仿宋_GB2312" w:eastAsia="仿宋_GB2312" w:cs="仿宋_GB2312"/>
          <w:color w:val="000000"/>
          <w:sz w:val="32"/>
          <w:szCs w:val="32"/>
        </w:rPr>
        <w:t>自然资源管理工作接待费</w:t>
      </w:r>
      <w:r>
        <w:rPr>
          <w:rFonts w:hint="eastAsia" w:ascii="仿宋_GB2312" w:hAnsi="仿宋_GB2312" w:eastAsia="仿宋_GB2312" w:cs="仿宋_GB2312"/>
          <w:color w:val="000000"/>
          <w:sz w:val="32"/>
          <w:szCs w:val="32"/>
          <w:lang w:val="en-US" w:eastAsia="zh-CN"/>
        </w:rPr>
        <w:t>0.39万</w:t>
      </w:r>
      <w:r>
        <w:rPr>
          <w:rFonts w:hint="eastAsia" w:ascii="仿宋_GB2312" w:hAnsi="仿宋_GB2312" w:eastAsia="仿宋_GB2312" w:cs="仿宋_GB2312"/>
          <w:color w:val="000000"/>
          <w:sz w:val="32"/>
          <w:szCs w:val="32"/>
        </w:rPr>
        <w:t>元，土地整治工作接待费</w:t>
      </w:r>
      <w:r>
        <w:rPr>
          <w:rFonts w:hint="eastAsia" w:ascii="仿宋_GB2312" w:hAnsi="仿宋_GB2312" w:eastAsia="仿宋_GB2312" w:cs="仿宋_GB2312"/>
          <w:color w:val="000000"/>
          <w:sz w:val="32"/>
          <w:szCs w:val="32"/>
          <w:lang w:val="en-US" w:eastAsia="zh-CN"/>
        </w:rPr>
        <w:t>0.52万</w:t>
      </w:r>
      <w:r>
        <w:rPr>
          <w:rFonts w:hint="eastAsia" w:ascii="仿宋_GB2312" w:hAnsi="仿宋_GB2312" w:eastAsia="仿宋_GB2312" w:cs="仿宋_GB2312"/>
          <w:color w:val="000000"/>
          <w:sz w:val="32"/>
          <w:szCs w:val="32"/>
        </w:rPr>
        <w:t>元，地籍测绘工作接待费</w:t>
      </w:r>
      <w:r>
        <w:rPr>
          <w:rFonts w:hint="eastAsia" w:ascii="仿宋_GB2312" w:hAnsi="仿宋_GB2312" w:eastAsia="仿宋_GB2312" w:cs="仿宋_GB2312"/>
          <w:color w:val="000000"/>
          <w:sz w:val="32"/>
          <w:szCs w:val="32"/>
          <w:lang w:val="en-US" w:eastAsia="zh-CN"/>
        </w:rPr>
        <w:t>1.32万</w:t>
      </w:r>
      <w:r>
        <w:rPr>
          <w:rFonts w:hint="eastAsia" w:ascii="仿宋_GB2312" w:hAnsi="仿宋_GB2312" w:eastAsia="仿宋_GB2312" w:cs="仿宋_GB2312"/>
          <w:color w:val="000000"/>
          <w:sz w:val="32"/>
          <w:szCs w:val="32"/>
        </w:rPr>
        <w:t>元，不动产登记工作接待费</w:t>
      </w:r>
      <w:r>
        <w:rPr>
          <w:rFonts w:hint="eastAsia" w:ascii="仿宋_GB2312" w:hAnsi="仿宋_GB2312" w:eastAsia="仿宋_GB2312" w:cs="仿宋_GB2312"/>
          <w:color w:val="000000"/>
          <w:sz w:val="32"/>
          <w:szCs w:val="32"/>
          <w:lang w:val="en-US" w:eastAsia="zh-CN"/>
        </w:rPr>
        <w:t>0.6万</w:t>
      </w:r>
      <w:r>
        <w:rPr>
          <w:rFonts w:hint="eastAsia" w:ascii="仿宋_GB2312" w:hAnsi="仿宋_GB2312" w:eastAsia="仿宋_GB2312" w:cs="仿宋_GB2312"/>
          <w:color w:val="000000"/>
          <w:sz w:val="32"/>
          <w:szCs w:val="32"/>
        </w:rPr>
        <w:t>元，地理测绘工作接待费</w:t>
      </w:r>
      <w:r>
        <w:rPr>
          <w:rFonts w:hint="eastAsia" w:ascii="仿宋_GB2312" w:hAnsi="仿宋_GB2312" w:eastAsia="仿宋_GB2312" w:cs="仿宋_GB2312"/>
          <w:color w:val="000000"/>
          <w:sz w:val="32"/>
          <w:szCs w:val="32"/>
          <w:lang w:val="en-US" w:eastAsia="zh-CN"/>
        </w:rPr>
        <w:t>0.36万</w:t>
      </w:r>
      <w:r>
        <w:rPr>
          <w:rFonts w:hint="eastAsia" w:ascii="仿宋_GB2312" w:hAnsi="仿宋_GB2312" w:eastAsia="仿宋_GB2312" w:cs="仿宋_GB2312"/>
          <w:color w:val="000000"/>
          <w:sz w:val="32"/>
          <w:szCs w:val="32"/>
        </w:rPr>
        <w:t>元。</w:t>
      </w:r>
    </w:p>
    <w:p>
      <w:pPr>
        <w:keepNext w:val="0"/>
        <w:keepLines w:val="0"/>
        <w:pageBreakBefore w:val="0"/>
        <w:widowControl w:val="0"/>
        <w:kinsoku/>
        <w:wordWrap/>
        <w:overflowPunct/>
        <w:topLinePunct w:val="0"/>
        <w:bidi w:val="0"/>
        <w:snapToGrid/>
        <w:spacing w:line="576" w:lineRule="exact"/>
        <w:ind w:left="0" w:leftChars="0" w:right="0" w:firstLine="643" w:firstLineChars="200"/>
        <w:textAlignment w:val="auto"/>
        <w:rPr>
          <w:rFonts w:ascii="仿宋_GB2312" w:eastAsia="仿宋_GB2312"/>
          <w:color w:val="auto"/>
          <w:sz w:val="32"/>
          <w:szCs w:val="32"/>
          <w:highlight w:val="none"/>
        </w:rPr>
      </w:pPr>
      <w:r>
        <w:rPr>
          <w:rFonts w:hint="eastAsia" w:ascii="仿宋" w:hAnsi="仿宋" w:eastAsia="仿宋"/>
          <w:b/>
          <w:color w:val="auto"/>
          <w:sz w:val="32"/>
          <w:szCs w:val="32"/>
          <w:highlight w:val="none"/>
        </w:rPr>
        <w:t>外事接待支出</w:t>
      </w:r>
      <w:r>
        <w:rPr>
          <w:rFonts w:hint="eastAsia" w:ascii="仿宋" w:hAnsi="仿宋" w:eastAsia="仿宋"/>
          <w:b/>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eastAsia="zh-CN"/>
        </w:rPr>
        <w:t>。</w:t>
      </w:r>
    </w:p>
    <w:p>
      <w:pPr>
        <w:keepNext w:val="0"/>
        <w:keepLines w:val="0"/>
        <w:pageBreakBefore w:val="0"/>
        <w:widowControl w:val="0"/>
        <w:kinsoku/>
        <w:wordWrap/>
        <w:overflowPunct/>
        <w:topLinePunct w:val="0"/>
        <w:bidi w:val="0"/>
        <w:snapToGrid/>
        <w:spacing w:line="576" w:lineRule="exact"/>
        <w:ind w:left="0" w:leftChars="0" w:right="0" w:firstLine="640" w:firstLineChars="200"/>
        <w:textAlignment w:val="auto"/>
        <w:outlineLvl w:val="1"/>
        <w:rPr>
          <w:rStyle w:val="25"/>
          <w:rFonts w:ascii="黑体" w:hAnsi="黑体" w:eastAsia="黑体"/>
          <w:color w:val="auto"/>
          <w:highlight w:val="none"/>
        </w:rPr>
      </w:pPr>
      <w:bookmarkStart w:id="48" w:name="_Toc15377218"/>
      <w:bookmarkStart w:id="49" w:name="_Toc15396610"/>
      <w:r>
        <w:rPr>
          <w:rFonts w:hint="eastAsia" w:ascii="黑体" w:eastAsia="黑体"/>
          <w:color w:val="auto"/>
          <w:sz w:val="32"/>
          <w:szCs w:val="32"/>
          <w:highlight w:val="none"/>
        </w:rPr>
        <w:t>八、</w:t>
      </w:r>
      <w:r>
        <w:rPr>
          <w:rStyle w:val="25"/>
          <w:rFonts w:hint="eastAsia" w:ascii="黑体" w:hAnsi="黑体" w:eastAsia="黑体"/>
          <w:b w:val="0"/>
          <w:color w:val="auto"/>
          <w:highlight w:val="none"/>
        </w:rPr>
        <w:t>政府性基金预算支出决算情况说明</w:t>
      </w:r>
      <w:bookmarkEnd w:id="48"/>
      <w:bookmarkEnd w:id="49"/>
    </w:p>
    <w:p>
      <w:pPr>
        <w:keepNext w:val="0"/>
        <w:keepLines w:val="0"/>
        <w:pageBreakBefore w:val="0"/>
        <w:widowControl w:val="0"/>
        <w:kinsoku/>
        <w:wordWrap/>
        <w:overflowPunct/>
        <w:topLinePunct w:val="0"/>
        <w:bidi w:val="0"/>
        <w:snapToGrid/>
        <w:spacing w:line="576" w:lineRule="exact"/>
        <w:ind w:left="0" w:leftChars="0" w:right="0" w:firstLine="640" w:firstLineChars="200"/>
        <w:textAlignment w:val="auto"/>
        <w:rPr>
          <w:rFonts w:hint="default" w:ascii="仿宋_GB2312" w:eastAsia="仿宋_GB2312"/>
          <w:color w:val="auto"/>
          <w:sz w:val="32"/>
          <w:szCs w:val="32"/>
          <w:highlight w:val="none"/>
          <w:lang w:val="en-US" w:eastAsia="zh-CN"/>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年政府性基金预算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6947.01</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val="en-US" w:eastAsia="zh-CN"/>
        </w:rPr>
        <w:t>未在政府基金预算中安排三公经费支出。</w:t>
      </w:r>
    </w:p>
    <w:p>
      <w:pPr>
        <w:keepNext w:val="0"/>
        <w:keepLines w:val="0"/>
        <w:pageBreakBefore w:val="0"/>
        <w:widowControl w:val="0"/>
        <w:numPr>
          <w:ilvl w:val="0"/>
          <w:numId w:val="1"/>
        </w:numPr>
        <w:kinsoku/>
        <w:wordWrap/>
        <w:overflowPunct/>
        <w:topLinePunct w:val="0"/>
        <w:bidi w:val="0"/>
        <w:snapToGrid/>
        <w:spacing w:line="576" w:lineRule="exact"/>
        <w:ind w:left="0" w:leftChars="0" w:right="0" w:firstLine="640" w:firstLineChars="200"/>
        <w:textAlignment w:val="auto"/>
        <w:outlineLvl w:val="1"/>
        <w:rPr>
          <w:rStyle w:val="25"/>
          <w:rFonts w:ascii="黑体" w:hAnsi="黑体" w:eastAsia="黑体"/>
          <w:b w:val="0"/>
          <w:color w:val="auto"/>
          <w:highlight w:val="none"/>
        </w:rPr>
      </w:pPr>
      <w:bookmarkStart w:id="50" w:name="_Toc15377219"/>
      <w:bookmarkStart w:id="51" w:name="_Toc15396611"/>
      <w:r>
        <w:rPr>
          <w:rStyle w:val="25"/>
          <w:rFonts w:hint="eastAsia" w:ascii="黑体" w:hAnsi="黑体" w:eastAsia="黑体"/>
          <w:b w:val="0"/>
          <w:color w:val="auto"/>
          <w:highlight w:val="none"/>
        </w:rPr>
        <w:t>国有资本经营预算支出决算情况说明</w:t>
      </w:r>
      <w:bookmarkEnd w:id="50"/>
      <w:bookmarkEnd w:id="51"/>
    </w:p>
    <w:p>
      <w:pPr>
        <w:keepNext w:val="0"/>
        <w:keepLines w:val="0"/>
        <w:pageBreakBefore w:val="0"/>
        <w:widowControl w:val="0"/>
        <w:kinsoku/>
        <w:wordWrap/>
        <w:overflowPunct/>
        <w:topLinePunct w:val="0"/>
        <w:bidi w:val="0"/>
        <w:snapToGrid/>
        <w:spacing w:line="576" w:lineRule="exact"/>
        <w:ind w:left="0" w:leftChars="0" w:right="0" w:firstLine="640" w:firstLineChars="200"/>
        <w:textAlignment w:val="auto"/>
        <w:rPr>
          <w:rFonts w:hint="eastAsia"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年国有资本经营预算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bookmarkStart w:id="52" w:name="_Toc15396612"/>
      <w:bookmarkStart w:id="53" w:name="_Toc15377221"/>
    </w:p>
    <w:p>
      <w:pPr>
        <w:keepNext w:val="0"/>
        <w:keepLines w:val="0"/>
        <w:pageBreakBefore w:val="0"/>
        <w:widowControl w:val="0"/>
        <w:numPr>
          <w:ilvl w:val="0"/>
          <w:numId w:val="1"/>
        </w:numPr>
        <w:kinsoku/>
        <w:wordWrap/>
        <w:overflowPunct/>
        <w:topLinePunct w:val="0"/>
        <w:bidi w:val="0"/>
        <w:snapToGrid/>
        <w:spacing w:line="576" w:lineRule="exact"/>
        <w:ind w:left="0" w:leftChars="0" w:right="0" w:firstLine="640" w:firstLineChars="200"/>
        <w:textAlignment w:val="auto"/>
        <w:outlineLvl w:val="1"/>
        <w:rPr>
          <w:rStyle w:val="25"/>
          <w:rFonts w:hint="eastAsia" w:ascii="黑体" w:hAnsi="黑体" w:eastAsia="黑体"/>
          <w:b w:val="0"/>
          <w:color w:val="auto"/>
          <w:highlight w:val="none"/>
        </w:rPr>
      </w:pPr>
      <w:r>
        <w:rPr>
          <w:rStyle w:val="25"/>
          <w:rFonts w:hint="eastAsia" w:ascii="黑体" w:hAnsi="黑体" w:eastAsia="黑体"/>
          <w:b w:val="0"/>
          <w:color w:val="auto"/>
          <w:highlight w:val="none"/>
          <w:lang w:val="en-US" w:eastAsia="zh-CN"/>
        </w:rPr>
        <w:t>预算绩效管理情况</w:t>
      </w:r>
    </w:p>
    <w:p>
      <w:pPr>
        <w:keepNext w:val="0"/>
        <w:keepLines w:val="0"/>
        <w:pageBreakBefore w:val="0"/>
        <w:widowControl w:val="0"/>
        <w:numPr>
          <w:ilvl w:val="0"/>
          <w:numId w:val="0"/>
        </w:numPr>
        <w:kinsoku/>
        <w:wordWrap/>
        <w:overflowPunct/>
        <w:topLinePunct w:val="0"/>
        <w:bidi w:val="0"/>
        <w:snapToGrid/>
        <w:spacing w:line="576" w:lineRule="exact"/>
        <w:ind w:left="0" w:leftChars="0" w:right="0" w:firstLine="640" w:firstLineChars="200"/>
        <w:textAlignment w:val="auto"/>
        <w:outlineLvl w:val="1"/>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根据预算绩效管理要求，本部门在</w:t>
      </w:r>
      <w:r>
        <w:rPr>
          <w:rFonts w:hint="eastAsia" w:ascii="仿宋_GB2312" w:hAnsi="仿宋_GB2312" w:eastAsia="仿宋_GB2312" w:cs="仿宋_GB2312"/>
          <w:color w:val="auto"/>
          <w:sz w:val="32"/>
          <w:szCs w:val="32"/>
          <w:highlight w:val="none"/>
          <w:lang w:val="en-US" w:eastAsia="zh-CN"/>
        </w:rPr>
        <w:t>2021年度</w:t>
      </w:r>
      <w:r>
        <w:rPr>
          <w:rFonts w:hint="eastAsia" w:ascii="仿宋_GB2312" w:hAnsi="仿宋_GB2312" w:eastAsia="仿宋_GB2312" w:cs="仿宋_GB2312"/>
          <w:color w:val="auto"/>
          <w:sz w:val="32"/>
          <w:szCs w:val="32"/>
          <w:highlight w:val="none"/>
        </w:rPr>
        <w:t>预算编制阶段，</w:t>
      </w:r>
      <w:r>
        <w:rPr>
          <w:rFonts w:hint="eastAsia" w:ascii="仿宋_GB2312" w:hAnsi="仿宋_GB2312" w:eastAsia="仿宋_GB2312" w:cs="仿宋_GB2312"/>
          <w:color w:val="auto"/>
          <w:sz w:val="32"/>
          <w:szCs w:val="32"/>
          <w:highlight w:val="none"/>
          <w:lang w:val="en-US" w:eastAsia="zh-CN"/>
        </w:rPr>
        <w:t>未</w:t>
      </w:r>
      <w:r>
        <w:rPr>
          <w:rFonts w:hint="eastAsia" w:ascii="仿宋_GB2312" w:hAnsi="仿宋_GB2312" w:eastAsia="仿宋_GB2312" w:cs="仿宋_GB2312"/>
          <w:color w:val="auto"/>
          <w:sz w:val="32"/>
          <w:szCs w:val="32"/>
          <w:highlight w:val="none"/>
        </w:rPr>
        <w:t>开展预算事前绩效评估，对</w:t>
      </w:r>
      <w:r>
        <w:rPr>
          <w:rFonts w:hint="eastAsia" w:ascii="仿宋_GB2312" w:hAnsi="仿宋_GB2312" w:eastAsia="仿宋_GB2312" w:cs="仿宋_GB2312"/>
          <w:color w:val="auto"/>
          <w:sz w:val="32"/>
          <w:szCs w:val="32"/>
          <w:highlight w:val="none"/>
          <w:lang w:val="en-US" w:eastAsia="zh-CN"/>
        </w:rPr>
        <w:t>13</w:t>
      </w:r>
      <w:r>
        <w:rPr>
          <w:rFonts w:hint="eastAsia" w:ascii="仿宋_GB2312" w:hAnsi="仿宋_GB2312" w:eastAsia="仿宋_GB2312" w:cs="仿宋_GB2312"/>
          <w:color w:val="auto"/>
          <w:sz w:val="32"/>
          <w:szCs w:val="32"/>
          <w:highlight w:val="none"/>
        </w:rPr>
        <w:t>个项目编制了绩效目标，预算执行过程中，选取</w:t>
      </w:r>
      <w:r>
        <w:rPr>
          <w:rFonts w:hint="eastAsia" w:ascii="仿宋_GB2312" w:hAnsi="仿宋_GB2312" w:eastAsia="仿宋_GB2312" w:cs="仿宋_GB2312"/>
          <w:color w:val="auto"/>
          <w:sz w:val="32"/>
          <w:szCs w:val="32"/>
          <w:highlight w:val="none"/>
          <w:lang w:val="en-US" w:eastAsia="zh-CN"/>
        </w:rPr>
        <w:t>13</w:t>
      </w:r>
      <w:r>
        <w:rPr>
          <w:rFonts w:hint="eastAsia" w:ascii="仿宋_GB2312" w:hAnsi="仿宋_GB2312" w:eastAsia="仿宋_GB2312" w:cs="仿宋_GB2312"/>
          <w:color w:val="auto"/>
          <w:sz w:val="32"/>
          <w:szCs w:val="32"/>
          <w:highlight w:val="none"/>
        </w:rPr>
        <w:t>个项目开展绩效监控，年终执行完毕后，对</w:t>
      </w:r>
      <w:r>
        <w:rPr>
          <w:rFonts w:hint="eastAsia" w:ascii="仿宋_GB2312" w:hAnsi="仿宋_GB2312" w:eastAsia="仿宋_GB2312" w:cs="仿宋_GB2312"/>
          <w:color w:val="auto"/>
          <w:sz w:val="32"/>
          <w:szCs w:val="32"/>
          <w:highlight w:val="none"/>
          <w:lang w:val="en-US" w:eastAsia="zh-CN"/>
        </w:rPr>
        <w:t>13</w:t>
      </w:r>
      <w:r>
        <w:rPr>
          <w:rFonts w:hint="eastAsia" w:ascii="仿宋_GB2312" w:hAnsi="仿宋_GB2312" w:eastAsia="仿宋_GB2312" w:cs="仿宋_GB2312"/>
          <w:color w:val="auto"/>
          <w:sz w:val="32"/>
          <w:szCs w:val="32"/>
          <w:highlight w:val="none"/>
        </w:rPr>
        <w:t>个项目开展了绩效自评</w:t>
      </w:r>
      <w:r>
        <w:rPr>
          <w:rFonts w:hint="eastAsia" w:ascii="仿宋_GB2312" w:hAnsi="仿宋_GB2312" w:eastAsia="仿宋_GB2312" w:cs="仿宋_GB2312"/>
          <w:color w:val="auto"/>
          <w:sz w:val="32"/>
          <w:szCs w:val="32"/>
          <w:highlight w:val="none"/>
          <w:lang w:eastAsia="zh-CN"/>
        </w:rPr>
        <w:t>。同时，</w:t>
      </w:r>
      <w:r>
        <w:rPr>
          <w:rFonts w:hint="eastAsia" w:ascii="仿宋_GB2312" w:hAnsi="仿宋_GB2312" w:eastAsia="仿宋_GB2312" w:cs="仿宋_GB2312"/>
          <w:color w:val="auto"/>
          <w:sz w:val="32"/>
          <w:szCs w:val="32"/>
          <w:highlight w:val="none"/>
        </w:rPr>
        <w:t>本部门对20</w:t>
      </w:r>
      <w:r>
        <w:rPr>
          <w:rFonts w:hint="eastAsia" w:ascii="仿宋_GB2312" w:hAnsi="仿宋_GB2312" w:eastAsia="仿宋_GB2312" w:cs="仿宋_GB2312"/>
          <w:color w:val="auto"/>
          <w:sz w:val="32"/>
          <w:szCs w:val="32"/>
          <w:highlight w:val="none"/>
          <w:lang w:val="en-US" w:eastAsia="zh-CN"/>
        </w:rPr>
        <w:t>21</w:t>
      </w:r>
      <w:r>
        <w:rPr>
          <w:rFonts w:hint="eastAsia" w:ascii="仿宋_GB2312" w:hAnsi="仿宋_GB2312" w:eastAsia="仿宋_GB2312" w:cs="仿宋_GB2312"/>
          <w:color w:val="auto"/>
          <w:sz w:val="32"/>
          <w:szCs w:val="32"/>
          <w:highlight w:val="none"/>
        </w:rPr>
        <w:t>年部门整体开展绩效自评，《202</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广元市自然资源局</w:t>
      </w:r>
      <w:r>
        <w:rPr>
          <w:rFonts w:hint="eastAsia" w:ascii="仿宋_GB2312" w:hAnsi="仿宋_GB2312" w:eastAsia="仿宋_GB2312" w:cs="仿宋_GB2312"/>
          <w:color w:val="auto"/>
          <w:sz w:val="32"/>
          <w:szCs w:val="32"/>
          <w:highlight w:val="none"/>
        </w:rPr>
        <w:t>部门整体绩效评价报告》见附件（</w:t>
      </w:r>
      <w:r>
        <w:rPr>
          <w:rFonts w:hint="eastAsia" w:ascii="仿宋_GB2312" w:hAnsi="仿宋_GB2312" w:eastAsia="仿宋_GB2312" w:cs="仿宋_GB2312"/>
          <w:color w:val="auto"/>
          <w:sz w:val="32"/>
          <w:szCs w:val="32"/>
          <w:highlight w:val="none"/>
          <w:lang w:eastAsia="zh-CN"/>
        </w:rPr>
        <w:t>第四部分</w:t>
      </w:r>
      <w:r>
        <w:rPr>
          <w:rFonts w:hint="eastAsia" w:ascii="仿宋_GB2312" w:hAnsi="仿宋_GB2312" w:eastAsia="仿宋_GB2312" w:cs="仿宋_GB2312"/>
          <w:color w:val="auto"/>
          <w:sz w:val="32"/>
          <w:szCs w:val="32"/>
          <w:highlight w:val="none"/>
        </w:rPr>
        <w:t>）。</w:t>
      </w:r>
    </w:p>
    <w:p>
      <w:pPr>
        <w:keepNext w:val="0"/>
        <w:keepLines w:val="0"/>
        <w:pageBreakBefore w:val="0"/>
        <w:widowControl w:val="0"/>
        <w:numPr>
          <w:ilvl w:val="0"/>
          <w:numId w:val="1"/>
        </w:numPr>
        <w:kinsoku/>
        <w:wordWrap/>
        <w:overflowPunct/>
        <w:topLinePunct w:val="0"/>
        <w:bidi w:val="0"/>
        <w:snapToGrid/>
        <w:spacing w:line="576" w:lineRule="exact"/>
        <w:ind w:left="0" w:leftChars="0" w:right="0" w:firstLine="640" w:firstLineChars="200"/>
        <w:textAlignment w:val="auto"/>
        <w:outlineLvl w:val="1"/>
        <w:rPr>
          <w:rStyle w:val="25"/>
          <w:rFonts w:hint="eastAsia" w:ascii="黑体" w:hAnsi="黑体" w:eastAsia="黑体"/>
          <w:b w:val="0"/>
          <w:color w:val="auto"/>
          <w:highlight w:val="none"/>
        </w:rPr>
      </w:pPr>
      <w:r>
        <w:rPr>
          <w:rStyle w:val="25"/>
          <w:rFonts w:hint="eastAsia" w:ascii="黑体" w:hAnsi="黑体" w:eastAsia="黑体"/>
          <w:b w:val="0"/>
          <w:color w:val="auto"/>
          <w:highlight w:val="none"/>
        </w:rPr>
        <w:t>其他重要事项的情况说明</w:t>
      </w:r>
      <w:bookmarkEnd w:id="52"/>
      <w:bookmarkEnd w:id="53"/>
    </w:p>
    <w:p>
      <w:pPr>
        <w:keepNext w:val="0"/>
        <w:keepLines w:val="0"/>
        <w:pageBreakBefore w:val="0"/>
        <w:widowControl w:val="0"/>
        <w:kinsoku/>
        <w:wordWrap/>
        <w:overflowPunct/>
        <w:topLinePunct w:val="0"/>
        <w:bidi w:val="0"/>
        <w:snapToGrid/>
        <w:spacing w:line="576" w:lineRule="exact"/>
        <w:ind w:left="0" w:leftChars="0" w:right="0" w:firstLine="640" w:firstLineChars="200"/>
        <w:textAlignment w:val="auto"/>
        <w:outlineLvl w:val="2"/>
        <w:rPr>
          <w:rFonts w:hint="eastAsia" w:ascii="楷体_GB2312" w:hAnsi="楷体_GB2312" w:eastAsia="楷体_GB2312" w:cs="楷体_GB2312"/>
          <w:b w:val="0"/>
          <w:bCs/>
          <w:color w:val="auto"/>
          <w:sz w:val="32"/>
          <w:szCs w:val="32"/>
          <w:highlight w:val="none"/>
        </w:rPr>
      </w:pPr>
      <w:bookmarkStart w:id="54" w:name="_Toc15377222"/>
      <w:r>
        <w:rPr>
          <w:rFonts w:hint="eastAsia" w:ascii="楷体_GB2312" w:hAnsi="楷体_GB2312" w:eastAsia="楷体_GB2312" w:cs="楷体_GB2312"/>
          <w:b w:val="0"/>
          <w:bCs/>
          <w:color w:val="auto"/>
          <w:sz w:val="32"/>
          <w:szCs w:val="32"/>
          <w:highlight w:val="none"/>
        </w:rPr>
        <w:t>（一）机关运行经费支出情况</w:t>
      </w:r>
      <w:bookmarkEnd w:id="54"/>
    </w:p>
    <w:p>
      <w:pPr>
        <w:keepNext w:val="0"/>
        <w:keepLines w:val="0"/>
        <w:pageBreakBefore w:val="0"/>
        <w:widowControl w:val="0"/>
        <w:kinsoku/>
        <w:wordWrap/>
        <w:overflowPunct/>
        <w:topLinePunct w:val="0"/>
        <w:bidi w:val="0"/>
        <w:snapToGrid/>
        <w:spacing w:line="576" w:lineRule="exact"/>
        <w:ind w:left="0" w:leftChars="0" w:right="0" w:firstLine="640" w:firstLineChars="200"/>
        <w:textAlignment w:val="auto"/>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广元市自然资源局</w:t>
      </w:r>
      <w:r>
        <w:rPr>
          <w:rFonts w:hint="eastAsia" w:ascii="仿宋_GB2312" w:eastAsia="仿宋_GB2312"/>
          <w:color w:val="auto"/>
          <w:sz w:val="32"/>
          <w:szCs w:val="32"/>
          <w:highlight w:val="none"/>
        </w:rPr>
        <w:t>机关运行经费支出</w:t>
      </w:r>
      <w:r>
        <w:rPr>
          <w:rFonts w:hint="eastAsia" w:ascii="仿宋_GB2312" w:eastAsia="仿宋_GB2312"/>
          <w:color w:val="auto"/>
          <w:sz w:val="32"/>
          <w:szCs w:val="32"/>
          <w:highlight w:val="none"/>
          <w:lang w:val="en-US" w:eastAsia="zh-CN"/>
        </w:rPr>
        <w:t>253.56</w:t>
      </w:r>
      <w:r>
        <w:rPr>
          <w:rFonts w:hint="eastAsia" w:ascii="仿宋_GB2312" w:eastAsia="仿宋_GB2312"/>
          <w:color w:val="auto"/>
          <w:sz w:val="32"/>
          <w:szCs w:val="32"/>
          <w:highlight w:val="none"/>
        </w:rPr>
        <w:t>万元，比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20</w:t>
      </w:r>
      <w:r>
        <w:rPr>
          <w:rFonts w:hint="eastAsia" w:ascii="仿宋_GB2312" w:eastAsia="仿宋_GB2312"/>
          <w:color w:val="auto"/>
          <w:sz w:val="32"/>
          <w:szCs w:val="32"/>
          <w:highlight w:val="none"/>
        </w:rPr>
        <w:t>年增加</w:t>
      </w:r>
      <w:r>
        <w:rPr>
          <w:rFonts w:hint="eastAsia" w:ascii="仿宋_GB2312" w:eastAsia="仿宋_GB2312"/>
          <w:color w:val="auto"/>
          <w:sz w:val="32"/>
          <w:szCs w:val="32"/>
          <w:highlight w:val="none"/>
          <w:lang w:val="en-US" w:eastAsia="zh-CN"/>
        </w:rPr>
        <w:t>32.51</w:t>
      </w:r>
      <w:r>
        <w:rPr>
          <w:rFonts w:hint="eastAsia" w:ascii="仿宋_GB2312" w:eastAsia="仿宋_GB2312"/>
          <w:color w:val="auto"/>
          <w:sz w:val="32"/>
          <w:szCs w:val="32"/>
          <w:highlight w:val="none"/>
        </w:rPr>
        <w:t>万元，增长</w:t>
      </w:r>
      <w:r>
        <w:rPr>
          <w:rFonts w:hint="eastAsia" w:ascii="仿宋_GB2312" w:eastAsia="仿宋_GB2312"/>
          <w:color w:val="auto"/>
          <w:sz w:val="32"/>
          <w:szCs w:val="32"/>
          <w:highlight w:val="none"/>
          <w:lang w:val="en-US" w:eastAsia="zh-CN"/>
        </w:rPr>
        <w:t>15.48</w:t>
      </w:r>
      <w:r>
        <w:rPr>
          <w:rFonts w:ascii="仿宋_GB2312" w:eastAsia="仿宋_GB2312"/>
          <w:color w:val="auto"/>
          <w:sz w:val="32"/>
          <w:szCs w:val="32"/>
          <w:highlight w:val="none"/>
        </w:rPr>
        <w:t>%</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主要原因是</w:t>
      </w:r>
      <w:r>
        <w:rPr>
          <w:rFonts w:hint="eastAsia" w:ascii="仿宋_GB2312" w:eastAsia="仿宋_GB2312"/>
          <w:color w:val="auto"/>
          <w:sz w:val="32"/>
          <w:szCs w:val="32"/>
          <w:highlight w:val="none"/>
          <w:lang w:val="en-US" w:eastAsia="zh-CN"/>
        </w:rPr>
        <w:t>部门职能职责增加，经费增加。</w:t>
      </w:r>
    </w:p>
    <w:p>
      <w:pPr>
        <w:keepNext w:val="0"/>
        <w:keepLines w:val="0"/>
        <w:pageBreakBefore w:val="0"/>
        <w:widowControl w:val="0"/>
        <w:kinsoku/>
        <w:wordWrap/>
        <w:overflowPunct/>
        <w:topLinePunct w:val="0"/>
        <w:bidi w:val="0"/>
        <w:snapToGrid/>
        <w:spacing w:line="576" w:lineRule="exact"/>
        <w:ind w:left="0" w:leftChars="0" w:right="0" w:firstLine="640" w:firstLineChars="200"/>
        <w:textAlignment w:val="auto"/>
        <w:outlineLvl w:val="2"/>
        <w:rPr>
          <w:rFonts w:hint="eastAsia" w:ascii="楷体_GB2312" w:hAnsi="楷体_GB2312" w:eastAsia="楷体_GB2312" w:cs="楷体_GB2312"/>
          <w:b w:val="0"/>
          <w:bCs/>
          <w:color w:val="auto"/>
          <w:sz w:val="32"/>
          <w:szCs w:val="32"/>
          <w:highlight w:val="none"/>
        </w:rPr>
      </w:pPr>
      <w:bookmarkStart w:id="55" w:name="_Toc15377223"/>
      <w:r>
        <w:rPr>
          <w:rFonts w:hint="eastAsia" w:ascii="楷体_GB2312" w:hAnsi="楷体_GB2312" w:eastAsia="楷体_GB2312" w:cs="楷体_GB2312"/>
          <w:b w:val="0"/>
          <w:bCs/>
          <w:color w:val="auto"/>
          <w:sz w:val="32"/>
          <w:szCs w:val="32"/>
          <w:highlight w:val="none"/>
        </w:rPr>
        <w:t>（二）政府采购支出情况</w:t>
      </w:r>
      <w:bookmarkEnd w:id="55"/>
    </w:p>
    <w:p>
      <w:pPr>
        <w:keepNext w:val="0"/>
        <w:keepLines w:val="0"/>
        <w:pageBreakBefore w:val="0"/>
        <w:widowControl w:val="0"/>
        <w:kinsoku/>
        <w:wordWrap/>
        <w:overflowPunct/>
        <w:topLinePunct w:val="0"/>
        <w:bidi w:val="0"/>
        <w:snapToGrid/>
        <w:spacing w:line="576" w:lineRule="exact"/>
        <w:ind w:left="0" w:leftChars="0" w:right="0" w:firstLine="640" w:firstLineChars="200"/>
        <w:textAlignment w:val="auto"/>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广元市自然资源局</w:t>
      </w:r>
      <w:r>
        <w:rPr>
          <w:rFonts w:hint="eastAsia" w:ascii="仿宋_GB2312" w:eastAsia="仿宋_GB2312"/>
          <w:color w:val="auto"/>
          <w:sz w:val="32"/>
          <w:szCs w:val="32"/>
          <w:highlight w:val="none"/>
        </w:rPr>
        <w:t>政府采购支出总额</w:t>
      </w:r>
      <w:r>
        <w:rPr>
          <w:rFonts w:hint="eastAsia" w:ascii="仿宋_GB2312" w:eastAsia="仿宋_GB2312"/>
          <w:color w:val="auto"/>
          <w:sz w:val="32"/>
          <w:szCs w:val="32"/>
          <w:highlight w:val="none"/>
          <w:lang w:val="en-US" w:eastAsia="zh-CN"/>
        </w:rPr>
        <w:t>1080.48</w:t>
      </w:r>
      <w:r>
        <w:rPr>
          <w:rFonts w:hint="eastAsia" w:ascii="仿宋_GB2312" w:eastAsia="仿宋_GB2312"/>
          <w:color w:val="auto"/>
          <w:sz w:val="32"/>
          <w:szCs w:val="32"/>
          <w:highlight w:val="none"/>
        </w:rPr>
        <w:t>万元，其中：政府采购货物支出</w:t>
      </w:r>
      <w:r>
        <w:rPr>
          <w:rFonts w:hint="eastAsia" w:ascii="仿宋_GB2312" w:eastAsia="仿宋_GB2312"/>
          <w:color w:val="auto"/>
          <w:sz w:val="32"/>
          <w:szCs w:val="32"/>
          <w:highlight w:val="none"/>
          <w:lang w:val="en-US" w:eastAsia="zh-CN"/>
        </w:rPr>
        <w:t>136.37</w:t>
      </w:r>
      <w:r>
        <w:rPr>
          <w:rFonts w:hint="eastAsia" w:ascii="仿宋_GB2312" w:eastAsia="仿宋_GB2312"/>
          <w:color w:val="auto"/>
          <w:sz w:val="32"/>
          <w:szCs w:val="32"/>
          <w:highlight w:val="none"/>
        </w:rPr>
        <w:t>万元、政府采购服务支出</w:t>
      </w:r>
      <w:r>
        <w:rPr>
          <w:rFonts w:hint="eastAsia" w:ascii="仿宋_GB2312" w:eastAsia="仿宋_GB2312"/>
          <w:color w:val="auto"/>
          <w:sz w:val="32"/>
          <w:szCs w:val="32"/>
          <w:highlight w:val="none"/>
          <w:lang w:val="en-US" w:eastAsia="zh-CN"/>
        </w:rPr>
        <w:t>944.11</w:t>
      </w:r>
      <w:r>
        <w:rPr>
          <w:rFonts w:hint="eastAsia" w:ascii="仿宋_GB2312" w:eastAsia="仿宋_GB2312"/>
          <w:color w:val="auto"/>
          <w:sz w:val="32"/>
          <w:szCs w:val="32"/>
          <w:highlight w:val="none"/>
        </w:rPr>
        <w:t>万元。主要用于</w:t>
      </w:r>
      <w:r>
        <w:rPr>
          <w:rFonts w:hint="eastAsia" w:ascii="仿宋_GB2312" w:eastAsia="仿宋_GB2312"/>
          <w:color w:val="auto"/>
          <w:sz w:val="32"/>
          <w:szCs w:val="32"/>
          <w:highlight w:val="none"/>
          <w:lang w:val="en-US" w:eastAsia="zh-CN"/>
        </w:rPr>
        <w:t>国土空间规划一张图硬件升级、服务采购，“天地图.广元”地理信息公共服务平台建设资金采购、广元市山水林田湖草生态保护实施方案编制费采购、不动产登记项目采购及日常办公设备采购</w:t>
      </w:r>
      <w:r>
        <w:rPr>
          <w:rFonts w:hint="eastAsia" w:ascii="仿宋_GB2312" w:eastAsia="仿宋_GB2312"/>
          <w:color w:val="auto"/>
          <w:sz w:val="32"/>
          <w:szCs w:val="32"/>
          <w:highlight w:val="none"/>
        </w:rPr>
        <w:t>。授予中小企业合同金额</w:t>
      </w:r>
      <w:r>
        <w:rPr>
          <w:rFonts w:hint="eastAsia" w:ascii="仿宋_GB2312" w:eastAsia="仿宋_GB2312"/>
          <w:color w:val="auto"/>
          <w:sz w:val="32"/>
          <w:szCs w:val="32"/>
          <w:highlight w:val="none"/>
          <w:lang w:val="en-US" w:eastAsia="zh-CN"/>
        </w:rPr>
        <w:t>26.73</w:t>
      </w:r>
      <w:r>
        <w:rPr>
          <w:rFonts w:hint="eastAsia" w:ascii="仿宋_GB2312" w:eastAsia="仿宋_GB2312"/>
          <w:color w:val="auto"/>
          <w:sz w:val="32"/>
          <w:szCs w:val="32"/>
          <w:highlight w:val="none"/>
        </w:rPr>
        <w:t>万元，占政府采购支出总额的</w:t>
      </w:r>
      <w:r>
        <w:rPr>
          <w:rFonts w:hint="eastAsia" w:ascii="仿宋_GB2312" w:eastAsia="仿宋_GB2312"/>
          <w:color w:val="auto"/>
          <w:sz w:val="32"/>
          <w:szCs w:val="32"/>
          <w:highlight w:val="none"/>
          <w:lang w:val="en-US" w:eastAsia="zh-CN"/>
        </w:rPr>
        <w:t>24.74</w:t>
      </w:r>
      <w:r>
        <w:rPr>
          <w:rFonts w:ascii="仿宋_GB2312" w:eastAsia="仿宋_GB2312"/>
          <w:color w:val="auto"/>
          <w:sz w:val="32"/>
          <w:szCs w:val="32"/>
          <w:highlight w:val="none"/>
        </w:rPr>
        <w:t>%</w:t>
      </w:r>
      <w:r>
        <w:rPr>
          <w:rFonts w:hint="eastAsia" w:ascii="仿宋_GB2312" w:eastAsia="仿宋_GB2312"/>
          <w:color w:val="auto"/>
          <w:sz w:val="32"/>
          <w:szCs w:val="32"/>
          <w:highlight w:val="none"/>
        </w:rPr>
        <w:t>，其中：授予小微企业合同金额</w:t>
      </w:r>
      <w:r>
        <w:rPr>
          <w:rFonts w:hint="eastAsia" w:ascii="仿宋_GB2312" w:eastAsia="仿宋_GB2312"/>
          <w:color w:val="auto"/>
          <w:sz w:val="32"/>
          <w:szCs w:val="32"/>
          <w:highlight w:val="none"/>
          <w:lang w:val="en-US" w:eastAsia="zh-CN"/>
        </w:rPr>
        <w:t>26.73</w:t>
      </w:r>
      <w:r>
        <w:rPr>
          <w:rFonts w:hint="eastAsia" w:ascii="仿宋_GB2312" w:eastAsia="仿宋_GB2312"/>
          <w:color w:val="auto"/>
          <w:sz w:val="32"/>
          <w:szCs w:val="32"/>
          <w:highlight w:val="none"/>
        </w:rPr>
        <w:t>万元，占政府采购支出总额的</w:t>
      </w:r>
      <w:r>
        <w:rPr>
          <w:rFonts w:hint="eastAsia" w:ascii="仿宋_GB2312" w:eastAsia="仿宋_GB2312"/>
          <w:color w:val="auto"/>
          <w:sz w:val="32"/>
          <w:szCs w:val="32"/>
          <w:highlight w:val="none"/>
          <w:lang w:val="en-US" w:eastAsia="zh-CN"/>
        </w:rPr>
        <w:t>26.73</w:t>
      </w:r>
      <w:r>
        <w:rPr>
          <w:rFonts w:ascii="仿宋_GB2312" w:eastAsia="仿宋_GB2312"/>
          <w:color w:val="auto"/>
          <w:sz w:val="32"/>
          <w:szCs w:val="32"/>
          <w:highlight w:val="none"/>
        </w:rPr>
        <w:t>%</w:t>
      </w:r>
      <w:r>
        <w:rPr>
          <w:rFonts w:hint="eastAsia" w:ascii="仿宋_GB2312" w:eastAsia="仿宋_GB2312"/>
          <w:color w:val="auto"/>
          <w:sz w:val="32"/>
          <w:szCs w:val="32"/>
          <w:highlight w:val="none"/>
        </w:rPr>
        <w:t>。</w:t>
      </w:r>
    </w:p>
    <w:p>
      <w:pPr>
        <w:keepNext w:val="0"/>
        <w:keepLines w:val="0"/>
        <w:pageBreakBefore w:val="0"/>
        <w:widowControl w:val="0"/>
        <w:kinsoku/>
        <w:wordWrap/>
        <w:overflowPunct/>
        <w:topLinePunct w:val="0"/>
        <w:bidi w:val="0"/>
        <w:snapToGrid/>
        <w:spacing w:line="576" w:lineRule="exact"/>
        <w:ind w:left="0" w:leftChars="0" w:right="0" w:firstLine="640" w:firstLineChars="200"/>
        <w:textAlignment w:val="auto"/>
        <w:outlineLvl w:val="2"/>
        <w:rPr>
          <w:rFonts w:hint="eastAsia" w:ascii="楷体_GB2312" w:hAnsi="楷体_GB2312" w:eastAsia="楷体_GB2312" w:cs="楷体_GB2312"/>
          <w:b w:val="0"/>
          <w:bCs/>
          <w:color w:val="auto"/>
          <w:sz w:val="32"/>
          <w:szCs w:val="32"/>
          <w:highlight w:val="none"/>
        </w:rPr>
      </w:pPr>
      <w:bookmarkStart w:id="56" w:name="_Toc15377224"/>
      <w:r>
        <w:rPr>
          <w:rFonts w:hint="eastAsia" w:ascii="楷体_GB2312" w:hAnsi="楷体_GB2312" w:eastAsia="楷体_GB2312" w:cs="楷体_GB2312"/>
          <w:b w:val="0"/>
          <w:bCs/>
          <w:color w:val="auto"/>
          <w:sz w:val="32"/>
          <w:szCs w:val="32"/>
          <w:highlight w:val="none"/>
        </w:rPr>
        <w:t>（三）国有资产占有使用情况</w:t>
      </w:r>
      <w:bookmarkEnd w:id="56"/>
    </w:p>
    <w:p>
      <w:pPr>
        <w:keepNext w:val="0"/>
        <w:keepLines w:val="0"/>
        <w:pageBreakBefore w:val="0"/>
        <w:widowControl w:val="0"/>
        <w:kinsoku/>
        <w:wordWrap/>
        <w:overflowPunct/>
        <w:topLinePunct w:val="0"/>
        <w:autoSpaceDE w:val="0"/>
        <w:autoSpaceDN w:val="0"/>
        <w:bidi w:val="0"/>
        <w:adjustRightInd w:val="0"/>
        <w:snapToGrid/>
        <w:spacing w:line="576" w:lineRule="exact"/>
        <w:ind w:left="0" w:leftChars="0" w:right="0" w:firstLine="640" w:firstLineChars="200"/>
        <w:jc w:val="left"/>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w:t>
      </w:r>
      <w:r>
        <w:rPr>
          <w:rFonts w:ascii="仿宋_GB2312" w:eastAsia="仿宋_GB2312"/>
          <w:color w:val="auto"/>
          <w:sz w:val="32"/>
          <w:szCs w:val="32"/>
          <w:highlight w:val="none"/>
        </w:rPr>
        <w:t>31</w:t>
      </w:r>
      <w:r>
        <w:rPr>
          <w:rFonts w:hint="eastAsia" w:ascii="仿宋_GB2312" w:eastAsia="仿宋_GB2312"/>
          <w:color w:val="auto"/>
          <w:sz w:val="32"/>
          <w:szCs w:val="32"/>
          <w:highlight w:val="none"/>
        </w:rPr>
        <w:t>日，</w:t>
      </w:r>
      <w:r>
        <w:rPr>
          <w:rFonts w:hint="eastAsia" w:ascii="仿宋_GB2312" w:eastAsia="仿宋_GB2312"/>
          <w:color w:val="auto"/>
          <w:sz w:val="32"/>
          <w:szCs w:val="32"/>
          <w:highlight w:val="none"/>
          <w:lang w:val="en-US" w:eastAsia="zh-CN"/>
        </w:rPr>
        <w:t>广元市自然资源局</w:t>
      </w:r>
      <w:r>
        <w:rPr>
          <w:rFonts w:hint="eastAsia" w:ascii="仿宋_GB2312" w:eastAsia="仿宋_GB2312"/>
          <w:color w:val="auto"/>
          <w:sz w:val="32"/>
          <w:szCs w:val="32"/>
          <w:highlight w:val="none"/>
        </w:rPr>
        <w:t>共有车辆</w:t>
      </w:r>
      <w:r>
        <w:rPr>
          <w:rFonts w:hint="eastAsia" w:ascii="仿宋_GB2312" w:eastAsia="仿宋_GB2312"/>
          <w:color w:val="auto"/>
          <w:sz w:val="32"/>
          <w:szCs w:val="32"/>
          <w:highlight w:val="none"/>
          <w:lang w:val="en-US" w:eastAsia="zh-CN"/>
        </w:rPr>
        <w:t>9</w:t>
      </w:r>
      <w:r>
        <w:rPr>
          <w:rFonts w:hint="eastAsia" w:ascii="仿宋_GB2312" w:eastAsia="仿宋_GB2312"/>
          <w:color w:val="auto"/>
          <w:sz w:val="32"/>
          <w:szCs w:val="32"/>
          <w:highlight w:val="none"/>
        </w:rPr>
        <w:t>辆，其中：</w:t>
      </w:r>
      <w:r>
        <w:rPr>
          <w:rFonts w:hint="eastAsia" w:ascii="仿宋_GB2312" w:eastAsia="仿宋_GB2312"/>
          <w:color w:val="auto"/>
          <w:sz w:val="32"/>
          <w:szCs w:val="32"/>
          <w:highlight w:val="none"/>
          <w:lang w:val="en-US" w:eastAsia="zh-CN"/>
        </w:rPr>
        <w:t>特种专用车1辆，</w:t>
      </w:r>
      <w:r>
        <w:rPr>
          <w:rFonts w:hint="eastAsia" w:ascii="仿宋_GB2312" w:eastAsia="仿宋_GB2312"/>
          <w:color w:val="auto"/>
          <w:sz w:val="32"/>
          <w:szCs w:val="32"/>
          <w:highlight w:val="none"/>
        </w:rPr>
        <w:t>其他用车</w:t>
      </w:r>
      <w:r>
        <w:rPr>
          <w:rFonts w:hint="eastAsia" w:ascii="仿宋_GB2312" w:eastAsia="仿宋_GB2312"/>
          <w:color w:val="auto"/>
          <w:sz w:val="32"/>
          <w:szCs w:val="32"/>
          <w:highlight w:val="none"/>
          <w:lang w:val="en-US" w:eastAsia="zh-CN"/>
        </w:rPr>
        <w:t>8</w:t>
      </w:r>
      <w:r>
        <w:rPr>
          <w:rFonts w:hint="eastAsia" w:ascii="仿宋_GB2312" w:eastAsia="仿宋_GB2312"/>
          <w:color w:val="auto"/>
          <w:sz w:val="32"/>
          <w:szCs w:val="32"/>
          <w:highlight w:val="none"/>
        </w:rPr>
        <w:t>辆</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其他用车主要是用于</w:t>
      </w:r>
      <w:r>
        <w:rPr>
          <w:rFonts w:hint="eastAsia" w:ascii="仿宋_GB2312" w:eastAsia="仿宋_GB2312"/>
          <w:color w:val="auto"/>
          <w:sz w:val="32"/>
          <w:szCs w:val="32"/>
          <w:highlight w:val="none"/>
          <w:lang w:val="en-US" w:eastAsia="zh-CN"/>
        </w:rPr>
        <w:t>一般公务、业务用车。</w:t>
      </w:r>
      <w:r>
        <w:rPr>
          <w:rFonts w:hint="eastAsia" w:ascii="仿宋_GB2312" w:eastAsia="仿宋_GB2312"/>
          <w:color w:val="auto"/>
          <w:sz w:val="32"/>
          <w:szCs w:val="32"/>
          <w:highlight w:val="none"/>
        </w:rPr>
        <w:t>单价</w:t>
      </w:r>
      <w:r>
        <w:rPr>
          <w:rFonts w:ascii="仿宋_GB2312" w:eastAsia="仿宋_GB2312"/>
          <w:color w:val="auto"/>
          <w:sz w:val="32"/>
          <w:szCs w:val="32"/>
          <w:highlight w:val="none"/>
        </w:rPr>
        <w:t>50</w:t>
      </w:r>
      <w:r>
        <w:rPr>
          <w:rFonts w:hint="eastAsia" w:ascii="仿宋_GB2312" w:eastAsia="仿宋_GB2312"/>
          <w:color w:val="auto"/>
          <w:sz w:val="32"/>
          <w:szCs w:val="32"/>
          <w:highlight w:val="none"/>
        </w:rPr>
        <w:t>万元以上通用设备</w:t>
      </w:r>
      <w:r>
        <w:rPr>
          <w:rFonts w:hint="eastAsia" w:ascii="仿宋_GB2312" w:eastAsia="仿宋_GB2312"/>
          <w:color w:val="auto"/>
          <w:sz w:val="32"/>
          <w:szCs w:val="32"/>
          <w:highlight w:val="none"/>
          <w:lang w:val="en-US" w:eastAsia="zh-CN"/>
        </w:rPr>
        <w:t>4</w:t>
      </w:r>
      <w:r>
        <w:rPr>
          <w:rFonts w:hint="eastAsia" w:ascii="仿宋_GB2312" w:eastAsia="仿宋_GB2312"/>
          <w:color w:val="auto"/>
          <w:sz w:val="32"/>
          <w:szCs w:val="32"/>
          <w:highlight w:val="none"/>
        </w:rPr>
        <w:t>台（套），单价</w:t>
      </w:r>
      <w:r>
        <w:rPr>
          <w:rFonts w:ascii="仿宋_GB2312" w:eastAsia="仿宋_GB2312"/>
          <w:color w:val="auto"/>
          <w:sz w:val="32"/>
          <w:szCs w:val="32"/>
          <w:highlight w:val="none"/>
        </w:rPr>
        <w:t>100</w:t>
      </w:r>
      <w:r>
        <w:rPr>
          <w:rFonts w:hint="eastAsia" w:ascii="仿宋_GB2312" w:eastAsia="仿宋_GB2312"/>
          <w:color w:val="auto"/>
          <w:sz w:val="32"/>
          <w:szCs w:val="32"/>
          <w:highlight w:val="none"/>
        </w:rPr>
        <w:t>万元以上专用设备</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台（套）。</w:t>
      </w:r>
    </w:p>
    <w:p>
      <w:pPr>
        <w:keepNext w:val="0"/>
        <w:keepLines w:val="0"/>
        <w:pageBreakBefore w:val="0"/>
        <w:widowControl w:val="0"/>
        <w:kinsoku/>
        <w:wordWrap/>
        <w:overflowPunct/>
        <w:topLinePunct w:val="0"/>
        <w:bidi w:val="0"/>
        <w:snapToGrid/>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br w:type="page"/>
      </w:r>
    </w:p>
    <w:p>
      <w:pPr>
        <w:keepNext w:val="0"/>
        <w:keepLines w:val="0"/>
        <w:pageBreakBefore w:val="0"/>
        <w:widowControl w:val="0"/>
        <w:numPr>
          <w:ilvl w:val="0"/>
          <w:numId w:val="2"/>
        </w:numPr>
        <w:kinsoku/>
        <w:wordWrap/>
        <w:overflowPunct/>
        <w:topLinePunct w:val="0"/>
        <w:bidi w:val="0"/>
        <w:snapToGrid/>
        <w:spacing w:line="576" w:lineRule="exact"/>
        <w:ind w:left="0" w:leftChars="0" w:right="0" w:firstLine="660" w:firstLineChars="150"/>
        <w:jc w:val="center"/>
        <w:textAlignment w:val="auto"/>
        <w:outlineLvl w:val="0"/>
        <w:rPr>
          <w:rStyle w:val="24"/>
          <w:rFonts w:ascii="黑体" w:hAnsi="黑体" w:eastAsia="黑体"/>
          <w:b w:val="0"/>
          <w:color w:val="auto"/>
          <w:highlight w:val="none"/>
        </w:rPr>
      </w:pPr>
      <w:bookmarkStart w:id="57" w:name="_Toc15396613"/>
      <w:bookmarkStart w:id="58" w:name="_Toc15377225"/>
      <w:r>
        <w:rPr>
          <w:rFonts w:hint="eastAsia" w:ascii="黑体" w:hAnsi="黑体" w:eastAsia="黑体"/>
          <w:color w:val="auto"/>
          <w:sz w:val="44"/>
          <w:szCs w:val="44"/>
          <w:highlight w:val="none"/>
        </w:rPr>
        <w:t>名</w:t>
      </w:r>
      <w:r>
        <w:rPr>
          <w:rStyle w:val="24"/>
          <w:rFonts w:hint="eastAsia" w:ascii="黑体" w:hAnsi="黑体" w:eastAsia="黑体"/>
          <w:b w:val="0"/>
          <w:color w:val="auto"/>
          <w:highlight w:val="none"/>
        </w:rPr>
        <w:t>词解释</w:t>
      </w:r>
      <w:bookmarkEnd w:id="57"/>
      <w:bookmarkEnd w:id="58"/>
    </w:p>
    <w:p>
      <w:pPr>
        <w:keepNext w:val="0"/>
        <w:keepLines w:val="0"/>
        <w:pageBreakBefore w:val="0"/>
        <w:widowControl w:val="0"/>
        <w:kinsoku/>
        <w:wordWrap/>
        <w:overflowPunct/>
        <w:topLinePunct w:val="0"/>
        <w:bidi w:val="0"/>
        <w:snapToGrid/>
        <w:spacing w:line="576" w:lineRule="exact"/>
        <w:ind w:left="0" w:leftChars="0" w:right="0"/>
        <w:jc w:val="left"/>
        <w:textAlignment w:val="auto"/>
        <w:rPr>
          <w:rFonts w:ascii="宋体"/>
          <w:b/>
          <w:color w:val="auto"/>
          <w:sz w:val="44"/>
          <w:szCs w:val="44"/>
          <w:highlight w:val="none"/>
        </w:rPr>
      </w:pPr>
    </w:p>
    <w:p>
      <w:pPr>
        <w:pStyle w:val="22"/>
        <w:keepNext w:val="0"/>
        <w:keepLines w:val="0"/>
        <w:pageBreakBefore w:val="0"/>
        <w:widowControl w:val="0"/>
        <w:kinsoku/>
        <w:wordWrap/>
        <w:overflowPunct/>
        <w:topLinePunct w:val="0"/>
        <w:bidi w:val="0"/>
        <w:snapToGrid/>
        <w:spacing w:line="576" w:lineRule="exact"/>
        <w:ind w:left="0" w:leftChars="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1.财政拨款收入：指单位从同级财政部门取得的财政预算资金。</w:t>
      </w:r>
    </w:p>
    <w:p>
      <w:pPr>
        <w:pStyle w:val="22"/>
        <w:keepNext w:val="0"/>
        <w:keepLines w:val="0"/>
        <w:pageBreakBefore w:val="0"/>
        <w:widowControl w:val="0"/>
        <w:kinsoku/>
        <w:wordWrap/>
        <w:overflowPunct/>
        <w:topLinePunct w:val="0"/>
        <w:bidi w:val="0"/>
        <w:snapToGrid/>
        <w:spacing w:line="576" w:lineRule="exact"/>
        <w:ind w:left="0" w:leftChars="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2.其他收入：指单位取得的除上述收入以外的各项收入。主要是单位银行存款利息和财政未通过大平台拨付的项目资金。</w:t>
      </w:r>
    </w:p>
    <w:p>
      <w:pPr>
        <w:pStyle w:val="22"/>
        <w:keepNext w:val="0"/>
        <w:keepLines w:val="0"/>
        <w:pageBreakBefore w:val="0"/>
        <w:widowControl w:val="0"/>
        <w:kinsoku/>
        <w:wordWrap/>
        <w:overflowPunct/>
        <w:topLinePunct w:val="0"/>
        <w:bidi w:val="0"/>
        <w:snapToGrid/>
        <w:spacing w:line="576" w:lineRule="exact"/>
        <w:ind w:left="0" w:leftChars="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3.年初结转和结余：指以前年度尚未完成、结转到本年按有关规定继续使用的资金。</w:t>
      </w:r>
    </w:p>
    <w:p>
      <w:pPr>
        <w:pStyle w:val="22"/>
        <w:keepNext w:val="0"/>
        <w:keepLines w:val="0"/>
        <w:pageBreakBefore w:val="0"/>
        <w:widowControl w:val="0"/>
        <w:kinsoku/>
        <w:wordWrap/>
        <w:overflowPunct/>
        <w:topLinePunct w:val="0"/>
        <w:bidi w:val="0"/>
        <w:snapToGrid/>
        <w:spacing w:line="576" w:lineRule="exact"/>
        <w:ind w:left="0" w:leftChars="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4.年末结转和结余：指单位按有关规定结转到下年或以后年度继续使用的资金。</w:t>
      </w:r>
    </w:p>
    <w:p>
      <w:pPr>
        <w:pStyle w:val="22"/>
        <w:keepNext w:val="0"/>
        <w:keepLines w:val="0"/>
        <w:pageBreakBefore w:val="0"/>
        <w:widowControl w:val="0"/>
        <w:kinsoku/>
        <w:wordWrap/>
        <w:overflowPunct/>
        <w:topLinePunct w:val="0"/>
        <w:bidi w:val="0"/>
        <w:snapToGrid/>
        <w:spacing w:line="576" w:lineRule="exact"/>
        <w:ind w:left="0" w:leftChars="0" w:right="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社会保障和就业</w:t>
      </w:r>
      <w:r>
        <w:rPr>
          <w:rFonts w:hint="eastAsia" w:ascii="仿宋_GB2312" w:hAnsi="仿宋_GB2312" w:eastAsia="仿宋_GB2312" w:cs="仿宋_GB2312"/>
          <w:sz w:val="32"/>
          <w:szCs w:val="32"/>
          <w:lang w:val="en-US" w:eastAsia="zh-CN"/>
        </w:rPr>
        <w:t>支出</w:t>
      </w:r>
      <w:r>
        <w:rPr>
          <w:rFonts w:hint="eastAsia" w:ascii="仿宋_GB2312" w:hAnsi="仿宋_GB2312" w:eastAsia="仿宋_GB2312" w:cs="仿宋_GB2312"/>
          <w:sz w:val="32"/>
          <w:szCs w:val="32"/>
        </w:rPr>
        <w:t>（类）</w:t>
      </w:r>
      <w:r>
        <w:rPr>
          <w:rFonts w:hint="eastAsia" w:ascii="仿宋_GB2312" w:hAnsi="仿宋_GB2312" w:eastAsia="仿宋_GB2312" w:cs="仿宋_GB2312"/>
          <w:sz w:val="32"/>
          <w:szCs w:val="32"/>
          <w:lang w:val="en-US" w:eastAsia="zh-CN"/>
        </w:rPr>
        <w:t>人力资源和社会保障管理事务</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val="en-US" w:eastAsia="zh-CN"/>
        </w:rPr>
        <w:t>其他人力资源和社会保障管理事务</w:t>
      </w:r>
      <w:r>
        <w:rPr>
          <w:rFonts w:hint="eastAsia" w:ascii="仿宋_GB2312" w:hAnsi="仿宋_GB2312" w:eastAsia="仿宋_GB2312" w:cs="仿宋_GB2312"/>
          <w:sz w:val="32"/>
          <w:szCs w:val="32"/>
        </w:rPr>
        <w:t>支出（项）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指引进人才的安家补助和生活补助。</w:t>
      </w:r>
    </w:p>
    <w:p>
      <w:pPr>
        <w:pStyle w:val="22"/>
        <w:keepNext w:val="0"/>
        <w:keepLines w:val="0"/>
        <w:pageBreakBefore w:val="0"/>
        <w:widowControl w:val="0"/>
        <w:kinsoku/>
        <w:wordWrap/>
        <w:overflowPunct/>
        <w:topLinePunct w:val="0"/>
        <w:bidi w:val="0"/>
        <w:snapToGrid/>
        <w:spacing w:line="576" w:lineRule="exact"/>
        <w:ind w:left="0" w:leftChars="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.社会保障和就业</w:t>
      </w:r>
      <w:r>
        <w:rPr>
          <w:rFonts w:hint="eastAsia" w:ascii="仿宋_GB2312" w:hAnsi="仿宋_GB2312" w:eastAsia="仿宋_GB2312" w:cs="仿宋_GB2312"/>
          <w:sz w:val="32"/>
          <w:szCs w:val="32"/>
          <w:lang w:val="en-US" w:eastAsia="zh-CN"/>
        </w:rPr>
        <w:t>支出</w:t>
      </w:r>
      <w:r>
        <w:rPr>
          <w:rFonts w:hint="eastAsia" w:ascii="仿宋_GB2312" w:hAnsi="仿宋_GB2312" w:eastAsia="仿宋_GB2312" w:cs="仿宋_GB2312"/>
          <w:sz w:val="32"/>
          <w:szCs w:val="32"/>
        </w:rPr>
        <w:t>（类）行政事业单位离退休（款）机关事业单位基本养老保险缴费支出（项）:指机关事业单位实施养老保险制度由单位缴纳的基本养老保险费支出。</w:t>
      </w:r>
    </w:p>
    <w:p>
      <w:pPr>
        <w:pStyle w:val="22"/>
        <w:keepNext w:val="0"/>
        <w:keepLines w:val="0"/>
        <w:pageBreakBefore w:val="0"/>
        <w:widowControl w:val="0"/>
        <w:kinsoku/>
        <w:wordWrap/>
        <w:overflowPunct/>
        <w:topLinePunct w:val="0"/>
        <w:bidi w:val="0"/>
        <w:snapToGrid/>
        <w:spacing w:line="576" w:lineRule="exact"/>
        <w:ind w:left="0" w:leftChars="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.社会保障和就业</w:t>
      </w:r>
      <w:r>
        <w:rPr>
          <w:rFonts w:hint="eastAsia" w:ascii="仿宋_GB2312" w:hAnsi="仿宋_GB2312" w:eastAsia="仿宋_GB2312" w:cs="仿宋_GB2312"/>
          <w:sz w:val="32"/>
          <w:szCs w:val="32"/>
          <w:lang w:val="en-US" w:eastAsia="zh-CN"/>
        </w:rPr>
        <w:t>支出</w:t>
      </w:r>
      <w:r>
        <w:rPr>
          <w:rFonts w:hint="eastAsia" w:ascii="仿宋_GB2312" w:hAnsi="仿宋_GB2312" w:eastAsia="仿宋_GB2312" w:cs="仿宋_GB2312"/>
          <w:sz w:val="32"/>
          <w:szCs w:val="32"/>
        </w:rPr>
        <w:t>（类）行政事业单位离退休（款）机关事业单位职业年金缴费支出（项）:指机关事业单位实施养老保险制度由单位实际缴纳的职业年金支出。</w:t>
      </w:r>
    </w:p>
    <w:p>
      <w:pPr>
        <w:pStyle w:val="22"/>
        <w:keepNext w:val="0"/>
        <w:keepLines w:val="0"/>
        <w:pageBreakBefore w:val="0"/>
        <w:widowControl w:val="0"/>
        <w:kinsoku/>
        <w:wordWrap/>
        <w:overflowPunct/>
        <w:topLinePunct w:val="0"/>
        <w:bidi w:val="0"/>
        <w:snapToGrid/>
        <w:spacing w:line="576" w:lineRule="exact"/>
        <w:ind w:left="0" w:leftChars="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.社会保障和就业</w:t>
      </w:r>
      <w:r>
        <w:rPr>
          <w:rFonts w:hint="eastAsia" w:ascii="仿宋_GB2312" w:hAnsi="仿宋_GB2312" w:eastAsia="仿宋_GB2312" w:cs="仿宋_GB2312"/>
          <w:sz w:val="32"/>
          <w:szCs w:val="32"/>
          <w:lang w:val="en-US" w:eastAsia="zh-CN"/>
        </w:rPr>
        <w:t>支出</w:t>
      </w:r>
      <w:r>
        <w:rPr>
          <w:rFonts w:hint="eastAsia" w:ascii="仿宋_GB2312" w:hAnsi="仿宋_GB2312" w:eastAsia="仿宋_GB2312" w:cs="仿宋_GB2312"/>
          <w:sz w:val="32"/>
          <w:szCs w:val="32"/>
        </w:rPr>
        <w:t>（类）抚恤（款）死亡抚恤（项）：指反映按规定用于烈士牺牲、病故人员家属的一次性和定期抚恤金以及丧葬补助费。</w:t>
      </w:r>
    </w:p>
    <w:p>
      <w:pPr>
        <w:pStyle w:val="22"/>
        <w:keepNext w:val="0"/>
        <w:keepLines w:val="0"/>
        <w:pageBreakBefore w:val="0"/>
        <w:widowControl w:val="0"/>
        <w:kinsoku/>
        <w:wordWrap/>
        <w:overflowPunct/>
        <w:topLinePunct w:val="0"/>
        <w:bidi w:val="0"/>
        <w:snapToGrid/>
        <w:spacing w:line="576" w:lineRule="exact"/>
        <w:ind w:left="0" w:leftChars="0" w:right="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社会保障和就业</w:t>
      </w:r>
      <w:r>
        <w:rPr>
          <w:rFonts w:hint="eastAsia" w:ascii="仿宋_GB2312" w:hAnsi="仿宋_GB2312" w:eastAsia="仿宋_GB2312" w:cs="仿宋_GB2312"/>
          <w:sz w:val="32"/>
          <w:szCs w:val="32"/>
          <w:lang w:val="en-US" w:eastAsia="zh-CN"/>
        </w:rPr>
        <w:t>支出（类）其他</w:t>
      </w:r>
      <w:r>
        <w:rPr>
          <w:rFonts w:hint="eastAsia" w:ascii="仿宋_GB2312" w:hAnsi="仿宋_GB2312" w:eastAsia="仿宋_GB2312" w:cs="仿宋_GB2312"/>
          <w:sz w:val="32"/>
          <w:szCs w:val="32"/>
        </w:rPr>
        <w:t>社会保障和就业</w:t>
      </w:r>
      <w:r>
        <w:rPr>
          <w:rFonts w:hint="eastAsia" w:ascii="仿宋_GB2312" w:hAnsi="仿宋_GB2312" w:eastAsia="仿宋_GB2312" w:cs="仿宋_GB2312"/>
          <w:sz w:val="32"/>
          <w:szCs w:val="32"/>
          <w:lang w:val="en-US" w:eastAsia="zh-CN"/>
        </w:rPr>
        <w:t>支出（款）其他</w:t>
      </w:r>
      <w:r>
        <w:rPr>
          <w:rFonts w:hint="eastAsia" w:ascii="仿宋_GB2312" w:hAnsi="仿宋_GB2312" w:eastAsia="仿宋_GB2312" w:cs="仿宋_GB2312"/>
          <w:sz w:val="32"/>
          <w:szCs w:val="32"/>
        </w:rPr>
        <w:t>社会保障和就业</w:t>
      </w:r>
      <w:r>
        <w:rPr>
          <w:rFonts w:hint="eastAsia" w:ascii="仿宋_GB2312" w:hAnsi="仿宋_GB2312" w:eastAsia="仿宋_GB2312" w:cs="仿宋_GB2312"/>
          <w:sz w:val="32"/>
          <w:szCs w:val="32"/>
          <w:lang w:val="en-US" w:eastAsia="zh-CN"/>
        </w:rPr>
        <w:t>支出（项）：指退休“中人”人员一次性补助支出。</w:t>
      </w:r>
    </w:p>
    <w:p>
      <w:pPr>
        <w:pStyle w:val="22"/>
        <w:keepNext w:val="0"/>
        <w:keepLines w:val="0"/>
        <w:pageBreakBefore w:val="0"/>
        <w:widowControl w:val="0"/>
        <w:kinsoku/>
        <w:wordWrap/>
        <w:overflowPunct/>
        <w:topLinePunct w:val="0"/>
        <w:bidi w:val="0"/>
        <w:snapToGrid/>
        <w:spacing w:line="576" w:lineRule="exact"/>
        <w:ind w:left="0" w:leftChars="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8.卫生健康</w:t>
      </w:r>
      <w:r>
        <w:rPr>
          <w:rFonts w:hint="eastAsia" w:ascii="仿宋_GB2312" w:hAnsi="仿宋_GB2312" w:eastAsia="仿宋_GB2312" w:cs="仿宋_GB2312"/>
          <w:sz w:val="32"/>
          <w:szCs w:val="32"/>
          <w:lang w:val="en-US" w:eastAsia="zh-CN"/>
        </w:rPr>
        <w:t>支出</w:t>
      </w:r>
      <w:r>
        <w:rPr>
          <w:rFonts w:hint="eastAsia" w:ascii="仿宋_GB2312" w:hAnsi="仿宋_GB2312" w:eastAsia="仿宋_GB2312" w:cs="仿宋_GB2312"/>
          <w:sz w:val="32"/>
          <w:szCs w:val="32"/>
        </w:rPr>
        <w:t>（类）行政事业单位医疗（款）行政单位医疗（项）：指局机关用于缴纳单位基本医疗保险支出。</w:t>
      </w:r>
    </w:p>
    <w:p>
      <w:pPr>
        <w:pStyle w:val="22"/>
        <w:keepNext w:val="0"/>
        <w:keepLines w:val="0"/>
        <w:pageBreakBefore w:val="0"/>
        <w:widowControl w:val="0"/>
        <w:kinsoku/>
        <w:wordWrap/>
        <w:overflowPunct/>
        <w:topLinePunct w:val="0"/>
        <w:bidi w:val="0"/>
        <w:snapToGrid/>
        <w:spacing w:line="576" w:lineRule="exact"/>
        <w:ind w:left="0" w:leftChars="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9.卫生健康</w:t>
      </w:r>
      <w:r>
        <w:rPr>
          <w:rFonts w:hint="eastAsia" w:ascii="仿宋_GB2312" w:hAnsi="仿宋_GB2312" w:eastAsia="仿宋_GB2312" w:cs="仿宋_GB2312"/>
          <w:sz w:val="32"/>
          <w:szCs w:val="32"/>
          <w:lang w:val="en-US" w:eastAsia="zh-CN"/>
        </w:rPr>
        <w:t>支出</w:t>
      </w:r>
      <w:r>
        <w:rPr>
          <w:rFonts w:hint="eastAsia" w:ascii="仿宋_GB2312" w:hAnsi="仿宋_GB2312" w:eastAsia="仿宋_GB2312" w:cs="仿宋_GB2312"/>
          <w:sz w:val="32"/>
          <w:szCs w:val="32"/>
        </w:rPr>
        <w:t>（类）行政事业单位医疗（款）事业单位医疗（项）：指事业单位用于缴纳单位基本医疗保险支出。</w:t>
      </w:r>
    </w:p>
    <w:p>
      <w:pPr>
        <w:pStyle w:val="22"/>
        <w:pageBreakBefore w:val="0"/>
        <w:kinsoku/>
        <w:wordWrap/>
        <w:overflowPunct/>
        <w:topLinePunct w:val="0"/>
        <w:bidi w:val="0"/>
        <w:spacing w:line="576" w:lineRule="exact"/>
        <w:ind w:left="0" w:leftChars="0" w:righ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10.城区社区</w:t>
      </w:r>
      <w:r>
        <w:rPr>
          <w:rFonts w:hint="eastAsia" w:ascii="仿宋_GB2312" w:hAnsi="仿宋_GB2312" w:eastAsia="仿宋_GB2312" w:cs="仿宋_GB2312"/>
          <w:sz w:val="32"/>
          <w:szCs w:val="32"/>
          <w:lang w:val="en-US" w:eastAsia="zh-CN"/>
        </w:rPr>
        <w:t>支出</w:t>
      </w:r>
      <w:r>
        <w:rPr>
          <w:rFonts w:hint="eastAsia" w:ascii="仿宋_GB2312" w:hAnsi="仿宋_GB2312" w:eastAsia="仿宋_GB2312" w:cs="仿宋_GB2312"/>
          <w:sz w:val="32"/>
          <w:szCs w:val="32"/>
        </w:rPr>
        <w:t>（类）</w:t>
      </w:r>
      <w:r>
        <w:rPr>
          <w:rFonts w:hint="eastAsia" w:ascii="仿宋_GB2312" w:hAnsi="仿宋_GB2312" w:eastAsia="仿宋_GB2312" w:cs="仿宋_GB2312"/>
          <w:sz w:val="32"/>
          <w:szCs w:val="32"/>
          <w:lang w:val="en-US" w:eastAsia="zh-CN"/>
        </w:rPr>
        <w:t>国有土地使用权出让安排的支出</w:t>
      </w:r>
      <w:r>
        <w:rPr>
          <w:rFonts w:hint="eastAsia" w:ascii="仿宋_GB2312" w:hAnsi="仿宋_GB2312" w:eastAsia="仿宋_GB2312" w:cs="仿宋_GB2312"/>
          <w:sz w:val="32"/>
          <w:szCs w:val="32"/>
        </w:rPr>
        <w:t>（款）土地开发（项）：指土地开发及出让项目发生的业务支出</w:t>
      </w:r>
      <w:r>
        <w:rPr>
          <w:rFonts w:hint="eastAsia" w:ascii="仿宋_GB2312" w:hAnsi="仿宋_GB2312" w:eastAsia="仿宋_GB2312" w:cs="仿宋_GB2312"/>
          <w:sz w:val="32"/>
          <w:szCs w:val="32"/>
          <w:lang w:eastAsia="zh-CN"/>
        </w:rPr>
        <w:t>。</w:t>
      </w:r>
    </w:p>
    <w:p>
      <w:pPr>
        <w:pStyle w:val="22"/>
        <w:pageBreakBefore w:val="0"/>
        <w:kinsoku/>
        <w:wordWrap/>
        <w:overflowPunct/>
        <w:topLinePunct w:val="0"/>
        <w:bidi w:val="0"/>
        <w:spacing w:line="576" w:lineRule="exact"/>
        <w:ind w:left="0" w:leftChars="0" w:righ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城区社区</w:t>
      </w:r>
      <w:r>
        <w:rPr>
          <w:rFonts w:hint="eastAsia" w:ascii="仿宋_GB2312" w:hAnsi="仿宋_GB2312" w:eastAsia="仿宋_GB2312" w:cs="仿宋_GB2312"/>
          <w:sz w:val="32"/>
          <w:szCs w:val="32"/>
          <w:lang w:val="en-US" w:eastAsia="zh-CN"/>
        </w:rPr>
        <w:t>支出</w:t>
      </w:r>
      <w:r>
        <w:rPr>
          <w:rFonts w:hint="eastAsia" w:ascii="仿宋_GB2312" w:hAnsi="仿宋_GB2312" w:eastAsia="仿宋_GB2312" w:cs="仿宋_GB2312"/>
          <w:sz w:val="32"/>
          <w:szCs w:val="32"/>
        </w:rPr>
        <w:t>（类）</w:t>
      </w:r>
      <w:r>
        <w:rPr>
          <w:rFonts w:hint="eastAsia" w:ascii="仿宋_GB2312" w:hAnsi="仿宋_GB2312" w:eastAsia="仿宋_GB2312" w:cs="仿宋_GB2312"/>
          <w:sz w:val="32"/>
          <w:szCs w:val="32"/>
          <w:lang w:val="en-US" w:eastAsia="zh-CN"/>
        </w:rPr>
        <w:t>国有土地使用权出让安排的支出</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val="en-US" w:eastAsia="zh-CN"/>
        </w:rPr>
        <w:t>征地拆迁补偿</w:t>
      </w:r>
      <w:r>
        <w:rPr>
          <w:rFonts w:hint="eastAsia" w:ascii="仿宋_GB2312" w:hAnsi="仿宋_GB2312" w:eastAsia="仿宋_GB2312" w:cs="仿宋_GB2312"/>
          <w:sz w:val="32"/>
          <w:szCs w:val="32"/>
        </w:rPr>
        <w:t>支出（项）：</w:t>
      </w:r>
      <w:r>
        <w:rPr>
          <w:rFonts w:hint="eastAsia" w:ascii="仿宋_GB2312" w:hAnsi="仿宋_GB2312" w:eastAsia="仿宋_GB2312" w:cs="仿宋_GB2312"/>
          <w:sz w:val="32"/>
          <w:szCs w:val="32"/>
          <w:lang w:val="en-US" w:eastAsia="zh-CN"/>
        </w:rPr>
        <w:t>指征</w:t>
      </w:r>
      <w:r>
        <w:rPr>
          <w:rFonts w:hint="eastAsia" w:ascii="仿宋_GB2312" w:hAnsi="仿宋_GB2312" w:eastAsia="仿宋_GB2312" w:cs="仿宋_GB2312"/>
          <w:sz w:val="32"/>
          <w:szCs w:val="32"/>
        </w:rPr>
        <w:t>土地开发及出让项目发生的土地拆迁补偿支出</w:t>
      </w:r>
      <w:r>
        <w:rPr>
          <w:rFonts w:hint="eastAsia" w:ascii="仿宋_GB2312" w:hAnsi="仿宋_GB2312" w:eastAsia="仿宋_GB2312" w:cs="仿宋_GB2312"/>
          <w:sz w:val="32"/>
          <w:szCs w:val="32"/>
          <w:lang w:eastAsia="zh-CN"/>
        </w:rPr>
        <w:t>。</w:t>
      </w:r>
    </w:p>
    <w:p>
      <w:pPr>
        <w:pStyle w:val="22"/>
        <w:pageBreakBefore w:val="0"/>
        <w:kinsoku/>
        <w:wordWrap/>
        <w:overflowPunct/>
        <w:topLinePunct w:val="0"/>
        <w:bidi w:val="0"/>
        <w:spacing w:line="576" w:lineRule="exact"/>
        <w:ind w:left="0" w:leftChars="0" w:righ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城区社区</w:t>
      </w:r>
      <w:r>
        <w:rPr>
          <w:rFonts w:hint="eastAsia" w:ascii="仿宋_GB2312" w:hAnsi="仿宋_GB2312" w:eastAsia="仿宋_GB2312" w:cs="仿宋_GB2312"/>
          <w:sz w:val="32"/>
          <w:szCs w:val="32"/>
          <w:lang w:val="en-US" w:eastAsia="zh-CN"/>
        </w:rPr>
        <w:t>支出</w:t>
      </w:r>
      <w:r>
        <w:rPr>
          <w:rFonts w:hint="eastAsia" w:ascii="仿宋_GB2312" w:hAnsi="仿宋_GB2312" w:eastAsia="仿宋_GB2312" w:cs="仿宋_GB2312"/>
          <w:sz w:val="32"/>
          <w:szCs w:val="32"/>
        </w:rPr>
        <w:t>（类）</w:t>
      </w:r>
      <w:r>
        <w:rPr>
          <w:rFonts w:hint="eastAsia" w:ascii="仿宋_GB2312" w:hAnsi="仿宋_GB2312" w:eastAsia="仿宋_GB2312" w:cs="仿宋_GB2312"/>
          <w:sz w:val="32"/>
          <w:szCs w:val="32"/>
          <w:lang w:val="en-US" w:eastAsia="zh-CN"/>
        </w:rPr>
        <w:t>国有土地使用权出让安排的支出</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val="en-US" w:eastAsia="zh-CN"/>
        </w:rPr>
        <w:t>城市建设支出</w:t>
      </w:r>
      <w:r>
        <w:rPr>
          <w:rFonts w:hint="eastAsia" w:ascii="仿宋_GB2312" w:hAnsi="仿宋_GB2312" w:eastAsia="仿宋_GB2312" w:cs="仿宋_GB2312"/>
          <w:sz w:val="32"/>
          <w:szCs w:val="32"/>
        </w:rPr>
        <w:t>（项）：</w:t>
      </w:r>
      <w:r>
        <w:rPr>
          <w:rFonts w:hint="eastAsia" w:ascii="仿宋_GB2312" w:hAnsi="仿宋_GB2312" w:eastAsia="仿宋_GB2312" w:cs="仿宋_GB2312"/>
          <w:sz w:val="32"/>
          <w:szCs w:val="32"/>
          <w:lang w:val="en-US" w:eastAsia="zh-CN"/>
        </w:rPr>
        <w:t>指城市建设方面的支出。</w:t>
      </w:r>
    </w:p>
    <w:p>
      <w:pPr>
        <w:pStyle w:val="22"/>
        <w:pageBreakBefore w:val="0"/>
        <w:kinsoku/>
        <w:wordWrap/>
        <w:overflowPunct/>
        <w:topLinePunct w:val="0"/>
        <w:bidi w:val="0"/>
        <w:spacing w:line="576" w:lineRule="exact"/>
        <w:ind w:left="0" w:leftChars="0" w:righ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城区社区</w:t>
      </w:r>
      <w:r>
        <w:rPr>
          <w:rFonts w:hint="eastAsia" w:ascii="仿宋_GB2312" w:hAnsi="仿宋_GB2312" w:eastAsia="仿宋_GB2312" w:cs="仿宋_GB2312"/>
          <w:sz w:val="32"/>
          <w:szCs w:val="32"/>
          <w:lang w:val="en-US" w:eastAsia="zh-CN"/>
        </w:rPr>
        <w:t>支出</w:t>
      </w:r>
      <w:r>
        <w:rPr>
          <w:rFonts w:hint="eastAsia" w:ascii="仿宋_GB2312" w:hAnsi="仿宋_GB2312" w:eastAsia="仿宋_GB2312" w:cs="仿宋_GB2312"/>
          <w:sz w:val="32"/>
          <w:szCs w:val="32"/>
        </w:rPr>
        <w:t>（类）</w:t>
      </w:r>
      <w:r>
        <w:rPr>
          <w:rFonts w:hint="eastAsia" w:ascii="仿宋_GB2312" w:hAnsi="仿宋_GB2312" w:eastAsia="仿宋_GB2312" w:cs="仿宋_GB2312"/>
          <w:sz w:val="32"/>
          <w:szCs w:val="32"/>
          <w:lang w:val="en-US" w:eastAsia="zh-CN"/>
        </w:rPr>
        <w:t>国有土地使用权出让安排的支出</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val="en-US" w:eastAsia="zh-CN"/>
        </w:rPr>
        <w:t>土地出让支出</w:t>
      </w:r>
      <w:r>
        <w:rPr>
          <w:rFonts w:hint="eastAsia" w:ascii="仿宋_GB2312" w:hAnsi="仿宋_GB2312" w:eastAsia="仿宋_GB2312" w:cs="仿宋_GB2312"/>
          <w:sz w:val="32"/>
          <w:szCs w:val="32"/>
        </w:rPr>
        <w:t>（项）：</w:t>
      </w:r>
      <w:r>
        <w:rPr>
          <w:rFonts w:hint="eastAsia" w:ascii="仿宋_GB2312" w:hAnsi="仿宋_GB2312" w:eastAsia="仿宋_GB2312" w:cs="仿宋_GB2312"/>
          <w:sz w:val="32"/>
          <w:szCs w:val="32"/>
          <w:lang w:val="en-US" w:eastAsia="zh-CN"/>
        </w:rPr>
        <w:t>指</w:t>
      </w:r>
      <w:r>
        <w:rPr>
          <w:rFonts w:hint="eastAsia" w:ascii="仿宋_GB2312" w:hAnsi="仿宋_GB2312" w:eastAsia="仿宋_GB2312" w:cs="仿宋_GB2312"/>
          <w:sz w:val="32"/>
          <w:szCs w:val="32"/>
        </w:rPr>
        <w:t>出让</w:t>
      </w:r>
      <w:r>
        <w:rPr>
          <w:rFonts w:hint="eastAsia" w:ascii="仿宋_GB2312" w:hAnsi="仿宋_GB2312" w:eastAsia="仿宋_GB2312" w:cs="仿宋_GB2312"/>
          <w:sz w:val="32"/>
          <w:szCs w:val="32"/>
          <w:lang w:val="en-US" w:eastAsia="zh-CN"/>
        </w:rPr>
        <w:t>前</w:t>
      </w:r>
      <w:r>
        <w:rPr>
          <w:rFonts w:hint="eastAsia" w:ascii="仿宋_GB2312" w:hAnsi="仿宋_GB2312" w:eastAsia="仿宋_GB2312" w:cs="仿宋_GB2312"/>
          <w:sz w:val="32"/>
          <w:szCs w:val="32"/>
        </w:rPr>
        <w:t>发生的土地出让业务支出。</w:t>
      </w:r>
    </w:p>
    <w:p>
      <w:pPr>
        <w:pStyle w:val="22"/>
        <w:pageBreakBefore w:val="0"/>
        <w:kinsoku/>
        <w:wordWrap/>
        <w:overflowPunct/>
        <w:topLinePunct w:val="0"/>
        <w:bidi w:val="0"/>
        <w:spacing w:line="576" w:lineRule="exact"/>
        <w:ind w:left="0" w:leftChars="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.自然资源海洋气象等（类）自然资源事务（款）行政运行（项）：指局行政机关用于保障机构正常运行、开展日常工作的基本支出。</w:t>
      </w:r>
    </w:p>
    <w:p>
      <w:pPr>
        <w:pStyle w:val="22"/>
        <w:pageBreakBefore w:val="0"/>
        <w:kinsoku/>
        <w:wordWrap/>
        <w:overflowPunct/>
        <w:topLinePunct w:val="0"/>
        <w:bidi w:val="0"/>
        <w:spacing w:line="576" w:lineRule="exact"/>
        <w:ind w:left="0" w:leftChars="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.自然资源海洋气象等（类）自然资源事务（款)、事业运行（项）：指局事业单位用于保障机构正常运行、开展日常工作的基本支出。</w:t>
      </w:r>
    </w:p>
    <w:p>
      <w:pPr>
        <w:pStyle w:val="22"/>
        <w:pageBreakBefore w:val="0"/>
        <w:kinsoku/>
        <w:wordWrap/>
        <w:overflowPunct/>
        <w:topLinePunct w:val="0"/>
        <w:bidi w:val="0"/>
        <w:spacing w:line="576" w:lineRule="exact"/>
        <w:ind w:left="0" w:leftChars="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.自然资源海洋气象等（类）自然资源事务（款)一般行政管理事务行（项）：指局事业单位开展自然资源综合业务专门性自然资源管理工作的项目支出。</w:t>
      </w:r>
    </w:p>
    <w:p>
      <w:pPr>
        <w:pStyle w:val="22"/>
        <w:pageBreakBefore w:val="0"/>
        <w:kinsoku/>
        <w:wordWrap/>
        <w:overflowPunct/>
        <w:topLinePunct w:val="0"/>
        <w:bidi w:val="0"/>
        <w:spacing w:line="576" w:lineRule="exact"/>
        <w:ind w:left="0" w:leftChars="0" w:right="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.自然资源海洋气象等（类）自然资源事务（款)</w:t>
      </w:r>
      <w:r>
        <w:rPr>
          <w:rFonts w:hint="eastAsia" w:ascii="仿宋_GB2312" w:hAnsi="仿宋_GB2312" w:eastAsia="仿宋_GB2312" w:cs="仿宋_GB2312"/>
          <w:sz w:val="32"/>
          <w:szCs w:val="32"/>
          <w:lang w:val="en-US" w:eastAsia="zh-CN"/>
        </w:rPr>
        <w:t>机关事务</w:t>
      </w:r>
      <w:r>
        <w:rPr>
          <w:rFonts w:hint="eastAsia" w:ascii="仿宋_GB2312" w:hAnsi="仿宋_GB2312" w:eastAsia="仿宋_GB2312" w:cs="仿宋_GB2312"/>
          <w:sz w:val="32"/>
          <w:szCs w:val="32"/>
        </w:rPr>
        <w:t>（项）：</w:t>
      </w:r>
      <w:r>
        <w:rPr>
          <w:rFonts w:hint="eastAsia" w:ascii="仿宋_GB2312" w:hAnsi="仿宋_GB2312" w:eastAsia="仿宋_GB2312" w:cs="仿宋_GB2312"/>
          <w:sz w:val="32"/>
          <w:szCs w:val="32"/>
          <w:lang w:val="en-US" w:eastAsia="zh-CN"/>
        </w:rPr>
        <w:t>指我局参公单位经济开发区事务中心的相关支出。</w:t>
      </w:r>
    </w:p>
    <w:p>
      <w:pPr>
        <w:pStyle w:val="22"/>
        <w:pageBreakBefore w:val="0"/>
        <w:kinsoku/>
        <w:wordWrap/>
        <w:overflowPunct/>
        <w:topLinePunct w:val="0"/>
        <w:bidi w:val="0"/>
        <w:spacing w:line="576" w:lineRule="exact"/>
        <w:ind w:left="0" w:leftChars="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.自然资源海洋气象等支出（类）自然资源事务（款）自然资源利用与保护（项）：指地质环境治理和土地整治方面的支出。</w:t>
      </w:r>
    </w:p>
    <w:p>
      <w:pPr>
        <w:pStyle w:val="22"/>
        <w:pageBreakBefore w:val="0"/>
        <w:kinsoku/>
        <w:wordWrap/>
        <w:overflowPunct/>
        <w:topLinePunct w:val="0"/>
        <w:bidi w:val="0"/>
        <w:spacing w:line="576" w:lineRule="exact"/>
        <w:ind w:left="0" w:leftChars="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.自然资源海洋气象等支出（类）自然资源事务（款）地质勘察与矿产资源管理（项）：指矿业权管理、矿产资源合理利用和保护方面的支出。</w:t>
      </w:r>
    </w:p>
    <w:p>
      <w:pPr>
        <w:pStyle w:val="22"/>
        <w:pageBreakBefore w:val="0"/>
        <w:kinsoku/>
        <w:wordWrap/>
        <w:overflowPunct/>
        <w:topLinePunct w:val="0"/>
        <w:bidi w:val="0"/>
        <w:spacing w:line="576" w:lineRule="exact"/>
        <w:ind w:left="0" w:leftChars="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.自然资源海洋气象等支出（类）自然资源事务（款）其他自然资源事务（项）：指除财政一般公共预算安排的项目之外的项目支出。</w:t>
      </w:r>
    </w:p>
    <w:p>
      <w:pPr>
        <w:pStyle w:val="22"/>
        <w:pageBreakBefore w:val="0"/>
        <w:kinsoku/>
        <w:wordWrap/>
        <w:overflowPunct/>
        <w:topLinePunct w:val="0"/>
        <w:bidi w:val="0"/>
        <w:spacing w:line="576" w:lineRule="exact"/>
        <w:ind w:left="0" w:leftChars="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.灾害防治及应急管理（类）自然灾害防治（款）地质灾害防治（项）：指用于地质灾害防治方面的支出。</w:t>
      </w:r>
    </w:p>
    <w:p>
      <w:pPr>
        <w:pStyle w:val="22"/>
        <w:pageBreakBefore w:val="0"/>
        <w:kinsoku/>
        <w:wordWrap/>
        <w:overflowPunct/>
        <w:topLinePunct w:val="0"/>
        <w:bidi w:val="0"/>
        <w:spacing w:line="576" w:lineRule="exact"/>
        <w:ind w:left="0" w:leftChars="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.住房保障（类）住房改革支出（款）住房公积金（项）：指按行政事业单位按人力资源部和社会保障部、财政部规定的基本工资和津贴补贴以及规定比例为职工缴纳的住房公积金。</w:t>
      </w:r>
    </w:p>
    <w:p>
      <w:pPr>
        <w:pStyle w:val="22"/>
        <w:pageBreakBefore w:val="0"/>
        <w:kinsoku/>
        <w:wordWrap/>
        <w:overflowPunct/>
        <w:topLinePunct w:val="0"/>
        <w:bidi w:val="0"/>
        <w:spacing w:line="576" w:lineRule="exact"/>
        <w:ind w:left="0" w:leftChars="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.住房保障（类）住房改革支出（款）购房补贴（项）：</w:t>
      </w:r>
      <w:r>
        <w:rPr>
          <w:rFonts w:hint="eastAsia" w:ascii="仿宋_GB2312" w:hAnsi="仿宋_GB2312" w:eastAsia="仿宋_GB2312" w:cs="仿宋_GB2312"/>
          <w:sz w:val="32"/>
          <w:szCs w:val="32"/>
          <w:lang w:val="en-US" w:eastAsia="zh-CN"/>
        </w:rPr>
        <w:t>指引进</w:t>
      </w:r>
      <w:r>
        <w:rPr>
          <w:rFonts w:hint="eastAsia" w:ascii="仿宋_GB2312" w:hAnsi="仿宋_GB2312" w:eastAsia="仿宋_GB2312" w:cs="仿宋_GB2312"/>
          <w:sz w:val="32"/>
          <w:szCs w:val="32"/>
        </w:rPr>
        <w:t>的研究生和选调生的安家补助费。</w:t>
      </w:r>
    </w:p>
    <w:p>
      <w:pPr>
        <w:pStyle w:val="22"/>
        <w:pageBreakBefore w:val="0"/>
        <w:kinsoku/>
        <w:wordWrap/>
        <w:overflowPunct/>
        <w:topLinePunct w:val="0"/>
        <w:bidi w:val="0"/>
        <w:spacing w:line="576" w:lineRule="exact"/>
        <w:ind w:left="0" w:leftChars="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.基本支出：指为保障机构正常运转、完成日常工作任务而发生的人员支出和公用支出。</w:t>
      </w:r>
    </w:p>
    <w:p>
      <w:pPr>
        <w:pStyle w:val="22"/>
        <w:pageBreakBefore w:val="0"/>
        <w:kinsoku/>
        <w:wordWrap/>
        <w:overflowPunct/>
        <w:topLinePunct w:val="0"/>
        <w:bidi w:val="0"/>
        <w:spacing w:line="576" w:lineRule="exact"/>
        <w:ind w:left="0" w:leftChars="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.项目支出：指在基本支出之外为完成特定行政任务和事业发展目标所发生的支出。</w:t>
      </w:r>
    </w:p>
    <w:p>
      <w:pPr>
        <w:pStyle w:val="22"/>
        <w:pageBreakBefore w:val="0"/>
        <w:kinsoku/>
        <w:wordWrap/>
        <w:overflowPunct/>
        <w:topLinePunct w:val="0"/>
        <w:bidi w:val="0"/>
        <w:spacing w:line="576" w:lineRule="exact"/>
        <w:ind w:left="0" w:leftChars="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26</w:t>
      </w:r>
      <w:r>
        <w:rPr>
          <w:rFonts w:hint="eastAsia" w:ascii="仿宋_GB2312" w:hAnsi="仿宋_GB2312" w:eastAsia="仿宋_GB2312" w:cs="仿宋_GB2312"/>
          <w:sz w:val="32"/>
          <w:szCs w:val="32"/>
        </w:rPr>
        <w:t>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2"/>
        <w:pageBreakBefore w:val="0"/>
        <w:kinsoku/>
        <w:wordWrap/>
        <w:overflowPunct/>
        <w:topLinePunct w:val="0"/>
        <w:bidi w:val="0"/>
        <w:spacing w:line="576" w:lineRule="exact"/>
        <w:ind w:left="0" w:leftChars="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27</w:t>
      </w:r>
      <w:r>
        <w:rPr>
          <w:rFonts w:hint="eastAsia" w:ascii="仿宋_GB2312" w:hAnsi="仿宋_GB2312" w:eastAsia="仿宋_GB2312" w:cs="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2"/>
        <w:pageBreakBefore w:val="0"/>
        <w:kinsoku/>
        <w:wordWrap/>
        <w:overflowPunct/>
        <w:topLinePunct w:val="0"/>
        <w:bidi w:val="0"/>
        <w:spacing w:line="576" w:lineRule="exact"/>
        <w:ind w:left="0" w:leftChars="0" w:right="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28.其他支出（类）其他支出（款）其他支出（项）：指其他项目支出。</w:t>
      </w:r>
    </w:p>
    <w:p>
      <w:pPr>
        <w:pStyle w:val="22"/>
        <w:pageBreakBefore w:val="0"/>
        <w:kinsoku/>
        <w:wordWrap/>
        <w:overflowPunct/>
        <w:topLinePunct w:val="0"/>
        <w:bidi w:val="0"/>
        <w:spacing w:line="576" w:lineRule="exact"/>
        <w:ind w:left="0" w:leftChars="0" w:right="0" w:firstLine="640" w:firstLineChars="200"/>
        <w:textAlignment w:val="auto"/>
        <w:rPr>
          <w:rFonts w:hint="eastAsia" w:ascii="仿宋_GB2312" w:hAnsi="仿宋_GB2312" w:eastAsia="仿宋_GB2312" w:cs="仿宋_GB2312"/>
          <w:sz w:val="32"/>
          <w:szCs w:val="32"/>
        </w:rPr>
      </w:pPr>
    </w:p>
    <w:p>
      <w:pPr>
        <w:rPr>
          <w:rFonts w:hint="eastAsia" w:ascii="黑体" w:hAnsi="黑体" w:eastAsia="黑体"/>
          <w:color w:val="auto"/>
          <w:sz w:val="44"/>
          <w:szCs w:val="44"/>
          <w:highlight w:val="none"/>
          <w:lang w:val="en-US" w:eastAsia="zh-CN"/>
        </w:rPr>
      </w:pPr>
      <w:bookmarkStart w:id="59" w:name="_Toc15396614"/>
      <w:bookmarkStart w:id="60" w:name="_Toc15377226"/>
      <w:r>
        <w:rPr>
          <w:rFonts w:hint="eastAsia" w:ascii="黑体" w:hAnsi="黑体" w:eastAsia="黑体"/>
          <w:color w:val="auto"/>
          <w:sz w:val="44"/>
          <w:szCs w:val="44"/>
          <w:highlight w:val="none"/>
        </w:rPr>
        <w:br w:type="page"/>
      </w:r>
    </w:p>
    <w:p>
      <w:pPr>
        <w:pStyle w:val="22"/>
        <w:pageBreakBefore w:val="0"/>
        <w:kinsoku/>
        <w:wordWrap/>
        <w:overflowPunct/>
        <w:topLinePunct w:val="0"/>
        <w:bidi w:val="0"/>
        <w:spacing w:line="576" w:lineRule="exact"/>
        <w:ind w:right="0"/>
        <w:jc w:val="center"/>
        <w:textAlignment w:val="auto"/>
        <w:rPr>
          <w:rStyle w:val="24"/>
          <w:rFonts w:hint="eastAsia" w:ascii="黑体" w:hAnsi="黑体" w:eastAsia="黑体"/>
          <w:b w:val="0"/>
          <w:color w:val="auto"/>
          <w:highlight w:val="none"/>
          <w:lang w:eastAsia="zh-CN"/>
        </w:rPr>
      </w:pPr>
      <w:r>
        <w:rPr>
          <w:rFonts w:hint="eastAsia" w:ascii="黑体" w:hAnsi="黑体" w:eastAsia="黑体"/>
          <w:color w:val="auto"/>
          <w:sz w:val="44"/>
          <w:szCs w:val="44"/>
          <w:highlight w:val="none"/>
        </w:rPr>
        <w:t>第</w:t>
      </w:r>
      <w:r>
        <w:rPr>
          <w:rStyle w:val="24"/>
          <w:rFonts w:hint="eastAsia" w:ascii="黑体" w:hAnsi="黑体" w:eastAsia="黑体"/>
          <w:b w:val="0"/>
          <w:color w:val="auto"/>
          <w:highlight w:val="none"/>
        </w:rPr>
        <w:t>四部分附件</w:t>
      </w:r>
      <w:bookmarkEnd w:id="59"/>
    </w:p>
    <w:p>
      <w:pPr>
        <w:keepNext w:val="0"/>
        <w:keepLines w:val="0"/>
        <w:pageBreakBefore w:val="0"/>
        <w:kinsoku/>
        <w:wordWrap/>
        <w:overflowPunct/>
        <w:topLinePunct w:val="0"/>
        <w:autoSpaceDE/>
        <w:autoSpaceDN/>
        <w:bidi w:val="0"/>
        <w:spacing w:line="572" w:lineRule="exact"/>
        <w:jc w:val="left"/>
        <w:textAlignment w:val="auto"/>
        <w:outlineLvl w:val="0"/>
        <w:rPr>
          <w:rFonts w:ascii="方正小标宋简体" w:hAnsi="方正小标宋简体" w:eastAsia="方正小标宋简体" w:cs="方正小标宋简体"/>
          <w:color w:val="auto"/>
          <w:sz w:val="44"/>
          <w:szCs w:val="44"/>
          <w:highlight w:val="none"/>
        </w:rPr>
      </w:pPr>
      <w:r>
        <w:rPr>
          <w:rFonts w:hint="eastAsia" w:ascii="黑体" w:hAnsi="黑体" w:eastAsia="黑体" w:cs="黑体"/>
          <w:color w:val="auto"/>
          <w:sz w:val="32"/>
          <w:szCs w:val="32"/>
          <w:highlight w:val="none"/>
        </w:rPr>
        <w:t>附件</w:t>
      </w:r>
    </w:p>
    <w:p>
      <w:pPr>
        <w:keepNext w:val="0"/>
        <w:keepLines w:val="0"/>
        <w:pageBreakBefore w:val="0"/>
        <w:kinsoku/>
        <w:wordWrap/>
        <w:overflowPunct/>
        <w:topLinePunct w:val="0"/>
        <w:autoSpaceDE/>
        <w:autoSpaceDN/>
        <w:bidi w:val="0"/>
        <w:spacing w:line="572" w:lineRule="exact"/>
        <w:jc w:val="center"/>
        <w:textAlignment w:val="auto"/>
        <w:rPr>
          <w:rFonts w:ascii="方正小标宋简体" w:hAnsi="宋体" w:eastAsia="方正小标宋简体"/>
          <w:color w:val="auto"/>
          <w:kern w:val="0"/>
          <w:sz w:val="40"/>
          <w:szCs w:val="44"/>
          <w:highlight w:val="none"/>
          <w:lang w:val="zh-CN"/>
        </w:rPr>
      </w:pPr>
      <w:r>
        <w:rPr>
          <w:rFonts w:hint="eastAsia" w:ascii="方正小标宋简体" w:hAnsi="宋体" w:eastAsia="方正小标宋简体"/>
          <w:color w:val="auto"/>
          <w:kern w:val="0"/>
          <w:sz w:val="40"/>
          <w:szCs w:val="44"/>
          <w:highlight w:val="none"/>
        </w:rPr>
        <w:t>202</w:t>
      </w:r>
      <w:r>
        <w:rPr>
          <w:rFonts w:hint="eastAsia" w:ascii="方正小标宋简体" w:hAnsi="宋体" w:eastAsia="方正小标宋简体"/>
          <w:color w:val="auto"/>
          <w:kern w:val="0"/>
          <w:sz w:val="40"/>
          <w:szCs w:val="44"/>
          <w:highlight w:val="none"/>
          <w:lang w:val="en-US" w:eastAsia="zh-CN"/>
        </w:rPr>
        <w:t>1</w:t>
      </w:r>
      <w:r>
        <w:rPr>
          <w:rFonts w:hint="eastAsia" w:ascii="方正小标宋简体" w:hAnsi="宋体" w:eastAsia="方正小标宋简体"/>
          <w:color w:val="auto"/>
          <w:kern w:val="0"/>
          <w:sz w:val="40"/>
          <w:szCs w:val="44"/>
          <w:highlight w:val="none"/>
        </w:rPr>
        <w:t>年</w:t>
      </w:r>
      <w:r>
        <w:rPr>
          <w:rFonts w:hint="eastAsia" w:ascii="方正小标宋简体" w:hAnsi="宋体" w:eastAsia="方正小标宋简体"/>
          <w:color w:val="auto"/>
          <w:kern w:val="0"/>
          <w:sz w:val="40"/>
          <w:szCs w:val="44"/>
          <w:highlight w:val="none"/>
          <w:lang w:val="en-US" w:eastAsia="zh-CN"/>
        </w:rPr>
        <w:t>广元市自然资源局</w:t>
      </w:r>
      <w:r>
        <w:rPr>
          <w:rFonts w:hint="eastAsia" w:ascii="方正小标宋简体" w:hAnsi="宋体" w:eastAsia="方正小标宋简体"/>
          <w:color w:val="auto"/>
          <w:kern w:val="0"/>
          <w:sz w:val="40"/>
          <w:szCs w:val="44"/>
          <w:highlight w:val="none"/>
        </w:rPr>
        <w:t>部门整体绩效评价报告</w:t>
      </w:r>
    </w:p>
    <w:p>
      <w:pPr>
        <w:keepNext w:val="0"/>
        <w:keepLines w:val="0"/>
        <w:pageBreakBefore w:val="0"/>
        <w:widowControl/>
        <w:kinsoku/>
        <w:wordWrap/>
        <w:overflowPunct/>
        <w:topLinePunct w:val="0"/>
        <w:autoSpaceDE/>
        <w:autoSpaceDN/>
        <w:bidi w:val="0"/>
        <w:adjustRightInd w:val="0"/>
        <w:snapToGrid w:val="0"/>
        <w:spacing w:line="572" w:lineRule="exact"/>
        <w:ind w:firstLine="480" w:firstLineChars="200"/>
        <w:contextualSpacing/>
        <w:jc w:val="left"/>
        <w:textAlignment w:val="auto"/>
        <w:rPr>
          <w:rFonts w:ascii="黑体" w:hAnsi="宋体" w:eastAsia="黑体" w:cs="宋体"/>
          <w:color w:val="auto"/>
          <w:kern w:val="0"/>
          <w:sz w:val="24"/>
          <w:szCs w:val="32"/>
          <w:highlight w:val="none"/>
          <w:shd w:val="clear" w:color="auto" w:fill="FFFFFF"/>
        </w:rPr>
      </w:pPr>
    </w:p>
    <w:p>
      <w:pPr>
        <w:keepNext w:val="0"/>
        <w:keepLines w:val="0"/>
        <w:pageBreakBefore w:val="0"/>
        <w:widowControl/>
        <w:kinsoku/>
        <w:wordWrap/>
        <w:overflowPunct/>
        <w:topLinePunct w:val="0"/>
        <w:autoSpaceDE/>
        <w:autoSpaceDN/>
        <w:bidi w:val="0"/>
        <w:adjustRightInd w:val="0"/>
        <w:snapToGrid w:val="0"/>
        <w:spacing w:line="572" w:lineRule="exact"/>
        <w:ind w:firstLine="640" w:firstLineChars="200"/>
        <w:contextualSpacing/>
        <w:jc w:val="left"/>
        <w:textAlignment w:val="auto"/>
        <w:rPr>
          <w:rFonts w:ascii="黑体" w:hAnsi="宋体" w:eastAsia="黑体" w:cs="宋体"/>
          <w:color w:val="auto"/>
          <w:kern w:val="0"/>
          <w:sz w:val="32"/>
          <w:szCs w:val="32"/>
          <w:highlight w:val="none"/>
          <w:shd w:val="clear" w:color="auto" w:fill="FFFFFF"/>
          <w:lang w:val="zh-CN"/>
        </w:rPr>
      </w:pPr>
      <w:r>
        <w:rPr>
          <w:rFonts w:hint="eastAsia" w:ascii="黑体" w:hAnsi="宋体" w:eastAsia="黑体" w:cs="宋体"/>
          <w:color w:val="auto"/>
          <w:kern w:val="0"/>
          <w:sz w:val="32"/>
          <w:szCs w:val="32"/>
          <w:highlight w:val="none"/>
          <w:shd w:val="clear" w:color="auto" w:fill="FFFFFF"/>
        </w:rPr>
        <w:t>一、</w:t>
      </w:r>
      <w:r>
        <w:rPr>
          <w:rFonts w:hint="eastAsia" w:ascii="黑体" w:hAnsi="宋体" w:eastAsia="黑体" w:cs="宋体"/>
          <w:color w:val="auto"/>
          <w:kern w:val="0"/>
          <w:sz w:val="32"/>
          <w:szCs w:val="32"/>
          <w:highlight w:val="none"/>
          <w:shd w:val="clear" w:color="auto" w:fill="FFFFFF"/>
          <w:lang w:val="zh-CN"/>
        </w:rPr>
        <w:t>部门（单位）概况</w:t>
      </w:r>
    </w:p>
    <w:p>
      <w:pPr>
        <w:spacing w:line="580" w:lineRule="exact"/>
        <w:ind w:firstLine="640" w:firstLineChars="200"/>
        <w:rPr>
          <w:rFonts w:hint="eastAsia" w:ascii="楷体_GB2312" w:hAnsi="楷体_GB2312" w:eastAsia="楷体_GB2312" w:cs="楷体_GB2312"/>
          <w:color w:val="auto"/>
          <w:kern w:val="0"/>
          <w:sz w:val="32"/>
          <w:szCs w:val="32"/>
          <w:highlight w:val="none"/>
          <w:shd w:val="clear" w:color="auto" w:fill="FFFFFF"/>
          <w:lang w:val="zh-CN"/>
        </w:rPr>
      </w:pPr>
      <w:r>
        <w:rPr>
          <w:rFonts w:hint="eastAsia" w:ascii="楷体_GB2312" w:hAnsi="楷体_GB2312" w:eastAsia="楷体_GB2312" w:cs="楷体_GB2312"/>
          <w:color w:val="auto"/>
          <w:kern w:val="0"/>
          <w:sz w:val="32"/>
          <w:szCs w:val="32"/>
          <w:highlight w:val="none"/>
          <w:shd w:val="clear" w:color="auto" w:fill="FFFFFF"/>
          <w:lang w:val="zh-CN"/>
        </w:rPr>
        <w:t>（一）机构组成。</w:t>
      </w:r>
    </w:p>
    <w:p>
      <w:pPr>
        <w:spacing w:line="580" w:lineRule="exact"/>
        <w:ind w:firstLine="640" w:firstLineChars="200"/>
        <w:rPr>
          <w:rFonts w:ascii="仿宋_GB2312" w:hAnsi="宋体" w:eastAsia="仿宋_GB2312" w:cs="宋体"/>
          <w:color w:val="auto"/>
          <w:kern w:val="0"/>
          <w:sz w:val="32"/>
          <w:szCs w:val="32"/>
          <w:highlight w:val="none"/>
          <w:shd w:val="clear" w:color="auto" w:fill="FFFFFF"/>
          <w:lang w:val="zh-CN"/>
        </w:rPr>
      </w:pPr>
      <w:r>
        <w:rPr>
          <w:rFonts w:hint="eastAsia" w:ascii="仿宋_GB2312" w:hAnsi="仿宋_GB2312" w:eastAsia="仿宋_GB2312" w:cs="仿宋_GB2312"/>
          <w:sz w:val="32"/>
          <w:szCs w:val="32"/>
        </w:rPr>
        <w:t>广元市自然资源局</w:t>
      </w:r>
      <w:r>
        <w:rPr>
          <w:rFonts w:hint="eastAsia" w:ascii="仿宋_GB2312" w:hAnsi="仿宋_GB2312" w:eastAsia="仿宋_GB2312" w:cs="仿宋_GB2312"/>
          <w:sz w:val="32"/>
          <w:szCs w:val="32"/>
          <w:lang w:val="en-US" w:eastAsia="zh-CN"/>
        </w:rPr>
        <w:t>为一级独立核算的行政单位。自然资源局设置办公室、行政审批科、调查监测与确权登记科、自然资源所有者权益和审计科、自然资源开发利用科、国土空间规划科、国土空间用途管制科、国土空间生态修复科、规划管理科、耕地保护监督科、矿产资源管理科、地质灾害防治科、测绘地理信息管理科、督察信访科、财务与资金运用科、人事科、机关党委。独立核算的事业单位7个：广元市自然资源局经济开发区事务中心、广元市地质环境监测站、广元市不动产登记中心、广元市国土整治中心、广元市自然资源储备交易中心、广元市测绘地理信息中心、广元市地籍地政事务中心。未独立核算的事业单位2个：广元市自然资源综合行政执法支队、广元市自然资源信息档案中心。</w:t>
      </w:r>
    </w:p>
    <w:p>
      <w:pPr>
        <w:spacing w:line="580" w:lineRule="exact"/>
        <w:ind w:firstLine="640" w:firstLineChars="200"/>
        <w:rPr>
          <w:rFonts w:hint="eastAsia" w:ascii="楷体_GB2312" w:hAnsi="楷体_GB2312" w:eastAsia="楷体_GB2312" w:cs="楷体_GB2312"/>
          <w:color w:val="auto"/>
          <w:kern w:val="0"/>
          <w:sz w:val="32"/>
          <w:szCs w:val="32"/>
          <w:highlight w:val="none"/>
          <w:shd w:val="clear" w:color="auto" w:fill="FFFFFF"/>
          <w:lang w:val="zh-CN"/>
        </w:rPr>
      </w:pPr>
      <w:r>
        <w:rPr>
          <w:rFonts w:hint="eastAsia" w:ascii="楷体_GB2312" w:hAnsi="楷体_GB2312" w:eastAsia="楷体_GB2312" w:cs="楷体_GB2312"/>
          <w:color w:val="auto"/>
          <w:kern w:val="0"/>
          <w:sz w:val="32"/>
          <w:szCs w:val="32"/>
          <w:highlight w:val="none"/>
          <w:shd w:val="clear" w:color="auto" w:fill="FFFFFF"/>
          <w:lang w:val="zh-CN"/>
        </w:rPr>
        <w:t>（二）机构职能。</w:t>
      </w:r>
    </w:p>
    <w:p>
      <w:pPr>
        <w:numPr>
          <w:ilvl w:val="0"/>
          <w:numId w:val="0"/>
        </w:num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按照规定权限，履行全民所有土地、矿产、森林、湿地、水等自然资源资产所有者职责和所有国土空间用途管制职责。拟订全市自然资源和国土空间规划地方性法规、政策规章草案，制定有关政策措施并监督检查执行情况。</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负责全市自然资源调查监测评价。依照自然资源调查监测评价的指标体系和统计标准，建立统一的自然资源调查监测评价制度。实施自然资源基础调查、专项调查和监测。负责自然资源调查监测评价成果的监督管理和信息发布。指导县区自然资源调查监测评价工作。</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负责全市自然资源统一确权登记工作。组织实施各类自然资源和不动产统一确权登记、权籍调查、不动产测绘、争议、调处、成果应用的制度、标准、规范。建立健全全市自然资源和不动产登记信息管理基础平台。负责自然资源和不动产登记资料收集、整理、共享、汇交管理等。指导监督自然资源和不动产确权登记工作。</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负责全市自然资源资产有偿使用工作。建立全民所有自然资源资产统计制度，负责全民所有自然资源资产核算。编制全民所有自然资源资产负债表，依照有关标准组织考核。按照规定权限，制定全民所有自然资源资产划拨、出让、租赁、作价出资和土地储备政策，合理配置全民所有自然资源资产。负责自然资源资产价值评估管理，依法收缴相关资产收益。</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负责全市自然资源的合理开发利用。组织拟订并实施自然资源发展规划和战略，建立政府公示自然资源价格体系，组织开展自然资源分等定级价格评估，开展自然资源利用评价考核，指导节约集约利用。负责自然资源</w:t>
      </w:r>
      <w:r>
        <w:rPr>
          <w:rFonts w:hint="eastAsia" w:ascii="仿宋_GB2312" w:hAnsi="仿宋_GB2312" w:eastAsia="仿宋_GB2312" w:cs="仿宋_GB2312"/>
          <w:sz w:val="32"/>
          <w:szCs w:val="32"/>
          <w:lang w:eastAsia="zh-CN"/>
        </w:rPr>
        <w:t>市场监管</w:t>
      </w:r>
      <w:r>
        <w:rPr>
          <w:rFonts w:hint="eastAsia" w:ascii="仿宋_GB2312" w:hAnsi="仿宋_GB2312" w:eastAsia="仿宋_GB2312" w:cs="仿宋_GB2312"/>
          <w:sz w:val="32"/>
          <w:szCs w:val="32"/>
        </w:rPr>
        <w:t>。组织研究自然资源管理涉及宏观调控、区域协调和城乡统筹的政策措施。</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负责建立全市空间规划体系并监督实施。推进主体功能区战略和制度，组织编制并监督实施国土空间规划和相关专项规划。开展国土空间开发适宜性评价，建立国土空间规划实施监测、评估和预警体系。组织划定生态保护红线、永久基本农田、城镇开发边界等控制线，构建节约资源和保护环境的生产、生活、生态空间布局。建立健全国土空间用途管制制度，研究拟订城乡规划政策并监督实施。组织拟订并实施土地等自然资源年度利用计划。负责土地等国土空间用途转用工作。负责土地征收征用管理。</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负责统筹全市国土空间生态修复。牵头组织编制全市国土空间生态修复规划并实施有关生态修复重大工程。负责开展国土空间综合整治、土地整理复垦、矿山地质环境恢复治理等工作。牵头建立和实施生态保护补偿制度，制定合理利用社会资金进行生态修复的政策措施，提出重大备选项目。</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负责组织实施最严格的耕地保护制度。牵头拟订并实施全市耕地保护政策，负责耕地数量、质量、生态保护。组织实施耕地保护责任目标考核和永久基本农田特殊保护。完善耕地占补平衡制度，监督占用耕地补偿制度执行情况。</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负责管理全市地质勘察和地质工作。拟订全市地质勘查规划并监督检查执行情况。组织实施重大地质矿产勘查专项。负责地质灾害预防和治理，监督管理地下水过量开采及引发的地面沉降等地质问题。负责古生物化石的监督管理。</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负责落实综合防灾减灾规划相关要求，组织编制并实施地质灾害防治规划。组织、指导、协调和监督地质灾害调查评价及隐患的普查、详查、排查。组织、指导开展群测群防、专业监测和预报预警等工作，组织、指导开展地质灾害工程治理工作。承担地质灾害应急救援的技术保障工作。</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负责全市矿产资源管理工作。负责矿产资源储量管理及压覆矿产资源审核报批。负责矿业权管理。会同有关部门承担保护性开采的特定矿种、优势矿产的调控及相关管理工作。监督指导矿产资源合理利用和保护。</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推动全市自然资源领域科技发展和对外合作。制定并实施全市自然资源领域科技创新发展和人才培养规划、计划。组织实施重大科技专项及创新能力建设，推进自然资源信息化和信息资料的公共服务。组织开展全市自然资源系统对外交流合作。</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配合国家对县区政府落实党中央、国务院关于自然资源和国土空间规划的重大方针政策、决策部署及法律法规执行情况进行督察。按照市委、市政府安排，组织实施自然资源督查相关工作。查处全市自然资源开发利用、国土空间规划等领域重大违法案件。指导县区有关行政执法工作。</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14.负责职责范围内的安全生产和职业健康、生态环境保护、审批服务便民化等工作。</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15.负责测绘地理信息管理。负责基础测绘和测绘行业管理。监督管理全市测绘地理信息安全和市场秩序。负责地理信息公共服务管理和测量标志保护。</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16.统一领导和管理广元市林业局（简称林业局）。</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17.完成市委、市政府交办的其他任务。</w:t>
      </w:r>
    </w:p>
    <w:p>
      <w:pPr>
        <w:spacing w:line="58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18.职能转变。落实关于统一行使全民所有自然资源所有者职责，统一行使所有者国土空间用途管制和生态保护修复职责的要求发挥国土空间规划的管控作用，为保护和合理开发利用自然资源提供科学指引。进一步加强自然资源的保护和合理开发利用，建立健全源头保护和全过程修复治理相结合的工作机制，实现整体保护、系统修复、综合治理。创新激励约束并举的制度措施，推进自然资源节约集约利用。进一步精简下放有关行政审批事项、强化监管力度，充分发挥市场对资源配置的决定性作用更好发挥政府作用，强化自然资源管理规则、标准、制度的约束性作用，推进自然资源确权登记和评估的便民高效。</w:t>
      </w:r>
    </w:p>
    <w:p>
      <w:pPr>
        <w:spacing w:line="58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19.在自然灾害防救方面的职责分工。</w:t>
      </w:r>
    </w:p>
    <w:p>
      <w:pPr>
        <w:widowControl/>
        <w:adjustRightInd w:val="0"/>
        <w:snapToGrid w:val="0"/>
        <w:spacing w:line="580" w:lineRule="exact"/>
        <w:ind w:firstLine="640" w:firstLineChars="200"/>
        <w:jc w:val="left"/>
        <w:rPr>
          <w:rFonts w:hint="eastAsia" w:ascii="楷体_GB2312" w:hAnsi="楷体_GB2312" w:eastAsia="楷体_GB2312" w:cs="楷体_GB2312"/>
          <w:color w:val="auto"/>
          <w:kern w:val="0"/>
          <w:sz w:val="32"/>
          <w:szCs w:val="32"/>
          <w:highlight w:val="none"/>
          <w:shd w:val="clear" w:color="auto" w:fill="FFFFFF"/>
          <w:lang w:val="zh-CN"/>
        </w:rPr>
      </w:pPr>
      <w:r>
        <w:rPr>
          <w:rFonts w:hint="eastAsia" w:ascii="楷体_GB2312" w:hAnsi="楷体_GB2312" w:eastAsia="楷体_GB2312" w:cs="楷体_GB2312"/>
          <w:color w:val="auto"/>
          <w:kern w:val="0"/>
          <w:sz w:val="32"/>
          <w:szCs w:val="32"/>
          <w:highlight w:val="none"/>
          <w:shd w:val="clear" w:color="auto" w:fill="FFFFFF"/>
          <w:lang w:val="zh-CN"/>
        </w:rPr>
        <w:t>（三）人员概况。</w:t>
      </w:r>
    </w:p>
    <w:p>
      <w:pPr>
        <w:pStyle w:val="6"/>
        <w:numPr>
          <w:ilvl w:val="0"/>
          <w:numId w:val="0"/>
        </w:numPr>
        <w:ind w:leftChars="200"/>
        <w:rPr>
          <w:rFonts w:hint="default" w:eastAsia="仿宋_GB2312"/>
          <w:lang w:val="en-US" w:eastAsia="zh-CN"/>
        </w:rPr>
      </w:pPr>
      <w:r>
        <w:rPr>
          <w:rFonts w:hint="eastAsia"/>
          <w:lang w:val="en-US" w:eastAsia="zh-CN"/>
        </w:rPr>
        <w:t>广元市自然资源局截至2021年12月31日总编制175名，其中行政编制34名，参照公务员法管理的事业单位38名，工勤编3名，其他事业编100名。年末在职人员165人，其中行政人员30人，参照公务员法管理的事业单位44人，工勤人员4人，其他事业单位人员87人。</w:t>
      </w:r>
    </w:p>
    <w:p>
      <w:pPr>
        <w:keepNext w:val="0"/>
        <w:keepLines w:val="0"/>
        <w:pageBreakBefore w:val="0"/>
        <w:widowControl/>
        <w:kinsoku/>
        <w:wordWrap/>
        <w:overflowPunct/>
        <w:topLinePunct w:val="0"/>
        <w:autoSpaceDE/>
        <w:autoSpaceDN/>
        <w:bidi w:val="0"/>
        <w:adjustRightInd w:val="0"/>
        <w:snapToGrid w:val="0"/>
        <w:spacing w:line="572" w:lineRule="exact"/>
        <w:ind w:firstLine="640" w:firstLineChars="200"/>
        <w:contextualSpacing/>
        <w:jc w:val="left"/>
        <w:textAlignment w:val="auto"/>
        <w:rPr>
          <w:rFonts w:ascii="黑体" w:hAnsi="宋体" w:eastAsia="黑体" w:cs="宋体"/>
          <w:color w:val="auto"/>
          <w:kern w:val="0"/>
          <w:sz w:val="32"/>
          <w:szCs w:val="32"/>
          <w:highlight w:val="none"/>
          <w:shd w:val="clear" w:color="auto" w:fill="FFFFFF"/>
        </w:rPr>
      </w:pPr>
      <w:r>
        <w:rPr>
          <w:rFonts w:hint="eastAsia" w:ascii="黑体" w:hAnsi="宋体" w:eastAsia="黑体" w:cs="宋体"/>
          <w:color w:val="auto"/>
          <w:kern w:val="0"/>
          <w:sz w:val="32"/>
          <w:szCs w:val="32"/>
          <w:highlight w:val="none"/>
          <w:shd w:val="clear" w:color="auto" w:fill="FFFFFF"/>
        </w:rPr>
        <w:t>二、部门财政资金收支情况</w:t>
      </w:r>
    </w:p>
    <w:p>
      <w:pPr>
        <w:widowControl/>
        <w:adjustRightInd w:val="0"/>
        <w:snapToGrid w:val="0"/>
        <w:spacing w:line="580" w:lineRule="exact"/>
        <w:ind w:firstLine="640" w:firstLineChars="200"/>
        <w:jc w:val="left"/>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color w:val="auto"/>
          <w:kern w:val="0"/>
          <w:sz w:val="32"/>
          <w:szCs w:val="32"/>
          <w:highlight w:val="none"/>
          <w:shd w:val="clear" w:color="auto" w:fill="FFFFFF"/>
          <w:lang w:val="zh-CN"/>
        </w:rPr>
        <w:t>（一）部门财政资金收入情况。</w:t>
      </w:r>
      <w:r>
        <w:rPr>
          <w:rFonts w:hint="eastAsia" w:ascii="仿宋_GB2312" w:hAnsi="宋体" w:eastAsia="仿宋_GB2312" w:cs="宋体"/>
          <w:color w:val="auto"/>
          <w:kern w:val="0"/>
          <w:sz w:val="32"/>
          <w:szCs w:val="32"/>
          <w:highlight w:val="none"/>
          <w:shd w:val="clear" w:color="auto" w:fill="FFFFFF"/>
          <w:lang w:val="en-US" w:eastAsia="zh-CN"/>
        </w:rPr>
        <w:t>广元市自然资源局</w:t>
      </w:r>
      <w:r>
        <w:rPr>
          <w:rFonts w:hint="eastAsia" w:ascii="仿宋_GB2312" w:hAnsi="仿宋_GB2312" w:eastAsia="仿宋_GB2312" w:cs="仿宋_GB2312"/>
          <w:sz w:val="32"/>
          <w:szCs w:val="32"/>
          <w:lang w:val="en-US" w:eastAsia="zh-CN"/>
        </w:rPr>
        <w:t>2021年度财政拨款收入合计12646.10万元。其中：当年财政拨款收入10997.59万元（一般公共预算财政拨款收入4262.10万元、政府基金预算拨款收入6735.49万元），年初结转1648.51万元。</w:t>
      </w:r>
    </w:p>
    <w:p>
      <w:pPr>
        <w:widowControl/>
        <w:adjustRightInd w:val="0"/>
        <w:snapToGrid w:val="0"/>
        <w:spacing w:line="580" w:lineRule="exact"/>
        <w:ind w:firstLine="640" w:firstLineChars="200"/>
        <w:jc w:val="left"/>
        <w:rPr>
          <w:rFonts w:hint="eastAsia" w:ascii="楷体_GB2312" w:hAnsi="楷体_GB2312" w:eastAsia="楷体_GB2312" w:cs="楷体_GB2312"/>
          <w:color w:val="auto"/>
          <w:kern w:val="0"/>
          <w:sz w:val="32"/>
          <w:szCs w:val="32"/>
          <w:highlight w:val="none"/>
          <w:shd w:val="clear" w:color="auto" w:fill="FFFFFF"/>
          <w:lang w:val="en-US" w:eastAsia="zh-CN"/>
        </w:rPr>
      </w:pPr>
      <w:r>
        <w:rPr>
          <w:rFonts w:hint="eastAsia" w:ascii="楷体_GB2312" w:hAnsi="楷体_GB2312" w:eastAsia="楷体_GB2312" w:cs="楷体_GB2312"/>
          <w:color w:val="auto"/>
          <w:kern w:val="0"/>
          <w:sz w:val="32"/>
          <w:szCs w:val="32"/>
          <w:highlight w:val="none"/>
          <w:shd w:val="clear" w:color="auto" w:fill="FFFFFF"/>
          <w:lang w:val="en-US" w:eastAsia="zh-CN"/>
        </w:rPr>
        <w:t>（二）部门财政资金支出情况。</w:t>
      </w:r>
    </w:p>
    <w:p>
      <w:pPr>
        <w:spacing w:line="58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广元市自然资源局财政资金当年支出合计12646.1万元。其中，全年财政拨款支出11453.62万元：基本支出2718.52万元（人员经费2315.00万元、公用经费403.52万元），项目支出8735.1万元（一般公共预算财政拨款支出1788.09万元、政府基金预算支出6947.01元）,年末财政拨款结转1192.47万元。</w:t>
      </w:r>
    </w:p>
    <w:p>
      <w:pPr>
        <w:keepNext w:val="0"/>
        <w:keepLines w:val="0"/>
        <w:pageBreakBefore w:val="0"/>
        <w:widowControl/>
        <w:kinsoku/>
        <w:wordWrap/>
        <w:overflowPunct/>
        <w:topLinePunct w:val="0"/>
        <w:autoSpaceDE/>
        <w:autoSpaceDN/>
        <w:bidi w:val="0"/>
        <w:adjustRightInd w:val="0"/>
        <w:snapToGrid w:val="0"/>
        <w:spacing w:line="572" w:lineRule="exact"/>
        <w:ind w:firstLine="640" w:firstLineChars="200"/>
        <w:contextualSpacing/>
        <w:jc w:val="left"/>
        <w:textAlignment w:val="auto"/>
        <w:rPr>
          <w:rFonts w:ascii="黑体" w:hAnsi="宋体" w:eastAsia="黑体" w:cs="宋体"/>
          <w:color w:val="auto"/>
          <w:kern w:val="0"/>
          <w:sz w:val="32"/>
          <w:szCs w:val="32"/>
          <w:highlight w:val="none"/>
          <w:shd w:val="clear" w:color="auto" w:fill="FFFFFF"/>
        </w:rPr>
      </w:pPr>
      <w:r>
        <w:rPr>
          <w:rFonts w:hint="eastAsia" w:ascii="黑体" w:hAnsi="宋体" w:eastAsia="黑体" w:cs="宋体"/>
          <w:color w:val="auto"/>
          <w:kern w:val="0"/>
          <w:sz w:val="32"/>
          <w:szCs w:val="32"/>
          <w:highlight w:val="none"/>
          <w:shd w:val="clear" w:color="auto" w:fill="FFFFFF"/>
        </w:rPr>
        <w:t>三、</w:t>
      </w:r>
      <w:r>
        <w:rPr>
          <w:rFonts w:hint="eastAsia" w:ascii="黑体" w:hAnsi="宋体" w:eastAsia="黑体" w:cs="宋体"/>
          <w:color w:val="auto"/>
          <w:kern w:val="0"/>
          <w:sz w:val="32"/>
          <w:szCs w:val="32"/>
          <w:highlight w:val="none"/>
          <w:u w:val="none"/>
          <w:shd w:val="clear" w:color="auto" w:fill="FFFFFF"/>
        </w:rPr>
        <w:t>部门整体预算绩效管理情况</w:t>
      </w:r>
    </w:p>
    <w:p>
      <w:pPr>
        <w:keepNext w:val="0"/>
        <w:keepLines w:val="0"/>
        <w:pageBreakBefore w:val="0"/>
        <w:widowControl/>
        <w:kinsoku/>
        <w:wordWrap/>
        <w:overflowPunct/>
        <w:topLinePunct w:val="0"/>
        <w:autoSpaceDE/>
        <w:autoSpaceDN/>
        <w:bidi w:val="0"/>
        <w:adjustRightInd w:val="0"/>
        <w:snapToGrid w:val="0"/>
        <w:spacing w:line="572" w:lineRule="exact"/>
        <w:ind w:firstLine="640" w:firstLineChars="200"/>
        <w:contextualSpacing/>
        <w:jc w:val="left"/>
        <w:textAlignment w:val="auto"/>
        <w:rPr>
          <w:rFonts w:hint="eastAsia" w:ascii="楷体_GB2312" w:hAnsi="楷体_GB2312" w:eastAsia="楷体_GB2312" w:cs="楷体_GB2312"/>
          <w:color w:val="auto"/>
          <w:kern w:val="0"/>
          <w:sz w:val="32"/>
          <w:szCs w:val="32"/>
          <w:highlight w:val="none"/>
          <w:shd w:val="clear" w:color="auto" w:fill="FFFFFF"/>
          <w:lang w:val="zh-CN"/>
        </w:rPr>
      </w:pPr>
      <w:r>
        <w:rPr>
          <w:rFonts w:hint="eastAsia" w:ascii="楷体_GB2312" w:hAnsi="楷体_GB2312" w:eastAsia="楷体_GB2312" w:cs="楷体_GB2312"/>
          <w:color w:val="auto"/>
          <w:kern w:val="0"/>
          <w:sz w:val="32"/>
          <w:szCs w:val="32"/>
          <w:highlight w:val="none"/>
          <w:shd w:val="clear" w:color="auto" w:fill="FFFFFF"/>
          <w:lang w:val="zh-CN"/>
        </w:rPr>
        <w:t>（一）部门预算项目绩效管理。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1.整体绩效目标</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年度总</w:t>
      </w:r>
      <w:r>
        <w:rPr>
          <w:rFonts w:hint="eastAsia" w:ascii="仿宋_GB2312" w:hAnsi="仿宋_GB2312" w:cs="仿宋_GB2312"/>
          <w:b w:val="0"/>
          <w:bCs w:val="0"/>
          <w:sz w:val="32"/>
          <w:szCs w:val="32"/>
          <w:lang w:val="en-US" w:eastAsia="zh-CN"/>
        </w:rPr>
        <w:t>体</w:t>
      </w:r>
      <w:r>
        <w:rPr>
          <w:rFonts w:hint="eastAsia" w:ascii="仿宋_GB2312" w:hAnsi="仿宋_GB2312" w:eastAsia="仿宋_GB2312" w:cs="仿宋_GB2312"/>
          <w:b w:val="0"/>
          <w:bCs w:val="0"/>
          <w:sz w:val="32"/>
          <w:szCs w:val="32"/>
          <w:lang w:val="en-US" w:eastAsia="zh-CN"/>
        </w:rPr>
        <w:t>目标：</w:t>
      </w:r>
      <w:r>
        <w:rPr>
          <w:rFonts w:hint="eastAsia" w:ascii="仿宋_GB2312" w:hAnsi="仿宋_GB2312" w:cs="仿宋_GB2312"/>
          <w:b w:val="0"/>
          <w:bCs w:val="0"/>
          <w:sz w:val="32"/>
          <w:szCs w:val="32"/>
          <w:lang w:val="en-US" w:eastAsia="zh-CN"/>
        </w:rPr>
        <w:t>（1）</w:t>
      </w:r>
      <w:r>
        <w:rPr>
          <w:rFonts w:hint="eastAsia" w:ascii="仿宋_GB2312" w:hAnsi="仿宋_GB2312" w:eastAsia="仿宋_GB2312" w:cs="仿宋_GB2312"/>
          <w:b w:val="0"/>
          <w:bCs w:val="0"/>
          <w:sz w:val="32"/>
          <w:szCs w:val="32"/>
          <w:lang w:val="en-US" w:eastAsia="zh-CN"/>
        </w:rPr>
        <w:t>尽心尽力维护民生。</w:t>
      </w:r>
      <w:r>
        <w:rPr>
          <w:rFonts w:hint="eastAsia" w:ascii="仿宋_GB2312" w:hAnsi="仿宋_GB2312" w:cs="仿宋_GB2312"/>
          <w:b w:val="0"/>
          <w:bCs w:val="0"/>
          <w:sz w:val="32"/>
          <w:szCs w:val="32"/>
          <w:lang w:val="en-US" w:eastAsia="zh-CN"/>
        </w:rPr>
        <w:t>全力</w:t>
      </w:r>
      <w:r>
        <w:rPr>
          <w:rFonts w:hint="eastAsia" w:ascii="仿宋_GB2312" w:hAnsi="仿宋_GB2312" w:eastAsia="仿宋_GB2312" w:cs="仿宋_GB2312"/>
          <w:b w:val="0"/>
          <w:bCs w:val="0"/>
          <w:sz w:val="32"/>
          <w:szCs w:val="32"/>
          <w:lang w:val="en-US" w:eastAsia="zh-CN"/>
        </w:rPr>
        <w:t>保</w:t>
      </w:r>
      <w:r>
        <w:rPr>
          <w:rFonts w:hint="eastAsia" w:ascii="仿宋_GB2312" w:hAnsi="仿宋_GB2312" w:cs="仿宋_GB2312"/>
          <w:b w:val="0"/>
          <w:bCs w:val="0"/>
          <w:sz w:val="32"/>
          <w:szCs w:val="32"/>
          <w:lang w:val="en-US" w:eastAsia="zh-CN"/>
        </w:rPr>
        <w:t>证</w:t>
      </w:r>
      <w:r>
        <w:rPr>
          <w:rFonts w:hint="eastAsia" w:ascii="仿宋_GB2312" w:hAnsi="仿宋_GB2312" w:eastAsia="仿宋_GB2312" w:cs="仿宋_GB2312"/>
          <w:b w:val="0"/>
          <w:bCs w:val="0"/>
          <w:sz w:val="32"/>
          <w:szCs w:val="32"/>
          <w:lang w:val="en-US" w:eastAsia="zh-CN"/>
        </w:rPr>
        <w:t>干部职工的合法权益，提高干部职工的工作积极性，保证单位正常运转，有效提升全局办事效率和推动全局工作高效完成。</w:t>
      </w:r>
      <w:r>
        <w:rPr>
          <w:rFonts w:hint="eastAsia" w:ascii="仿宋_GB2312" w:hAnsi="仿宋_GB2312" w:cs="仿宋_GB2312"/>
          <w:b w:val="0"/>
          <w:bCs w:val="0"/>
          <w:sz w:val="32"/>
          <w:szCs w:val="32"/>
          <w:lang w:val="en-US" w:eastAsia="zh-CN"/>
        </w:rPr>
        <w:t>（2）</w:t>
      </w:r>
      <w:r>
        <w:rPr>
          <w:rFonts w:hint="eastAsia" w:ascii="仿宋_GB2312" w:hAnsi="仿宋_GB2312" w:eastAsia="仿宋_GB2312" w:cs="仿宋_GB2312"/>
          <w:b w:val="0"/>
          <w:bCs w:val="0"/>
          <w:sz w:val="32"/>
          <w:szCs w:val="32"/>
          <w:lang w:val="en-US" w:eastAsia="zh-CN"/>
        </w:rPr>
        <w:t>聚焦能力素质提升。一是提升了干部政治能力。组织局党委理论学习中心组开展集中学习14次，督促机关各支部开展党史教育专题学习12次。</w:t>
      </w:r>
      <w:r>
        <w:rPr>
          <w:rFonts w:hint="eastAsia" w:ascii="仿宋_GB2312" w:hAnsi="仿宋_GB2312" w:cs="仿宋_GB2312"/>
          <w:b w:val="0"/>
          <w:bCs w:val="0"/>
          <w:sz w:val="32"/>
          <w:szCs w:val="32"/>
          <w:lang w:val="en-US" w:eastAsia="zh-CN"/>
        </w:rPr>
        <w:t>(3)</w:t>
      </w:r>
      <w:r>
        <w:rPr>
          <w:rFonts w:hint="eastAsia" w:ascii="仿宋_GB2312" w:hAnsi="仿宋_GB2312" w:eastAsia="仿宋_GB2312" w:cs="仿宋_GB2312"/>
          <w:b w:val="0"/>
          <w:bCs w:val="0"/>
          <w:sz w:val="32"/>
          <w:szCs w:val="32"/>
          <w:lang w:val="en-US" w:eastAsia="zh-CN"/>
        </w:rPr>
        <w:t>聚焦服务质效提升。一是扎实推进“一网通办”前提下“做多跑一次”。我局牵头的登记财产指标，做到全省有位、全市领跑，其先进做法入选省优化营商环境案例。二是持续深化工程建设项目审批制度改革。对标对标完善工作机制，立足精细管理逐项分解任务目标，营造“人人都是营商环境、事事都是营商环境”的工作氛围。</w:t>
      </w:r>
      <w:r>
        <w:rPr>
          <w:rFonts w:hint="eastAsia" w:ascii="仿宋_GB2312" w:hAnsi="仿宋_GB2312" w:cs="仿宋_GB2312"/>
          <w:b w:val="0"/>
          <w:bCs w:val="0"/>
          <w:sz w:val="32"/>
          <w:szCs w:val="32"/>
          <w:lang w:val="en-US" w:eastAsia="zh-CN"/>
        </w:rPr>
        <w:t>(4)</w:t>
      </w:r>
      <w:r>
        <w:rPr>
          <w:rFonts w:hint="eastAsia" w:ascii="仿宋_GB2312" w:hAnsi="仿宋_GB2312" w:eastAsia="仿宋_GB2312" w:cs="仿宋_GB2312"/>
          <w:b w:val="0"/>
          <w:bCs w:val="0"/>
          <w:sz w:val="32"/>
          <w:szCs w:val="32"/>
          <w:lang w:val="en-US" w:eastAsia="zh-CN"/>
        </w:rPr>
        <w:t>聚焦保障水平提升。一是强化规划引领，今年出具各类建设项目规划及用地红线图100余件，有力助推各类建设项目落地实施，为项目前期工作开展提供坚实的规划要素保障。二是提升用地保障能力。科学编制供地计划，2021年市本级及辖区计划供地34696.01亩，市本级供应各类建设用地54宗，其中出让31宗1333.83亩出让收入35.56亿元。按照自然资源部“双随机、一公开”土地报征审件标准全年共报征44件次共11148.402亩。三是增强矿产资源保障能力。制定了《广元市矿产资源总体规划（2021-2025年》（送审稿），全年市本级办结采矿权探矿权登记39件，上报省厅15件，全年实现采矿权出让收益31763万元，同比增长1500%。为重点项目保障砂石资源约1000万吨，有力支撑了广平高速、京昆高速绵广复线、绵万高速、西部建材家居城等重点项目需求。四是增强生态环境保障能力。累计完成了223个历史遗留矿山生态修复项目验收工作，面积6843.9亩，占下达任务的113%。</w:t>
      </w:r>
      <w:r>
        <w:rPr>
          <w:rFonts w:hint="eastAsia" w:ascii="仿宋_GB2312" w:hAnsi="仿宋_GB2312" w:cs="仿宋_GB2312"/>
          <w:b w:val="0"/>
          <w:bCs w:val="0"/>
          <w:sz w:val="32"/>
          <w:szCs w:val="32"/>
          <w:lang w:val="en-US" w:eastAsia="zh-CN"/>
        </w:rPr>
        <w:t>(5)</w:t>
      </w:r>
      <w:r>
        <w:rPr>
          <w:rFonts w:hint="eastAsia" w:ascii="仿宋_GB2312" w:hAnsi="仿宋_GB2312" w:eastAsia="仿宋_GB2312" w:cs="仿宋_GB2312"/>
          <w:b w:val="0"/>
          <w:bCs w:val="0"/>
          <w:sz w:val="32"/>
          <w:szCs w:val="32"/>
          <w:lang w:val="en-US" w:eastAsia="zh-CN"/>
        </w:rPr>
        <w:t>扎实推动“地灾防治全域综合整治三年行动”攻坚。制定并通过了《广元市地质灾害全域综合整治三年行动计划（2021-2023）任务分配方案。</w:t>
      </w:r>
      <w:r>
        <w:rPr>
          <w:rFonts w:hint="eastAsia" w:ascii="仿宋_GB2312" w:hAnsi="仿宋_GB2312" w:cs="仿宋_GB2312"/>
          <w:b w:val="0"/>
          <w:bCs w:val="0"/>
          <w:sz w:val="32"/>
          <w:szCs w:val="32"/>
          <w:lang w:val="en-US" w:eastAsia="zh-CN"/>
        </w:rPr>
        <w:t>(6)</w:t>
      </w:r>
      <w:r>
        <w:rPr>
          <w:rFonts w:hint="eastAsia" w:ascii="仿宋_GB2312" w:hAnsi="仿宋_GB2312" w:eastAsia="仿宋_GB2312" w:cs="仿宋_GB2312"/>
          <w:b w:val="0"/>
          <w:bCs w:val="0"/>
          <w:sz w:val="32"/>
          <w:szCs w:val="32"/>
          <w:lang w:val="en-US" w:eastAsia="zh-CN"/>
        </w:rPr>
        <w:t>扎实推动“国土空间规划”攻坚。全市共划分乡镇级片区33个，村级片区439个，启动了8个片区乡镇（片区）国土空间总体规划编制</w:t>
      </w:r>
      <w:r>
        <w:rPr>
          <w:rFonts w:hint="eastAsia" w:ascii="仿宋_GB2312" w:hAnsi="仿宋_GB2312" w:cs="仿宋_GB2312"/>
          <w:b w:val="0"/>
          <w:bCs w:val="0"/>
          <w:sz w:val="32"/>
          <w:szCs w:val="32"/>
          <w:lang w:val="en-US" w:eastAsia="zh-CN"/>
        </w:rPr>
        <w:t>试</w:t>
      </w:r>
      <w:r>
        <w:rPr>
          <w:rFonts w:hint="eastAsia" w:ascii="仿宋_GB2312" w:hAnsi="仿宋_GB2312" w:eastAsia="仿宋_GB2312" w:cs="仿宋_GB2312"/>
          <w:b w:val="0"/>
          <w:bCs w:val="0"/>
          <w:sz w:val="32"/>
          <w:szCs w:val="32"/>
          <w:lang w:val="en-US" w:eastAsia="zh-CN"/>
        </w:rPr>
        <w:t>点。有序推进国土空间规划基础信息平台和“一张图”实施监督信息系统建设。市级“一张图”项目已于2021年7月开始上线试运行，确保与国土空间总体规划同步报批。</w:t>
      </w:r>
      <w:r>
        <w:rPr>
          <w:rFonts w:hint="eastAsia" w:ascii="仿宋_GB2312" w:hAnsi="仿宋_GB2312" w:cs="仿宋_GB2312"/>
          <w:b w:val="0"/>
          <w:bCs w:val="0"/>
          <w:sz w:val="32"/>
          <w:szCs w:val="32"/>
          <w:lang w:val="en-US" w:eastAsia="zh-CN"/>
        </w:rPr>
        <w:t>（7）</w:t>
      </w:r>
      <w:r>
        <w:rPr>
          <w:rFonts w:hint="eastAsia" w:ascii="仿宋_GB2312" w:hAnsi="仿宋_GB2312" w:eastAsia="仿宋_GB2312" w:cs="仿宋_GB2312"/>
          <w:b w:val="0"/>
          <w:bCs w:val="0"/>
          <w:sz w:val="32"/>
          <w:szCs w:val="32"/>
          <w:lang w:val="en-US" w:eastAsia="zh-CN"/>
        </w:rPr>
        <w:t>扎实推动“违法处置”攻坚。一是严格开展卫片执法监督检查。自然资源部下发我市卫片执法图斑1286个，已全部完成核查填报，经核查判定共发现土地违法用地图斑303个，涉及土地面积5146.62亩，发现矿产违法图斑4个。同时，已全部完成省厅下发310个自主检测卫片执法图斑核查和填报。二是稳步推进农村乱占耕地建房问题整改攻坚。扎实开展农村乱占耕地建房问题摸排工作“回头看”，发现“不应纳入而纳入”的项目45个，发现应纳入未纳入的项目5167个，目前市县均已建立台账，待国家平台开放后予以清理或上传。三是持续推进土地督察问题整改攻坚。2021年全市土地例行督察挂账问题需整改35个，已整改13个，另22个问题正积极推进中。</w:t>
      </w:r>
      <w:r>
        <w:rPr>
          <w:rFonts w:hint="eastAsia" w:ascii="仿宋_GB2312" w:hAnsi="仿宋_GB2312" w:cs="仿宋_GB2312"/>
          <w:b w:val="0"/>
          <w:bCs w:val="0"/>
          <w:sz w:val="32"/>
          <w:szCs w:val="32"/>
          <w:lang w:val="en-US" w:eastAsia="zh-CN"/>
        </w:rPr>
        <w:t>（8）</w:t>
      </w:r>
      <w:r>
        <w:rPr>
          <w:rFonts w:hint="eastAsia" w:ascii="仿宋_GB2312" w:hAnsi="仿宋_GB2312" w:eastAsia="仿宋_GB2312" w:cs="仿宋_GB2312"/>
          <w:b w:val="0"/>
          <w:bCs w:val="0"/>
          <w:sz w:val="32"/>
          <w:szCs w:val="32"/>
          <w:lang w:val="en-US" w:eastAsia="zh-CN"/>
        </w:rPr>
        <w:t>扎实推动“批而未供处置”攻坚。全年处置批而未供土地13924.6亩、限制土地1161.8亩，相应产生土地利用计划指标6510.2亩，有效保障了绵苍高速（广元段）、西二环延伸段道路工程、省区域应急救援广元基地等重点项目用地需求。</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eastAsia="仿宋_GB2312"/>
          <w:lang w:val="en-US" w:eastAsia="zh-CN"/>
        </w:rPr>
      </w:pPr>
      <w:r>
        <w:rPr>
          <w:rFonts w:hint="eastAsia" w:ascii="仿宋_GB2312" w:hAnsi="仿宋_GB2312" w:eastAsia="仿宋_GB2312" w:cs="仿宋_GB2312"/>
          <w:b w:val="0"/>
          <w:bCs w:val="0"/>
          <w:sz w:val="32"/>
          <w:szCs w:val="32"/>
          <w:lang w:val="en-US" w:eastAsia="zh-CN"/>
        </w:rPr>
        <w:t>2.项目绩效目标。</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(1）人员类绩效目标。2021年</w:t>
      </w:r>
      <w:r>
        <w:rPr>
          <w:rFonts w:hint="eastAsia" w:ascii="仿宋_GB2312" w:hAnsi="仿宋_GB2312" w:cs="仿宋_GB2312"/>
          <w:sz w:val="32"/>
          <w:szCs w:val="32"/>
          <w:lang w:val="en-US" w:eastAsia="zh-CN"/>
        </w:rPr>
        <w:t>财政下达我局局机关及直属事业单位</w:t>
      </w:r>
      <w:r>
        <w:rPr>
          <w:rFonts w:hint="eastAsia" w:ascii="仿宋_GB2312" w:hAnsi="仿宋_GB2312" w:eastAsia="仿宋_GB2312" w:cs="仿宋_GB2312"/>
          <w:sz w:val="32"/>
          <w:szCs w:val="32"/>
          <w:lang w:val="en-US" w:eastAsia="zh-CN"/>
        </w:rPr>
        <w:t>人员工资福利预算</w:t>
      </w:r>
      <w:r>
        <w:rPr>
          <w:rFonts w:hint="eastAsia" w:ascii="仿宋_GB2312" w:hAnsi="仿宋_GB2312" w:cs="仿宋_GB2312"/>
          <w:sz w:val="32"/>
          <w:szCs w:val="32"/>
          <w:lang w:val="en-US" w:eastAsia="zh-CN"/>
        </w:rPr>
        <w:t>2315</w:t>
      </w:r>
      <w:r>
        <w:rPr>
          <w:rFonts w:hint="eastAsia" w:ascii="仿宋_GB2312" w:hAnsi="仿宋_GB2312" w:eastAsia="仿宋_GB2312" w:cs="仿宋_GB2312"/>
          <w:sz w:val="32"/>
          <w:szCs w:val="32"/>
          <w:lang w:val="en-US" w:eastAsia="zh-CN"/>
        </w:rPr>
        <w:t>万元，执行</w:t>
      </w:r>
      <w:r>
        <w:rPr>
          <w:rFonts w:hint="eastAsia" w:ascii="仿宋_GB2312" w:hAnsi="仿宋_GB2312" w:cs="仿宋_GB2312"/>
          <w:sz w:val="32"/>
          <w:szCs w:val="32"/>
          <w:lang w:val="en-US" w:eastAsia="zh-CN"/>
        </w:rPr>
        <w:t>2315</w:t>
      </w:r>
      <w:r>
        <w:rPr>
          <w:rFonts w:hint="eastAsia" w:ascii="仿宋_GB2312" w:hAnsi="仿宋_GB2312" w:eastAsia="仿宋_GB2312" w:cs="仿宋_GB2312"/>
          <w:sz w:val="32"/>
          <w:szCs w:val="32"/>
          <w:lang w:val="en-US" w:eastAsia="zh-CN"/>
        </w:rPr>
        <w:t>万元，</w:t>
      </w:r>
      <w:r>
        <w:rPr>
          <w:rFonts w:hint="eastAsia" w:ascii="仿宋_GB2312" w:hAnsi="仿宋_GB2312" w:cs="仿宋_GB2312"/>
          <w:sz w:val="32"/>
          <w:szCs w:val="32"/>
          <w:lang w:val="en-US" w:eastAsia="zh-CN"/>
        </w:rPr>
        <w:t>执行率</w:t>
      </w:r>
      <w:r>
        <w:rPr>
          <w:rFonts w:hint="eastAsia" w:ascii="仿宋_GB2312" w:hAnsi="仿宋_GB2312" w:eastAsia="仿宋_GB2312" w:cs="仿宋_GB2312"/>
          <w:sz w:val="32"/>
          <w:szCs w:val="32"/>
          <w:lang w:val="en-US" w:eastAsia="zh-CN"/>
        </w:rPr>
        <w:t>100%。我局尽心尽力维护民生，严格执行预算，保障了干部职工的合法权益，有效提升干部职工的工作积极性。</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(2）运转类绩效目标。2021年</w:t>
      </w:r>
      <w:r>
        <w:rPr>
          <w:rFonts w:hint="eastAsia" w:ascii="仿宋_GB2312" w:hAnsi="仿宋_GB2312" w:cs="仿宋_GB2312"/>
          <w:sz w:val="32"/>
          <w:szCs w:val="32"/>
          <w:lang w:val="en-US" w:eastAsia="zh-CN"/>
        </w:rPr>
        <w:t>市财政下达我局局机关及直属事业单位</w:t>
      </w:r>
      <w:r>
        <w:rPr>
          <w:rFonts w:hint="eastAsia" w:ascii="仿宋_GB2312" w:hAnsi="仿宋_GB2312" w:eastAsia="仿宋_GB2312" w:cs="仿宋_GB2312"/>
          <w:sz w:val="32"/>
          <w:szCs w:val="32"/>
          <w:lang w:val="en-US" w:eastAsia="zh-CN"/>
        </w:rPr>
        <w:t>运转类项目（公用经费）预算</w:t>
      </w:r>
      <w:r>
        <w:rPr>
          <w:rFonts w:hint="eastAsia" w:ascii="仿宋_GB2312" w:hAnsi="仿宋_GB2312" w:cs="仿宋_GB2312"/>
          <w:sz w:val="32"/>
          <w:szCs w:val="32"/>
          <w:lang w:val="en-US" w:eastAsia="zh-CN"/>
        </w:rPr>
        <w:t>337.61</w:t>
      </w:r>
      <w:r>
        <w:rPr>
          <w:rFonts w:hint="eastAsia" w:ascii="仿宋_GB2312" w:hAnsi="仿宋_GB2312" w:eastAsia="仿宋_GB2312" w:cs="仿宋_GB2312"/>
          <w:sz w:val="32"/>
          <w:szCs w:val="32"/>
          <w:lang w:val="en-US" w:eastAsia="zh-CN"/>
        </w:rPr>
        <w:t>万元，上年结转</w:t>
      </w:r>
      <w:r>
        <w:rPr>
          <w:rFonts w:hint="eastAsia" w:ascii="仿宋_GB2312" w:hAnsi="仿宋_GB2312" w:cs="仿宋_GB2312"/>
          <w:sz w:val="32"/>
          <w:szCs w:val="32"/>
          <w:lang w:val="en-US" w:eastAsia="zh-CN"/>
        </w:rPr>
        <w:t>272.91</w:t>
      </w:r>
      <w:r>
        <w:rPr>
          <w:rFonts w:hint="eastAsia" w:ascii="仿宋_GB2312" w:hAnsi="仿宋_GB2312" w:eastAsia="仿宋_GB2312" w:cs="仿宋_GB2312"/>
          <w:sz w:val="32"/>
          <w:szCs w:val="32"/>
          <w:lang w:val="en-US" w:eastAsia="zh-CN"/>
        </w:rPr>
        <w:t>万元，合计</w:t>
      </w:r>
      <w:r>
        <w:rPr>
          <w:rFonts w:hint="eastAsia" w:ascii="仿宋_GB2312" w:hAnsi="仿宋_GB2312" w:cs="仿宋_GB2312"/>
          <w:sz w:val="32"/>
          <w:szCs w:val="32"/>
          <w:lang w:val="en-US" w:eastAsia="zh-CN"/>
        </w:rPr>
        <w:t>610.52</w:t>
      </w:r>
      <w:r>
        <w:rPr>
          <w:rFonts w:hint="eastAsia" w:ascii="仿宋_GB2312" w:hAnsi="仿宋_GB2312" w:eastAsia="仿宋_GB2312" w:cs="仿宋_GB2312"/>
          <w:sz w:val="32"/>
          <w:szCs w:val="32"/>
          <w:lang w:val="en-US" w:eastAsia="zh-CN"/>
        </w:rPr>
        <w:t>万元，全年支出</w:t>
      </w:r>
      <w:r>
        <w:rPr>
          <w:rFonts w:hint="eastAsia" w:ascii="仿宋_GB2312" w:hAnsi="仿宋_GB2312" w:cs="仿宋_GB2312"/>
          <w:sz w:val="32"/>
          <w:szCs w:val="32"/>
          <w:lang w:val="en-US" w:eastAsia="zh-CN"/>
        </w:rPr>
        <w:t>403.52</w:t>
      </w:r>
      <w:r>
        <w:rPr>
          <w:rFonts w:hint="eastAsia" w:ascii="仿宋_GB2312" w:hAnsi="仿宋_GB2312" w:eastAsia="仿宋_GB2312" w:cs="仿宋_GB2312"/>
          <w:sz w:val="32"/>
          <w:szCs w:val="32"/>
          <w:lang w:val="en-US" w:eastAsia="zh-CN"/>
        </w:rPr>
        <w:t>万元，完成预算</w:t>
      </w:r>
      <w:r>
        <w:rPr>
          <w:rFonts w:hint="eastAsia" w:ascii="仿宋_GB2312" w:hAnsi="仿宋_GB2312" w:cs="仿宋_GB2312"/>
          <w:sz w:val="32"/>
          <w:szCs w:val="32"/>
          <w:lang w:val="en-US" w:eastAsia="zh-CN"/>
        </w:rPr>
        <w:t>66.09</w:t>
      </w:r>
      <w:r>
        <w:rPr>
          <w:rFonts w:hint="eastAsia" w:ascii="仿宋_GB2312" w:hAnsi="仿宋_GB2312" w:eastAsia="仿宋_GB2312" w:cs="仿宋_GB2312"/>
          <w:sz w:val="32"/>
          <w:szCs w:val="32"/>
          <w:lang w:val="en-US" w:eastAsia="zh-CN"/>
        </w:rPr>
        <w:t>%，结转</w:t>
      </w:r>
      <w:r>
        <w:rPr>
          <w:rFonts w:hint="eastAsia" w:ascii="仿宋_GB2312" w:hAnsi="仿宋_GB2312" w:cs="仿宋_GB2312"/>
          <w:sz w:val="32"/>
          <w:szCs w:val="32"/>
          <w:lang w:val="en-US" w:eastAsia="zh-CN"/>
        </w:rPr>
        <w:t>207</w:t>
      </w:r>
      <w:r>
        <w:rPr>
          <w:rFonts w:hint="eastAsia" w:ascii="仿宋_GB2312" w:hAnsi="仿宋_GB2312" w:eastAsia="仿宋_GB2312" w:cs="仿宋_GB2312"/>
          <w:sz w:val="32"/>
          <w:szCs w:val="32"/>
          <w:lang w:val="en-US" w:eastAsia="zh-CN"/>
        </w:rPr>
        <w:t>万元，</w:t>
      </w:r>
      <w:r>
        <w:rPr>
          <w:rFonts w:hint="eastAsia" w:ascii="仿宋_GB2312" w:hAnsi="仿宋_GB2312" w:cs="仿宋_GB2312"/>
          <w:sz w:val="32"/>
          <w:szCs w:val="32"/>
          <w:lang w:val="en-US" w:eastAsia="zh-CN"/>
        </w:rPr>
        <w:t>结转资金</w:t>
      </w:r>
      <w:r>
        <w:rPr>
          <w:rFonts w:hint="eastAsia" w:ascii="仿宋_GB2312" w:hAnsi="仿宋_GB2312" w:eastAsia="仿宋_GB2312" w:cs="仿宋_GB2312"/>
          <w:sz w:val="32"/>
          <w:szCs w:val="32"/>
          <w:lang w:val="en-US" w:eastAsia="zh-CN"/>
        </w:rPr>
        <w:t>已缴入财政代管资金专户。通过项目实施，</w:t>
      </w:r>
      <w:r>
        <w:rPr>
          <w:rFonts w:hint="eastAsia" w:ascii="仿宋_GB2312" w:hAnsi="仿宋_GB2312" w:cs="仿宋_GB2312"/>
          <w:sz w:val="32"/>
          <w:szCs w:val="32"/>
          <w:lang w:val="en-US" w:eastAsia="zh-CN"/>
        </w:rPr>
        <w:t>确保</w:t>
      </w:r>
      <w:r>
        <w:rPr>
          <w:rFonts w:hint="eastAsia" w:ascii="仿宋_GB2312" w:hAnsi="仿宋_GB2312" w:eastAsia="仿宋_GB2312" w:cs="仿宋_GB2312"/>
          <w:sz w:val="32"/>
          <w:szCs w:val="32"/>
          <w:lang w:val="en-US" w:eastAsia="zh-CN"/>
        </w:rPr>
        <w:t>了单位正常运转，有效提升全局办事效率和推动全局工作高效完成。</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cs="仿宋_GB2312"/>
          <w:sz w:val="32"/>
          <w:szCs w:val="32"/>
          <w:lang w:val="en-US" w:eastAsia="zh-CN"/>
        </w:rPr>
      </w:pPr>
      <w:r>
        <w:rPr>
          <w:rFonts w:hint="eastAsia" w:ascii="仿宋_GB2312" w:hAnsi="仿宋_GB2312" w:eastAsia="仿宋_GB2312" w:cs="仿宋_GB2312"/>
          <w:sz w:val="32"/>
          <w:szCs w:val="32"/>
          <w:lang w:val="en-US" w:eastAsia="zh-CN"/>
        </w:rPr>
        <w:t>(3）特定目标类项目（部门预算常规项目</w:t>
      </w:r>
      <w:r>
        <w:rPr>
          <w:rFonts w:hint="eastAsia" w:ascii="仿宋_GB2312" w:hAnsi="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①局机关特定目标类项目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度市财政下达我局局机关项目工作经费163万，实际支付163万元，完成预算100%，没有结转结余资金，主要用于“地灾防治工作经费”、“土地权属争议调处及土地变更工作经费”、“土地整治和土地报征工作经费”、“矿业权管理专项业务经费”、“矿业权人勘察开采信息公示系统工作经费”、“农村乱占耕地建房问题处置工作经费”、“卫片执法及案件查处、动态巡查工作经费”、“项目工作经费”、“自然资源信息化运行维护工作经费”、“土地督察工作经费”、“精准扶贫驻村工作经费”、“派驻纪检组工作经费”、“矿产资源储量评审备案及矿山储量动态监测工作经费”13个项目的工作经费。具体如下。</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矿业权管理专项业务经费：</w:t>
      </w:r>
      <w:r>
        <w:rPr>
          <w:rFonts w:hint="eastAsia" w:ascii="仿宋_GB2312" w:hAnsi="仿宋_GB2312" w:eastAsia="仿宋_GB2312" w:cs="仿宋_GB2312"/>
          <w:sz w:val="32"/>
          <w:szCs w:val="32"/>
          <w:lang w:val="en-US" w:eastAsia="zh-CN"/>
        </w:rPr>
        <w:t>全年财政预算10万元，实际支付10万元，执行率100%。完成的主要目标：一是矿产资源规划完成。完成了《广元市矿产资源总体规划（2021-2025）》（送审稿），提出了以砂石建材保障重要门户枢纽建设、以全域地热温泉支撑康养旅游胜地、以优势矿产资源高质量开发助力幸福美丽家园，为全面建设社会主义现代化广元提供有力保障。二是重点项目资源保障落实。公开挂牌出让的青川建峰镇青风村灰岩矿、清溪平桥村蒲家沟灰岩矿及剑阁下寺灰岩4个采矿权成功摘牌，出让可信储量3300万吨。二是完成市级办结采矿权探矿权登记39件，上报省厅15件，全市实现采矿权出让收益31763万元，同比增长1500%，为重点项目保障砂石资源约1000万吨，有力支撑了广平高速、京昆高速绵广复线、绵万高速、西部建材家居城等建设项目需求。三是完成了矿业权出让基准价调整更新。四是全面系统完成了矿业权专项清理工作，共清理全市有效采矿权157个，有效探矿权33个。</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矿业权人开采信息公示系统工作经费：</w:t>
      </w:r>
      <w:r>
        <w:rPr>
          <w:rFonts w:hint="eastAsia" w:ascii="仿宋_GB2312" w:hAnsi="仿宋_GB2312" w:eastAsia="仿宋_GB2312" w:cs="仿宋_GB2312"/>
          <w:sz w:val="32"/>
          <w:szCs w:val="32"/>
          <w:lang w:val="en-US" w:eastAsia="zh-CN"/>
        </w:rPr>
        <w:t>全年预算7.6万元，实际支付7.6万元，执行率100%。主要完成目标：全年完成27个探矿权、171个采矿权开采勘查信息进行了公示，公示率100%，组织专门核查小组，对7宗采矿权、13宗探矿权勘查开采公示信息开展实地核查，实地核查比例9.9%，超过省厅下发任务5%的目标，指导县区局完成了24宗专项抽查的矿业权实地核查，核查信息及图件已录入自然资源外业核查系统，对13个矿山采矿权人履行生态修复义务情况随机抽查，以优势矿产资源高质量开发助力幸福美丽家园，为全面建设社会主义现代化广元提供有力资源保障。通过项目的实施，推进矿产资源绿色勘察开发，为矿业权出让提供基础资料，提高政府收益。</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自然资源信息化运行维护工作经费：</w:t>
      </w:r>
      <w:r>
        <w:rPr>
          <w:rFonts w:hint="eastAsia" w:ascii="仿宋_GB2312" w:hAnsi="仿宋_GB2312" w:eastAsia="仿宋_GB2312" w:cs="仿宋_GB2312"/>
          <w:sz w:val="32"/>
          <w:szCs w:val="32"/>
          <w:lang w:val="en-US" w:eastAsia="zh-CN"/>
        </w:rPr>
        <w:t>全年预算6.62万元，实际支付6.62万元，执行率100%。完成的主要目标：全年机房服务器、交换机、安全设备、消防设备各维修1次；局域内网、专网、互联网、党政网维护12次，OA办公设备运维12次，信息发布端维护12次。通过项目的实施,保障自然资源信息化正常运行和维护，保障自然资源网络通讯正常运行，升级自然资源主干网络，提升安全等级，确保自然资源管理工作正常有序开展。</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土地权属争议调处及土地变更查工作经费：</w:t>
      </w:r>
      <w:r>
        <w:rPr>
          <w:rFonts w:hint="eastAsia" w:ascii="仿宋_GB2312" w:hAnsi="仿宋_GB2312" w:eastAsia="仿宋_GB2312" w:cs="仿宋_GB2312"/>
          <w:sz w:val="32"/>
          <w:szCs w:val="32"/>
          <w:lang w:val="en-US" w:eastAsia="zh-CN"/>
        </w:rPr>
        <w:t>全年预算12万元，实际支付12万元，执行率100%。主要完成目标：一是高效完成2020年度国土变更调查工作，完成省下发线索图斑比对提取变化图斑并上报省厅，督导县区完成“互联网+”外业举证工作共计上传图斑26996个，并完成县级年度变更调查更新工作形成初始成果提交省厅。二是组织开展2020年度变更调查成果核实整改，全市供给修改图斑365个，图斑漏绘100个，图斑恢复属性调整265个。2021年度全市国土变更调查成果已通过国家内业核查和数据库质量检查，变更调查成果质量达到国家标准。三是全面完成2021年度耕地动态监测外业核查工作。在“国土调查云”平台对县区提交的7295个外业核查图斑进行复核，按时按质向省厅提交耕地动态监测成果。四是推动林权资料移交数据整合。五是努力化解权属纠纷。2021年度全年完成土地权属纠纷调处8宗，林权纠纷2宗，做好群众信访接待工作，切实解决好来访群众所反映的实际问题，达到维护土地权利人的合法权益和社会和谐稳定。</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精准扶贫驻村帮扶工作经费：</w:t>
      </w:r>
      <w:r>
        <w:rPr>
          <w:rFonts w:hint="eastAsia" w:ascii="仿宋_GB2312" w:hAnsi="仿宋_GB2312" w:eastAsia="仿宋_GB2312" w:cs="仿宋_GB2312"/>
          <w:sz w:val="32"/>
          <w:szCs w:val="32"/>
          <w:lang w:val="en-US" w:eastAsia="zh-CN"/>
        </w:rPr>
        <w:t>全年预算1万元，实际支付1万元，执行率100%。主要完成目标：通过项目的实施，使龙台村、三堆村、卫星村已顺利通过国家脱贫验收，实现脱贫摘帽。</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项目工作经费：</w:t>
      </w:r>
      <w:r>
        <w:rPr>
          <w:rFonts w:hint="eastAsia" w:ascii="仿宋_GB2312" w:hAnsi="仿宋_GB2312" w:eastAsia="仿宋_GB2312" w:cs="仿宋_GB2312"/>
          <w:sz w:val="32"/>
          <w:szCs w:val="32"/>
          <w:lang w:val="en-US" w:eastAsia="zh-CN"/>
        </w:rPr>
        <w:t>全年预算15万元，实际支付15万元，执行率100%。主要完成目标：全年完成向上争取资金3亿元，超额完成政府下达的目标任务。其中：实现城乡增减挂钩指标流转到账金额1.5亿元，土地整理项目资金、省级地灾专项资金、生态修复治理资金合计1.5亿元。通过项目的实施，增加政府收益，促进广元的经济发展和自然资源各项管理工作。</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派驻纪检组工作经费：</w:t>
      </w:r>
      <w:r>
        <w:rPr>
          <w:rFonts w:hint="eastAsia" w:ascii="仿宋_GB2312" w:hAnsi="仿宋_GB2312" w:eastAsia="仿宋_GB2312" w:cs="仿宋_GB2312"/>
          <w:sz w:val="32"/>
          <w:szCs w:val="32"/>
          <w:lang w:val="en-US" w:eastAsia="zh-CN"/>
        </w:rPr>
        <w:t>全年预算18万元，实际支付18万元，执行率100%。主要完成目标：完成市纪委、市监委派驻自然资源局纪检监察组日常工作，提升日常监督、处置问题线索及办案质效。全年购置保密柜和档案柜各一个，处置问题线索25件，立案7件。</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矿产资源储量评审备案及矿山储量动态监测工作经费：</w:t>
      </w:r>
      <w:r>
        <w:rPr>
          <w:rFonts w:hint="eastAsia" w:ascii="仿宋_GB2312" w:hAnsi="仿宋_GB2312" w:eastAsia="仿宋_GB2312" w:cs="仿宋_GB2312"/>
          <w:sz w:val="32"/>
          <w:szCs w:val="32"/>
          <w:lang w:val="en-US" w:eastAsia="zh-CN"/>
        </w:rPr>
        <w:t>全年预算5万元，实际支付5万元，执行率100%。主要完成的目标：一是全年共办结采矿权探矿权登记39件，上报省厅15件，全年实现采矿权出让收益31763万元，同比增长1500%。二是全面系统查清全市有效矿业权数据，清理成果已上报省厅，2022年全省统一建成矿业权数据库，清理出全市有效采矿权157个，有效探矿权33个。三是有效开展矿产资源国情及动态监测。依据储量报告和开发利用方案，，对生态下发的160个关闭矿山进行排查并上报了数据成果。年度储量动态监测采取及时下发储量库基础数据，落实市县区分级责任，督促矿业权人完成矿山储量动态监测并按要求提交矿山储量年报，储量库统计年报已完成。</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农村乱占耕地建房问题处置工作经费：</w:t>
      </w:r>
      <w:r>
        <w:rPr>
          <w:rFonts w:hint="eastAsia" w:ascii="仿宋_GB2312" w:hAnsi="仿宋_GB2312" w:eastAsia="仿宋_GB2312" w:cs="仿宋_GB2312"/>
          <w:sz w:val="32"/>
          <w:szCs w:val="32"/>
          <w:lang w:val="en-US" w:eastAsia="zh-CN"/>
        </w:rPr>
        <w:t>全年预算50万元，实际支付50万元，执行率100%。主要完成目标：一是稳步推进农村乱占耕地建房问题整改，扎实开展农村乱占耕地建房问题摸排工作“回头看”，对不应纳入而纳入“和”应纳入而未纳入“的项目（宗地）进行梳理并建立台账，发现”不应纳入而纳入“的项目（宗地）45个，发现”应纳入而未纳入“项目（宗地）5167个，目前市、县均已建立台账。二是坚决遏制新增违法建房，印发了《关于遏制农村乱占耕地建房新增违法行为的通知》，全年共上报了4起违反”八不准“问题，已拆除复耕并上报验收资料3宗，另1宗因建设竣工时间均在2020年7月3日前，故已剔除问题台账。</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卫片执法及案件查处、动态巡查工作经费：</w:t>
      </w:r>
      <w:r>
        <w:rPr>
          <w:rFonts w:hint="eastAsia" w:ascii="仿宋_GB2312" w:hAnsi="仿宋_GB2312" w:eastAsia="仿宋_GB2312" w:cs="仿宋_GB2312"/>
          <w:sz w:val="32"/>
          <w:szCs w:val="32"/>
          <w:lang w:val="en-US" w:eastAsia="zh-CN"/>
        </w:rPr>
        <w:t>全年预算8万元，实际支付8万元，执行率100%。主要完成目标：一是全年共组织开展动态巡查3100余次，参与巡查人员4200人次，重点区域巡查覆盖率100%。二是全年组织各县区局立案查处自然资源违法案133件,收缴罚没款14290.71万元。其中土地违法案件118件，违法占地面积10025亩，没收建筑物136393平方米，拆除建筑物57340平方米，收缴罚没款14163.96万元；矿产违法案件15件，收缴罚没款126.85万元。三是2021年，部、厅共下发我市卫片执法图斑8398个，已全部完成核查填报。经核查判定共发现土地违法用地图斑303个，涉及土地面积5146.62亩，发现矿产违法图斑4个。截至目前，已全部完成省厅下发的307个自主监测的实地核实和填报。</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土地督察工作经费：</w:t>
      </w:r>
      <w:r>
        <w:rPr>
          <w:rFonts w:hint="eastAsia" w:ascii="仿宋_GB2312" w:hAnsi="仿宋_GB2312" w:eastAsia="仿宋_GB2312" w:cs="仿宋_GB2312"/>
          <w:sz w:val="32"/>
          <w:szCs w:val="32"/>
          <w:lang w:val="en-US" w:eastAsia="zh-CN"/>
        </w:rPr>
        <w:t>全年预算5万元，实际支付5万元，执行率100%。主要完成目标：一是完成全市土地例行督查挂账问题整改35个，共需还款5.237亿元，已还款4.501亿元。二是持续推进国务院大督查问题整改，全市共整改问题58个，涉及G542、G543道路项目30个问题报件资料以上报国务院。</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土地整治和土地报征工作经费：</w:t>
      </w:r>
      <w:r>
        <w:rPr>
          <w:rFonts w:hint="eastAsia" w:ascii="仿宋_GB2312" w:hAnsi="仿宋_GB2312" w:eastAsia="仿宋_GB2312" w:cs="仿宋_GB2312"/>
          <w:sz w:val="32"/>
          <w:szCs w:val="32"/>
          <w:lang w:val="en-US" w:eastAsia="zh-CN"/>
        </w:rPr>
        <w:t>全年预算10万元，实际支付10万元，执行率100%。主要完成目标：一是按计划“三区三线”两轮试划中的基本农田核实划定工作，建立和完善划定数据库，将现状耕地应划尽划为基本农田后，我市试划基本农田358.88万亩；二是完成设施农用地备案870宗8731亩；三是新争取土地整理项目9个，预算总投资1.46亿元，预计可新增耕地3500亩；四是督促4个被省厅撤销项目涉及的县区加快项目验收并将4个项目转为地方投资的土地整理项目；五是超额完成土地报征全年目标任务，全年共报征土地44件次共11148.402亩，其中批次用地37件次6305.9070亩，单独选址项目7件次4842.495亩，确保项目合法用地。六是完成补充耕地项目问题整改，预计新增耕地指标200.79亩；七是结合永久基本农田核实整改补足工作，已完成退耕还林占用基本农田7779.04亩的土地利用变更调查工作，按相关政策要求纳入基本农田管理范畴。八是指导县区编制土地成片开发方案共19个，面积14254.5195亩，保障重点项目用地指标。</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地质灾害防治工作经费：</w:t>
      </w:r>
      <w:r>
        <w:rPr>
          <w:rFonts w:hint="eastAsia" w:ascii="仿宋_GB2312" w:hAnsi="仿宋_GB2312" w:eastAsia="仿宋_GB2312" w:cs="仿宋_GB2312"/>
          <w:sz w:val="32"/>
          <w:szCs w:val="32"/>
          <w:lang w:val="en-US" w:eastAsia="zh-CN"/>
        </w:rPr>
        <w:t>全年预算14.78万元，实际支付14.78万元，执行率100%。主要完成目标：我局认真贯彻落实习近平总书记关于防灾减灾救灾系列论述和重要指示精神，一是制定了《广元市地质灾害全域综合整治三年行动计划（2021-2023年）任务分配方案和《广元市地质灾害全域综合整治2021年度实施方案》并报市政府常务会议审议通过。二是切实加强与市级相关部门的横向对接，积极争取财政部门支持，争取到2022年一般债券1.47亿元，用于地质灾害全域综合整治第三年行动计划。三是全年开展群防群策1010处，完成全市地质灾害隐患点1500点，完成汛期隐患点排查、检查和督导1000余次，开展地质灾害培训和演练95次。通过项目的实施，达到连续实现地灾隐患点“零”伤亡的目标。</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②市地籍地政事务中心特定目标项目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度，市财政给市地籍地政事务中心下达项目工作经费558.2万元，实际支付507.31万元，完成预算91%，结转结余资金50.89万元，主要用于“野外勘界工作图纸费”、“法院执行费”、“激光雷达设备购置费及无人机尾款、委托业务费”以及聘用人员费用、测绘工作经费、宗地等入库费”等项目经费。具体如下。</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野外勘界工作图纸等成本费</w:t>
      </w:r>
      <w:r>
        <w:rPr>
          <w:rFonts w:hint="eastAsia" w:ascii="仿宋_GB2312" w:hAnsi="仿宋_GB2312" w:eastAsia="仿宋_GB2312" w:cs="仿宋_GB2312"/>
          <w:sz w:val="32"/>
          <w:szCs w:val="32"/>
          <w:lang w:val="en-US" w:eastAsia="zh-CN"/>
        </w:rPr>
        <w:t>：全年预算60万元，实际支付58.33万元，执行率97.2%。主要完成目标：全年完成非税收入668余万元，签订合同120余份。通过该项目的实施，保障了中心业务成本需要，保障完成了市本级及县区土地技术等基础性工作。</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法院执行费用</w:t>
      </w:r>
      <w:r>
        <w:rPr>
          <w:rFonts w:hint="eastAsia" w:ascii="仿宋_GB2312" w:hAnsi="仿宋_GB2312" w:eastAsia="仿宋_GB2312" w:cs="仿宋_GB2312"/>
          <w:sz w:val="32"/>
          <w:szCs w:val="32"/>
          <w:lang w:val="en-US" w:eastAsia="zh-CN"/>
        </w:rPr>
        <w:t>：全年预算102万元，实际支付102万元，执行率100%。主要完成目标：因单位遗留问题，对我单位执行102万元。通过该项目的实施，保障了中心完成执行金额，解决了我中心账户冻结的难题。</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激光雷达设备购置费及无人机尾款、委托业务费</w:t>
      </w:r>
      <w:r>
        <w:rPr>
          <w:rFonts w:hint="eastAsia" w:ascii="仿宋_GB2312" w:hAnsi="仿宋_GB2312" w:eastAsia="仿宋_GB2312" w:cs="仿宋_GB2312"/>
          <w:sz w:val="32"/>
          <w:szCs w:val="32"/>
          <w:lang w:val="en-US" w:eastAsia="zh-CN"/>
        </w:rPr>
        <w:t>：一是全年预算156.2万元，实际支付107.62万元，执行率68%。主要完成目标：完成了无人机设备进度款及专业设备、委托业务费等采购107.62万元。二是因疫情影响，原计划购置激光雷达设备资金未购置。通过该项目的实施，保障了中心工作开展，这些先进的测绘设备运用使中心综合实力上一个新台阶。</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聘用人员费用、测绘工作经费、宗地等入库费</w:t>
      </w:r>
      <w:r>
        <w:rPr>
          <w:rFonts w:hint="eastAsia" w:ascii="仿宋_GB2312" w:hAnsi="仿宋_GB2312" w:eastAsia="仿宋_GB2312" w:cs="仿宋_GB2312"/>
          <w:sz w:val="32"/>
          <w:szCs w:val="32"/>
          <w:lang w:val="en-US" w:eastAsia="zh-CN"/>
        </w:rPr>
        <w:t>：一是全年预算240万元，实际支付240万元，执行率100%。主要完成目标：根据工作需要，市地籍中心聘用人员费用、地籍中心测绘工作经费、业务培训费、业务车辆运行维护费、自然资源土地勘界、宗地入库、日常地籍维护更新及支付城区航测影像款等费。二是2021年地籍中心</w:t>
      </w:r>
      <w:r>
        <w:rPr>
          <w:rFonts w:hint="eastAsia" w:ascii="仿宋_GB2312" w:hAnsi="仿宋_GB2312" w:eastAsia="仿宋_GB2312" w:cs="仿宋_GB2312"/>
          <w:color w:val="auto"/>
          <w:sz w:val="32"/>
          <w:szCs w:val="32"/>
          <w:lang w:val="en-US" w:eastAsia="zh-CN"/>
        </w:rPr>
        <w:t>预计</w:t>
      </w:r>
      <w:r>
        <w:rPr>
          <w:rFonts w:hint="eastAsia" w:ascii="仿宋_GB2312" w:hAnsi="仿宋_GB2312" w:eastAsia="仿宋_GB2312" w:cs="仿宋_GB2312"/>
          <w:sz w:val="32"/>
          <w:szCs w:val="32"/>
          <w:lang w:val="en-US" w:eastAsia="zh-CN"/>
        </w:rPr>
        <w:t>完成非税收入任务，涉及地籍中心购买服务测绘专业技术人员</w:t>
      </w:r>
      <w:r>
        <w:rPr>
          <w:rFonts w:hint="eastAsia" w:ascii="仿宋_GB2312" w:hAnsi="仿宋_GB2312" w:eastAsia="仿宋_GB2312" w:cs="仿宋_GB2312"/>
          <w:color w:val="auto"/>
          <w:sz w:val="32"/>
          <w:szCs w:val="32"/>
          <w:lang w:val="en-US" w:eastAsia="zh-CN"/>
        </w:rPr>
        <w:t>约183万</w:t>
      </w:r>
      <w:r>
        <w:rPr>
          <w:rFonts w:hint="eastAsia" w:ascii="仿宋_GB2312" w:hAnsi="仿宋_GB2312" w:eastAsia="仿宋_GB2312" w:cs="仿宋_GB2312"/>
          <w:sz w:val="32"/>
          <w:szCs w:val="32"/>
          <w:lang w:val="en-US" w:eastAsia="zh-CN"/>
        </w:rPr>
        <w:t>元，测绘工作经费12万元，业务培训费5万元，业务车辆运行维护费30万元，自然资源土地勘界、宗地入库、日常地籍维护更新（包含委托业务费及档案整理经费）等费约10万元，共计240万元。主要完成目标：2021年，通过该项目的实施，完成测绘服务签订120余份合同，完成非税收入任务668万元。同时也保障了中心人员队伍稳定。</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③市不动产登记中心特定目标类项目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度，市财政市给不动产登记中心下达项目工作经费505万元，实际支付427.3万元，执行率85%，结转结余资金77.7万元，主要用于“房屋租金、物管及消防安保费不动产产权证书资料费、法律顾问费、不动产责任保险工作经费”、“不动产档案登记打印纸及耗材采购”、“档案馆、机房日常运维费及不动产登记系统数据库运维费及相关工作经费”、“购买服务人员工资、保险、培训费等项目经费”。具体如下。</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房屋租金、物管及消防安保费不动产产权证书资料费、法律顾问费、不动产责任保险工作经费</w:t>
      </w:r>
      <w:r>
        <w:rPr>
          <w:rFonts w:hint="eastAsia" w:ascii="仿宋_GB2312" w:hAnsi="仿宋_GB2312" w:eastAsia="仿宋_GB2312" w:cs="仿宋_GB2312"/>
          <w:sz w:val="32"/>
          <w:szCs w:val="32"/>
          <w:lang w:val="en-US" w:eastAsia="zh-CN"/>
        </w:rPr>
        <w:t>：全年预算120万元，实际支付120万元，执行率100%。主要完成目标：一是办公房屋租金根据广府阅（2016）10号文件，经市政府同意，市不动产登记中心租用市国投公司所属万源林业大厦1-3楼作为办公、档案用房，该房屋已于2019年5月投入使用，房屋及地下车库使用面积共计4703.88平方米，并在2019年5月投入使用。二是购买不动产产权证书及不动产登记证明资料费，是由自然资源部统一制作防伪标志的不动产产权证书及不动产登记证明，每年定点购买，每一年办理不动产产权证书约7万本以上（含运输费用、证书证明费用）。三是法律顾问费根据合同约定为登记中心涉及相关产权纠纷官司，签订项目合同需律师协助办理等。四是责任类的保险主要针对不动产中心工作人员，保险具体赔偿责任为：保险期内及预订的追溯期内，从事不动产登记的工作人员承办不动产登记业务（1、登记错误；2、依法审核任未辨清当事人提交的虚假材料；3、工作人员依法办理中疏忽、过失；以及这些事故后被诉讼或仲裁产生的法律费用。通过该项目的实施，保障了工作运转，全面完成登记财产指标考核）。</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不动产档案登记打印纸及耗材采购</w:t>
      </w:r>
      <w:r>
        <w:rPr>
          <w:rFonts w:hint="eastAsia" w:ascii="仿宋_GB2312" w:hAnsi="仿宋_GB2312" w:eastAsia="仿宋_GB2312" w:cs="仿宋_GB2312"/>
          <w:sz w:val="32"/>
          <w:szCs w:val="32"/>
          <w:lang w:val="en-US" w:eastAsia="zh-CN"/>
        </w:rPr>
        <w:t>：全年预算5万元，实际支付5万元，执行率100%。主要完成目标：2021年不动产登记中心细化各环节办件流程、缩短办事时限，为提高工作效率，我单位必须保障不动产登记办公耗材的采购。</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档案馆、机房日常运维费及不动产登记系统数据库运维费及相关工作经费</w:t>
      </w:r>
      <w:r>
        <w:rPr>
          <w:rFonts w:hint="eastAsia" w:ascii="仿宋_GB2312" w:hAnsi="仿宋_GB2312" w:eastAsia="仿宋_GB2312" w:cs="仿宋_GB2312"/>
          <w:sz w:val="32"/>
          <w:szCs w:val="32"/>
          <w:lang w:val="en-US" w:eastAsia="zh-CN"/>
        </w:rPr>
        <w:t>：全年预算80万元，实际支付70万元，执行率88%。主要完成目标：一是为贯彻落实《物权法》、《不动产登记暂行条例》有关不动产登记四统一制度要求，市不动产登记中心建设档案馆库区面积3000多平方米，保管着市本级所有房产、土地等不动产权纸质档案和数字化成果，同时也保管全市四县三区所有不动产登记电子数据，为全市不动产登记数据中心，库区和机房场地均需恒温恒湿，24小时不断电供电，同时还必须具有其他专业的安全防护措施，才能顺利保障全市不动产登记业务开展。二是为保障市本级日常不动产登记业务正常开展，还必须有互联网、主干网网络保障接入到省厅和广元市政务云平台，为群众办理业务须要免费为其打印证书、证明和复印档案资料，每个业务办件需要归档装袋和整理装订上架。不动产登记信息平台统一必须有专业技术团队保障，包括系统维护、数据库维护和功能升级更新等。通过该项目的实施，保障了不动产登记场馆及机房正常运行。</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购买服务人员</w:t>
      </w:r>
      <w:r>
        <w:rPr>
          <w:rFonts w:hint="eastAsia" w:ascii="仿宋_GB2312" w:hAnsi="仿宋_GB2312" w:eastAsia="仿宋_GB2312" w:cs="仿宋_GB2312"/>
          <w:b/>
          <w:bCs/>
          <w:sz w:val="32"/>
          <w:szCs w:val="32"/>
          <w:lang w:val="en-US" w:eastAsia="zh-CN"/>
        </w:rPr>
        <w:t>工资、保险、培训费等项目经费</w:t>
      </w:r>
      <w:r>
        <w:rPr>
          <w:rFonts w:hint="eastAsia" w:ascii="仿宋_GB2312" w:hAnsi="仿宋_GB2312" w:eastAsia="仿宋_GB2312" w:cs="仿宋_GB2312"/>
          <w:sz w:val="32"/>
          <w:szCs w:val="32"/>
          <w:lang w:val="en-US" w:eastAsia="zh-CN"/>
        </w:rPr>
        <w:t>：全年预算300万元，实际支付233万元，执行率77%。主要完成目标：一是我中心承担办理城市规划区内土地、房屋、林地登记等受理经办工作，并负责不动产登记及信息基础平台建设和管理，同时做好数据的整理、备份、依法对外查询工作，积极与市建设、农业、林业等部门建立共享机制。指导县区不动产登记等工作。二是根据国土资厅发〔2017〕32号《国土资源部办公厅关于加强不动产登记工作人员管理的通知》要求，有效创造条件实现编制内、编制外“同工同酬”，充分调动不动产登记工作人员在各自岗位上发挥积极性、主动性和创造性。加之我中心登记业务量大，工作任务重，购买服务人员主要承担不动产登记中心受理、审核、登薄、发证、收费、查询等业务，为保障购买服务人员工作经费，新增购买服务人员30人，实际工作人员33人，经费300万元，该费用在市不动产登记费的非税征收成中安排。通过该项目的实施，保障了不动产登记人员队伍的稳定。</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④市地质环境监测站特定项目类目标</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度，市财政给市地质环境监测站下达项目工作经费40万元，实际支付40万元，执行率100%，主要用于对全市地质灾害防治组织、协调、指导和监督，在汛前组织指导各县区开展地质灾害隐患排查、宣传培训及避险演练，指导编制地质灾害防治年度方案，汛期开展地质灾害风险监测预警，指导基层一线做好地质灾害撤离避险等防范工作。</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地质灾害隐患点管理项目工作经费</w:t>
      </w:r>
      <w:r>
        <w:rPr>
          <w:rFonts w:hint="eastAsia" w:ascii="仿宋_GB2312" w:hAnsi="仿宋_GB2312" w:eastAsia="仿宋_GB2312" w:cs="仿宋_GB2312"/>
          <w:sz w:val="32"/>
          <w:szCs w:val="32"/>
          <w:lang w:val="en-US" w:eastAsia="zh-CN"/>
        </w:rPr>
        <w:t>：全年预算40万元，实际支付40万元，执行率100%。主要完成目标：一是对全市地质灾害隐患现场踏勘、指导灾险情应对处置等累计出场大于1400次，在开展日常动态巡排查基础上，组织开展了6轮次全市地灾风险隐患集中排查，累计落实了全市1646处地质灾害隐患点群测群防措施，落实了1646处隐患点防灾措施，同步对1646处隐患点开展了宣传培训和避险演练，提高了地质灾害群测群防水平。二是做到了汛前排查、汛中巡查和汛后核查，掌握了地质灾害风险隐患底数，有效应对了12轮强降雨，成功避险6起，避免了160人可能出现的因灾伤亡，实现了2021年全年地质灾害“零伤亡”和连续13年地质灾害预案点“零伤亡”，全面完成了目标任务。</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⑤市测绘地理信息中心特定项目类目标</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度，市财政给市测绘地理信息中心下达项目工作经费15万元，实际支付13.56万元，完成预算91%，结转结余资金1.44万元，主要用于“永久性测量标志巡查专项经费”、“地理信息公共服务平台运维”。具体如下。</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永久性测量标志巡查专项经费</w:t>
      </w:r>
      <w:r>
        <w:rPr>
          <w:rFonts w:hint="eastAsia" w:ascii="仿宋_GB2312" w:hAnsi="仿宋_GB2312" w:eastAsia="仿宋_GB2312" w:cs="仿宋_GB2312"/>
          <w:sz w:val="32"/>
          <w:szCs w:val="32"/>
          <w:lang w:val="en-US" w:eastAsia="zh-CN"/>
        </w:rPr>
        <w:t>：全年预算5万元，实际支付3.55万元，执行率71%。主要完成目标：测量标志属于国家所有，是国家经济建设和科学研究的基础设施。《中华人民共和国测绘法》第四十四条规定“县级以上人民政府应当采取有效措施加强测量标志的保护工作。县级以上人民政府测绘地理信息主管部门应当按照规定检查、维护永久性测量标志。”2021年，完成全市110个测量标志点的巡查工作，全面掌握我市测量标志保护情况，切实加强测量标志管理和保护工作，为我市经济建设和社会发展提供更准确、更可靠的测绘保障服务。未完成支付的原因是因疫情影响，少许测量标志在2022年巡查。通过项目的实施，保障了我市测绘标志点的安全正常运行。</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地理信息公共服务平台运维</w:t>
      </w:r>
      <w:r>
        <w:rPr>
          <w:rFonts w:hint="eastAsia" w:ascii="仿宋_GB2312" w:hAnsi="仿宋_GB2312" w:eastAsia="仿宋_GB2312" w:cs="仿宋_GB2312"/>
          <w:sz w:val="32"/>
          <w:szCs w:val="32"/>
          <w:lang w:val="en-US" w:eastAsia="zh-CN"/>
        </w:rPr>
        <w:t>：全年预算10万元，实际支付10万元，执行率100%。主要完成目标：保障地理信息公共服务平台运维。通过项目的实施：保障地理信息公共服务平台广元的正常运行，并对部门单位和公众提供地图服务。</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⑥市自然资源局经济开发区事务中心特定目标类项目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eastAsia="仿宋_GB2312"/>
          <w:lang w:val="en-US" w:eastAsia="zh-CN"/>
        </w:rPr>
      </w:pPr>
      <w:r>
        <w:rPr>
          <w:rFonts w:hint="eastAsia" w:ascii="仿宋_GB2312" w:hAnsi="仿宋_GB2312" w:eastAsia="仿宋_GB2312" w:cs="仿宋_GB2312"/>
          <w:sz w:val="32"/>
          <w:szCs w:val="32"/>
          <w:lang w:val="en-US" w:eastAsia="zh-CN"/>
        </w:rPr>
        <w:t>2021年度，市财政给市自然资源局经济开发区事务中心下达</w:t>
      </w:r>
      <w:r>
        <w:rPr>
          <w:rFonts w:hint="eastAsia" w:ascii="仿宋_GB2312" w:hAnsi="仿宋_GB2312" w:eastAsia="仿宋_GB2312" w:cs="仿宋_GB2312"/>
          <w:b w:val="0"/>
          <w:bCs w:val="0"/>
          <w:sz w:val="32"/>
          <w:szCs w:val="32"/>
          <w:lang w:val="en-US" w:eastAsia="zh-CN"/>
        </w:rPr>
        <w:t>土地报征项目工作经费</w:t>
      </w:r>
      <w:r>
        <w:rPr>
          <w:rFonts w:hint="eastAsia" w:ascii="仿宋_GB2312" w:hAnsi="仿宋_GB2312" w:eastAsia="仿宋_GB2312" w:cs="仿宋_GB2312"/>
          <w:sz w:val="32"/>
          <w:szCs w:val="32"/>
          <w:lang w:val="en-US" w:eastAsia="zh-CN"/>
        </w:rPr>
        <w:t>1.8万元，实际支付1.8万元，完成预算100%。为确保项目及时依法用地，一是根据开发区招商和落地预期，梳理出2021年度用地需求，实行“三包”机制，分管领导经办人员包项目、包报征、包落地。二是报批成果显著。成功取得广元动车存车场、昭化石盘至利州石龙公路、广元市利州区第一人民医院科教综合楼等三个项目正式用地批文。2021年度累计组卷报批土地56.4791公顷。</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3.违规记录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我局在部门预算方面不存在违纪违规现象。</w:t>
      </w:r>
    </w:p>
    <w:p>
      <w:pPr>
        <w:keepNext w:val="0"/>
        <w:keepLines w:val="0"/>
        <w:pageBreakBefore w:val="0"/>
        <w:widowControl/>
        <w:kinsoku/>
        <w:wordWrap/>
        <w:overflowPunct/>
        <w:topLinePunct w:val="0"/>
        <w:autoSpaceDE/>
        <w:autoSpaceDN/>
        <w:bidi w:val="0"/>
        <w:adjustRightInd w:val="0"/>
        <w:snapToGrid w:val="0"/>
        <w:spacing w:line="572" w:lineRule="exact"/>
        <w:ind w:firstLine="640" w:firstLineChars="200"/>
        <w:contextualSpacing/>
        <w:jc w:val="left"/>
        <w:textAlignment w:val="auto"/>
        <w:rPr>
          <w:rFonts w:hint="eastAsia" w:ascii="楷体_GB2312" w:hAnsi="楷体_GB2312" w:eastAsia="楷体_GB2312" w:cs="楷体_GB2312"/>
          <w:color w:val="auto"/>
          <w:kern w:val="0"/>
          <w:sz w:val="32"/>
          <w:szCs w:val="32"/>
          <w:highlight w:val="none"/>
          <w:shd w:val="clear" w:color="auto" w:fill="FFFFFF"/>
          <w:lang w:val="zh-CN"/>
        </w:rPr>
      </w:pPr>
      <w:r>
        <w:rPr>
          <w:rFonts w:hint="eastAsia" w:ascii="楷体_GB2312" w:hAnsi="楷体_GB2312" w:eastAsia="楷体_GB2312" w:cs="楷体_GB2312"/>
          <w:color w:val="auto"/>
          <w:kern w:val="0"/>
          <w:sz w:val="32"/>
          <w:szCs w:val="32"/>
          <w:highlight w:val="none"/>
          <w:shd w:val="clear" w:color="auto" w:fill="FFFFFF"/>
          <w:lang w:val="zh-CN"/>
        </w:rPr>
        <w:t>（二）结果应用情况。</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1.内部应用。通过强化预算编制和执行，规范项目实施。全面完成各项目标任务，助推自然资源管理工作有序开展。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2.公开情况。2021年部门预算及绩效信息按照市财政要求，按时在单位官网予以公开。2021年预算编制说明按要求已于2021年3月23日在政府门户网站向社会公开。</w:t>
      </w:r>
    </w:p>
    <w:p>
      <w:pPr>
        <w:keepNext w:val="0"/>
        <w:keepLines w:val="0"/>
        <w:pageBreakBefore w:val="0"/>
        <w:widowControl/>
        <w:kinsoku/>
        <w:wordWrap/>
        <w:overflowPunct/>
        <w:topLinePunct w:val="0"/>
        <w:autoSpaceDE/>
        <w:autoSpaceDN/>
        <w:bidi w:val="0"/>
        <w:adjustRightInd w:val="0"/>
        <w:snapToGrid w:val="0"/>
        <w:spacing w:line="572" w:lineRule="exact"/>
        <w:ind w:firstLine="640" w:firstLineChars="200"/>
        <w:contextualSpacing/>
        <w:jc w:val="left"/>
        <w:textAlignment w:val="auto"/>
        <w:rPr>
          <w:rFonts w:ascii="仿宋_GB2312" w:hAnsi="宋体" w:eastAsia="仿宋_GB2312" w:cs="宋体"/>
          <w:color w:val="auto"/>
          <w:kern w:val="0"/>
          <w:sz w:val="32"/>
          <w:szCs w:val="32"/>
          <w:highlight w:val="none"/>
          <w:shd w:val="clear" w:color="auto" w:fill="FFFFFF"/>
          <w:lang w:val="zh-CN"/>
        </w:rPr>
      </w:pPr>
    </w:p>
    <w:p>
      <w:pPr>
        <w:keepNext w:val="0"/>
        <w:keepLines w:val="0"/>
        <w:pageBreakBefore w:val="0"/>
        <w:widowControl/>
        <w:kinsoku/>
        <w:wordWrap/>
        <w:overflowPunct/>
        <w:topLinePunct w:val="0"/>
        <w:autoSpaceDE/>
        <w:autoSpaceDN/>
        <w:bidi w:val="0"/>
        <w:adjustRightInd w:val="0"/>
        <w:snapToGrid w:val="0"/>
        <w:spacing w:line="572" w:lineRule="exact"/>
        <w:ind w:firstLine="640" w:firstLineChars="200"/>
        <w:contextualSpacing/>
        <w:jc w:val="left"/>
        <w:textAlignment w:val="auto"/>
        <w:rPr>
          <w:rFonts w:hint="eastAsia" w:ascii="楷体_GB2312" w:hAnsi="楷体_GB2312" w:eastAsia="楷体_GB2312" w:cs="楷体_GB2312"/>
          <w:color w:val="auto"/>
          <w:kern w:val="0"/>
          <w:sz w:val="32"/>
          <w:szCs w:val="32"/>
          <w:highlight w:val="none"/>
          <w:shd w:val="clear" w:color="auto" w:fill="FFFFFF"/>
          <w:lang w:val="zh-CN"/>
        </w:rPr>
      </w:pPr>
      <w:r>
        <w:rPr>
          <w:rFonts w:hint="eastAsia" w:ascii="楷体_GB2312" w:hAnsi="楷体_GB2312" w:eastAsia="楷体_GB2312" w:cs="楷体_GB2312"/>
          <w:color w:val="auto"/>
          <w:kern w:val="0"/>
          <w:sz w:val="32"/>
          <w:szCs w:val="32"/>
          <w:highlight w:val="none"/>
          <w:shd w:val="clear" w:color="auto" w:fill="FFFFFF"/>
          <w:lang w:val="en-US" w:eastAsia="zh-CN"/>
        </w:rPr>
        <w:t>（三）自</w:t>
      </w:r>
      <w:r>
        <w:rPr>
          <w:rFonts w:hint="eastAsia" w:ascii="楷体_GB2312" w:hAnsi="楷体_GB2312" w:eastAsia="楷体_GB2312" w:cs="楷体_GB2312"/>
          <w:color w:val="auto"/>
          <w:kern w:val="0"/>
          <w:sz w:val="32"/>
          <w:szCs w:val="32"/>
          <w:highlight w:val="none"/>
          <w:shd w:val="clear" w:color="auto" w:fill="FFFFFF"/>
          <w:lang w:val="zh-CN"/>
        </w:rPr>
        <w:t>评质量</w:t>
      </w:r>
    </w:p>
    <w:p>
      <w:pPr>
        <w:keepNext w:val="0"/>
        <w:keepLines w:val="0"/>
        <w:pageBreakBefore w:val="0"/>
        <w:widowControl/>
        <w:numPr>
          <w:ilvl w:val="0"/>
          <w:numId w:val="0"/>
        </w:numPr>
        <w:kinsoku/>
        <w:wordWrap/>
        <w:overflowPunct/>
        <w:topLinePunct w:val="0"/>
        <w:autoSpaceDE/>
        <w:autoSpaceDN/>
        <w:bidi w:val="0"/>
        <w:adjustRightInd w:val="0"/>
        <w:snapToGrid w:val="0"/>
        <w:spacing w:line="580" w:lineRule="exact"/>
        <w:ind w:firstLine="640" w:firstLineChars="200"/>
        <w:contextualSpacing/>
        <w:jc w:val="left"/>
        <w:textAlignment w:val="auto"/>
        <w:rPr>
          <w:rFonts w:hint="default" w:ascii="仿宋_GB2312" w:hAnsi="宋体" w:eastAsia="仿宋_GB2312" w:cs="宋体"/>
          <w:color w:val="auto"/>
          <w:kern w:val="0"/>
          <w:sz w:val="32"/>
          <w:szCs w:val="32"/>
          <w:highlight w:val="none"/>
          <w:shd w:val="clear" w:color="auto" w:fill="FFFFFF"/>
          <w:lang w:val="en-US" w:eastAsia="zh-CN"/>
        </w:rPr>
      </w:pPr>
      <w:r>
        <w:rPr>
          <w:rFonts w:hint="eastAsia" w:ascii="仿宋_GB2312" w:hAnsi="仿宋_GB2312" w:eastAsia="仿宋_GB2312" w:cs="仿宋_GB2312"/>
          <w:sz w:val="32"/>
          <w:szCs w:val="32"/>
          <w:lang w:val="en-US" w:eastAsia="zh-CN"/>
        </w:rPr>
        <w:t>按照《2022年市级部门整体支出绩效评价指标体系》设定的绩效指标和计分标准，我局2021年部门整体支出绩效自评得分97分，其中：部门预算绩效管理得分37分，专项项目绩效管理得分40分，绩效结果应用10分，自评质量10分。</w:t>
      </w:r>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ascii="黑体" w:hAnsi="宋体" w:eastAsia="黑体" w:cs="宋体"/>
          <w:color w:val="auto"/>
          <w:kern w:val="0"/>
          <w:sz w:val="32"/>
          <w:szCs w:val="32"/>
          <w:highlight w:val="none"/>
          <w:shd w:val="clear" w:color="auto" w:fill="FFFFFF"/>
        </w:rPr>
      </w:pPr>
      <w:r>
        <w:rPr>
          <w:rFonts w:hint="eastAsia" w:ascii="黑体" w:hAnsi="宋体" w:eastAsia="黑体" w:cs="宋体"/>
          <w:color w:val="auto"/>
          <w:kern w:val="0"/>
          <w:sz w:val="32"/>
          <w:szCs w:val="32"/>
          <w:highlight w:val="none"/>
          <w:shd w:val="clear" w:color="auto" w:fill="FFFFFF"/>
        </w:rPr>
        <w:t>四、评价结论及建议</w:t>
      </w:r>
    </w:p>
    <w:p>
      <w:pPr>
        <w:keepNext w:val="0"/>
        <w:keepLines w:val="0"/>
        <w:pageBreakBefore w:val="0"/>
        <w:widowControl/>
        <w:kinsoku/>
        <w:wordWrap/>
        <w:overflowPunct/>
        <w:topLinePunct w:val="0"/>
        <w:autoSpaceDE/>
        <w:autoSpaceDN/>
        <w:bidi w:val="0"/>
        <w:adjustRightInd w:val="0"/>
        <w:snapToGrid w:val="0"/>
        <w:spacing w:line="572" w:lineRule="exact"/>
        <w:ind w:firstLine="640" w:firstLineChars="200"/>
        <w:contextualSpacing/>
        <w:jc w:val="left"/>
        <w:textAlignment w:val="auto"/>
        <w:rPr>
          <w:rFonts w:hint="eastAsia" w:ascii="楷体_GB2312" w:hAnsi="楷体_GB2312" w:eastAsia="楷体_GB2312" w:cs="楷体_GB2312"/>
          <w:color w:val="auto"/>
          <w:kern w:val="0"/>
          <w:sz w:val="32"/>
          <w:szCs w:val="32"/>
          <w:highlight w:val="none"/>
          <w:shd w:val="clear" w:color="auto" w:fill="FFFFFF"/>
          <w:lang w:val="zh-CN" w:eastAsia="zh-CN"/>
        </w:rPr>
      </w:pPr>
      <w:r>
        <w:rPr>
          <w:rFonts w:hint="eastAsia" w:ascii="楷体_GB2312" w:hAnsi="楷体_GB2312" w:eastAsia="楷体_GB2312" w:cs="楷体_GB2312"/>
          <w:color w:val="auto"/>
          <w:kern w:val="0"/>
          <w:sz w:val="32"/>
          <w:szCs w:val="32"/>
          <w:highlight w:val="none"/>
          <w:shd w:val="clear" w:color="auto" w:fill="FFFFFF"/>
          <w:lang w:val="zh-CN" w:eastAsia="zh-CN"/>
        </w:rPr>
        <w:t>（一）评价结论。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我局2021年绩效目标设置明确，上报及时、绩效监控较好。按照《广元市部门整体支出绩效评价指标体系》设定的绩效指标和计分标准，我局2021年度部门整体支出绩效</w:t>
      </w:r>
      <w:r>
        <w:rPr>
          <w:rFonts w:hint="eastAsia" w:ascii="仿宋_GB2312" w:hAnsi="仿宋_GB2312" w:cs="仿宋_GB2312"/>
          <w:sz w:val="32"/>
          <w:szCs w:val="32"/>
          <w:lang w:val="en-US" w:eastAsia="zh-CN"/>
        </w:rPr>
        <w:t>总分100分，</w:t>
      </w:r>
      <w:r>
        <w:rPr>
          <w:rFonts w:hint="eastAsia" w:ascii="仿宋_GB2312" w:hAnsi="仿宋_GB2312" w:eastAsia="仿宋_GB2312" w:cs="仿宋_GB2312"/>
          <w:sz w:val="32"/>
          <w:szCs w:val="32"/>
          <w:lang w:val="en-US" w:eastAsia="zh-CN"/>
        </w:rPr>
        <w:t>自评得分97分，其中：部门预算项目绩效管理</w:t>
      </w:r>
      <w:r>
        <w:rPr>
          <w:rFonts w:hint="eastAsia" w:ascii="仿宋_GB2312" w:hAnsi="仿宋_GB2312" w:cs="仿宋_GB2312"/>
          <w:sz w:val="32"/>
          <w:szCs w:val="32"/>
          <w:lang w:val="en-US" w:eastAsia="zh-CN"/>
        </w:rPr>
        <w:t>总分40分，</w:t>
      </w:r>
      <w:r>
        <w:rPr>
          <w:rFonts w:hint="eastAsia" w:ascii="仿宋_GB2312" w:hAnsi="仿宋_GB2312" w:eastAsia="仿宋_GB2312" w:cs="仿宋_GB2312"/>
          <w:sz w:val="32"/>
          <w:szCs w:val="32"/>
          <w:lang w:val="en-US" w:eastAsia="zh-CN"/>
        </w:rPr>
        <w:t>自评得分37分，</w:t>
      </w:r>
      <w:r>
        <w:rPr>
          <w:rFonts w:hint="eastAsia" w:ascii="仿宋_GB2312" w:hAnsi="仿宋_GB2312" w:cs="仿宋_GB2312"/>
          <w:sz w:val="32"/>
          <w:szCs w:val="32"/>
          <w:lang w:val="en-US" w:eastAsia="zh-CN"/>
        </w:rPr>
        <w:t>扣分原因是预算执行未达到序时进度，</w:t>
      </w:r>
      <w:r>
        <w:rPr>
          <w:rFonts w:hint="eastAsia" w:ascii="仿宋_GB2312" w:hAnsi="仿宋_GB2312" w:eastAsia="仿宋_GB2312" w:cs="仿宋_GB2312"/>
          <w:sz w:val="32"/>
          <w:szCs w:val="32"/>
          <w:lang w:val="en-US" w:eastAsia="zh-CN"/>
        </w:rPr>
        <w:t>专项预算项目绩效管理</w:t>
      </w:r>
      <w:r>
        <w:rPr>
          <w:rFonts w:hint="eastAsia" w:ascii="仿宋_GB2312" w:hAnsi="仿宋_GB2312" w:cs="仿宋_GB2312"/>
          <w:sz w:val="32"/>
          <w:szCs w:val="32"/>
          <w:lang w:val="en-US" w:eastAsia="zh-CN"/>
        </w:rPr>
        <w:t>总分40分，</w:t>
      </w:r>
      <w:r>
        <w:rPr>
          <w:rFonts w:hint="eastAsia" w:ascii="仿宋_GB2312" w:hAnsi="仿宋_GB2312" w:eastAsia="仿宋_GB2312" w:cs="仿宋_GB2312"/>
          <w:sz w:val="32"/>
          <w:szCs w:val="32"/>
          <w:lang w:val="en-US" w:eastAsia="zh-CN"/>
        </w:rPr>
        <w:t>自评得分40分，绩效结果应用</w:t>
      </w:r>
      <w:r>
        <w:rPr>
          <w:rFonts w:hint="eastAsia" w:ascii="仿宋_GB2312" w:hAnsi="仿宋_GB2312" w:cs="仿宋_GB2312"/>
          <w:sz w:val="32"/>
          <w:szCs w:val="32"/>
          <w:lang w:val="en-US" w:eastAsia="zh-CN"/>
        </w:rPr>
        <w:t>总分10分，</w:t>
      </w:r>
      <w:r>
        <w:rPr>
          <w:rFonts w:hint="eastAsia" w:ascii="仿宋_GB2312" w:hAnsi="仿宋_GB2312" w:eastAsia="仿宋_GB2312" w:cs="仿宋_GB2312"/>
          <w:sz w:val="32"/>
          <w:szCs w:val="32"/>
          <w:lang w:val="en-US" w:eastAsia="zh-CN"/>
        </w:rPr>
        <w:t>自评得分10分，自评质量</w:t>
      </w:r>
      <w:r>
        <w:rPr>
          <w:rFonts w:hint="eastAsia" w:ascii="仿宋_GB2312" w:hAnsi="仿宋_GB2312" w:cs="仿宋_GB2312"/>
          <w:sz w:val="32"/>
          <w:szCs w:val="32"/>
          <w:lang w:val="en-US" w:eastAsia="zh-CN"/>
        </w:rPr>
        <w:t>总分10分，</w:t>
      </w:r>
      <w:r>
        <w:rPr>
          <w:rFonts w:hint="eastAsia" w:ascii="仿宋_GB2312" w:hAnsi="仿宋_GB2312" w:eastAsia="仿宋_GB2312" w:cs="仿宋_GB2312"/>
          <w:sz w:val="32"/>
          <w:szCs w:val="32"/>
          <w:lang w:val="en-US" w:eastAsia="zh-CN"/>
        </w:rPr>
        <w:t>自评得分10分。</w:t>
      </w:r>
    </w:p>
    <w:p>
      <w:pPr>
        <w:keepNext w:val="0"/>
        <w:keepLines w:val="0"/>
        <w:pageBreakBefore w:val="0"/>
        <w:widowControl/>
        <w:kinsoku/>
        <w:wordWrap/>
        <w:overflowPunct/>
        <w:topLinePunct w:val="0"/>
        <w:autoSpaceDE/>
        <w:autoSpaceDN/>
        <w:bidi w:val="0"/>
        <w:adjustRightInd w:val="0"/>
        <w:snapToGrid w:val="0"/>
        <w:spacing w:line="572" w:lineRule="exact"/>
        <w:ind w:firstLine="640" w:firstLineChars="200"/>
        <w:contextualSpacing/>
        <w:jc w:val="left"/>
        <w:textAlignment w:val="auto"/>
        <w:rPr>
          <w:rFonts w:hint="eastAsia" w:ascii="楷体_GB2312" w:hAnsi="楷体_GB2312" w:eastAsia="楷体_GB2312" w:cs="楷体_GB2312"/>
          <w:color w:val="auto"/>
          <w:kern w:val="0"/>
          <w:sz w:val="32"/>
          <w:szCs w:val="32"/>
          <w:highlight w:val="none"/>
          <w:shd w:val="clear" w:color="auto" w:fill="FFFFFF"/>
          <w:lang w:val="zh-CN" w:eastAsia="zh-CN"/>
        </w:rPr>
      </w:pPr>
      <w:r>
        <w:rPr>
          <w:rFonts w:hint="eastAsia" w:ascii="楷体_GB2312" w:hAnsi="楷体_GB2312" w:eastAsia="楷体_GB2312" w:cs="楷体_GB2312"/>
          <w:color w:val="auto"/>
          <w:kern w:val="0"/>
          <w:sz w:val="32"/>
          <w:szCs w:val="32"/>
          <w:highlight w:val="none"/>
          <w:shd w:val="clear" w:color="auto" w:fill="FFFFFF"/>
          <w:lang w:val="zh-CN" w:eastAsia="zh-CN"/>
        </w:rPr>
        <w:t>（二）存在问题。</w:t>
      </w:r>
    </w:p>
    <w:p>
      <w:pPr>
        <w:keepNext w:val="0"/>
        <w:keepLines w:val="0"/>
        <w:pageBreakBefore w:val="0"/>
        <w:widowControl/>
        <w:kinsoku/>
        <w:wordWrap/>
        <w:overflowPunct/>
        <w:topLinePunct w:val="0"/>
        <w:autoSpaceDE/>
        <w:autoSpaceDN/>
        <w:bidi w:val="0"/>
        <w:adjustRightInd w:val="0"/>
        <w:snapToGrid w:val="0"/>
        <w:spacing w:line="572" w:lineRule="exact"/>
        <w:ind w:firstLine="640" w:firstLineChars="200"/>
        <w:contextualSpacing/>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1.部分绩效指标及目标值有待进一步细化和量化。</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2.尚未针对绩效考评制定比较明确的实施细则，有待进一步完善。</w:t>
      </w:r>
    </w:p>
    <w:p>
      <w:pPr>
        <w:keepNext w:val="0"/>
        <w:keepLines w:val="0"/>
        <w:pageBreakBefore w:val="0"/>
        <w:widowControl/>
        <w:kinsoku/>
        <w:wordWrap/>
        <w:overflowPunct/>
        <w:topLinePunct w:val="0"/>
        <w:autoSpaceDE/>
        <w:autoSpaceDN/>
        <w:bidi w:val="0"/>
        <w:adjustRightInd w:val="0"/>
        <w:snapToGrid w:val="0"/>
        <w:spacing w:line="572" w:lineRule="exact"/>
        <w:ind w:firstLine="640" w:firstLineChars="200"/>
        <w:contextualSpacing/>
        <w:jc w:val="left"/>
        <w:textAlignment w:val="auto"/>
        <w:rPr>
          <w:rFonts w:hint="eastAsia" w:ascii="楷体_GB2312" w:hAnsi="楷体_GB2312" w:eastAsia="楷体_GB2312" w:cs="楷体_GB2312"/>
          <w:color w:val="auto"/>
          <w:kern w:val="0"/>
          <w:sz w:val="32"/>
          <w:szCs w:val="32"/>
          <w:highlight w:val="none"/>
          <w:shd w:val="clear" w:color="auto" w:fill="FFFFFF"/>
          <w:lang w:val="zh-CN" w:eastAsia="zh-CN"/>
        </w:rPr>
      </w:pPr>
      <w:r>
        <w:rPr>
          <w:rFonts w:hint="eastAsia" w:ascii="楷体_GB2312" w:hAnsi="楷体_GB2312" w:eastAsia="楷体_GB2312" w:cs="楷体_GB2312"/>
          <w:color w:val="auto"/>
          <w:kern w:val="0"/>
          <w:sz w:val="32"/>
          <w:szCs w:val="32"/>
          <w:highlight w:val="none"/>
          <w:shd w:val="clear" w:color="auto" w:fill="FFFFFF"/>
          <w:lang w:val="zh-CN" w:eastAsia="zh-CN"/>
        </w:rPr>
        <w:t>（三）改进建议。</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200" w:firstLine="320" w:firstLineChars="1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1.完善预算编制体系，提高预算编制科学行</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财政部门的具体要求，完善财务预算编制的相关业务流程。预算编制工作是一项政策性、技术性和实效性要求都很强的工作，需要预算编制人员及部门具有较高的政策水平、专业技术水平很强的执行力。提高预算编制的准确性和前瞻性。同时，充分分析部门业务特点，总结部门历史经验合理编制单位预算。</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2.绩效目标的设置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科学合理地设置绩效指标，提高预算绩效指标的针对性和可测性，充分发挥预算绩效目标管理的导向作用。</w:t>
      </w:r>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color w:val="auto"/>
          <w:kern w:val="0"/>
          <w:sz w:val="32"/>
          <w:szCs w:val="32"/>
          <w:highlight w:val="none"/>
          <w:shd w:val="clear" w:color="auto" w:fill="FFFFFF"/>
          <w:lang w:val="zh-CN"/>
        </w:rPr>
      </w:pPr>
    </w:p>
    <w:p>
      <w:pPr>
        <w:pStyle w:val="6"/>
        <w:rPr>
          <w:rFonts w:hint="eastAsia" w:hAnsi="宋体" w:cs="宋体"/>
          <w:color w:val="auto"/>
          <w:kern w:val="0"/>
          <w:sz w:val="32"/>
          <w:szCs w:val="32"/>
          <w:highlight w:val="none"/>
          <w:shd w:val="clear" w:color="auto" w:fill="FFFFFF"/>
          <w:lang w:val="zh-CN"/>
        </w:rPr>
      </w:pPr>
    </w:p>
    <w:p>
      <w:pPr>
        <w:rPr>
          <w:rFonts w:hint="eastAsia" w:hAnsi="宋体" w:cs="宋体"/>
          <w:color w:val="auto"/>
          <w:kern w:val="0"/>
          <w:sz w:val="32"/>
          <w:szCs w:val="32"/>
          <w:highlight w:val="none"/>
          <w:shd w:val="clear" w:color="auto" w:fill="FFFFFF"/>
          <w:lang w:val="zh-CN"/>
        </w:rPr>
      </w:pPr>
      <w:r>
        <w:rPr>
          <w:rFonts w:hint="eastAsia" w:hAnsi="宋体" w:cs="宋体"/>
          <w:color w:val="auto"/>
          <w:kern w:val="0"/>
          <w:sz w:val="32"/>
          <w:szCs w:val="32"/>
          <w:highlight w:val="none"/>
          <w:shd w:val="clear" w:color="auto" w:fill="FFFFFF"/>
          <w:lang w:val="zh-CN"/>
        </w:rPr>
        <w:br w:type="page"/>
      </w:r>
    </w:p>
    <w:p>
      <w:pPr>
        <w:pStyle w:val="6"/>
        <w:rPr>
          <w:rFonts w:hint="eastAsia" w:ascii="黑体" w:hAnsi="黑体" w:eastAsia="黑体" w:cs="黑体"/>
          <w:color w:val="auto"/>
          <w:sz w:val="32"/>
          <w:szCs w:val="32"/>
          <w:highlight w:val="none"/>
          <w:lang w:val="zh-CN"/>
        </w:rPr>
      </w:pPr>
      <w:r>
        <w:rPr>
          <w:rFonts w:hint="eastAsia" w:ascii="黑体" w:hAnsi="黑体" w:eastAsia="黑体" w:cs="黑体"/>
          <w:color w:val="auto"/>
          <w:kern w:val="0"/>
          <w:sz w:val="32"/>
          <w:szCs w:val="32"/>
          <w:highlight w:val="none"/>
          <w:shd w:val="clear" w:color="auto" w:fill="FFFFFF"/>
          <w:lang w:val="zh-CN"/>
        </w:rPr>
        <w:t>附件</w:t>
      </w:r>
    </w:p>
    <w:p>
      <w:pPr>
        <w:keepNext w:val="0"/>
        <w:keepLines w:val="0"/>
        <w:pageBreakBefore w:val="0"/>
        <w:widowControl w:val="0"/>
        <w:kinsoku/>
        <w:wordWrap/>
        <w:overflowPunct/>
        <w:topLinePunct w:val="0"/>
        <w:autoSpaceDE/>
        <w:autoSpaceDN/>
        <w:bidi w:val="0"/>
        <w:spacing w:line="600" w:lineRule="exact"/>
        <w:jc w:val="center"/>
        <w:textAlignment w:val="auto"/>
        <w:rPr>
          <w:rFonts w:hint="eastAsia" w:ascii="方正小标宋简体" w:hAnsi="方正小标宋简体" w:eastAsia="方正小标宋简体" w:cs="方正小标宋简体"/>
          <w:color w:val="auto"/>
          <w:kern w:val="2"/>
          <w:sz w:val="40"/>
          <w:szCs w:val="40"/>
          <w:highlight w:val="none"/>
          <w:lang w:val="zh-CN" w:eastAsia="zh-CN" w:bidi="ar-SA"/>
        </w:rPr>
      </w:pPr>
      <w:r>
        <w:rPr>
          <w:rFonts w:hint="eastAsia" w:ascii="方正小标宋简体" w:hAnsi="方正小标宋简体" w:eastAsia="方正小标宋简体" w:cs="方正小标宋简体"/>
          <w:color w:val="auto"/>
          <w:kern w:val="2"/>
          <w:sz w:val="40"/>
          <w:szCs w:val="40"/>
          <w:highlight w:val="none"/>
          <w:lang w:val="en-US" w:eastAsia="zh-CN" w:bidi="ar-SA"/>
        </w:rPr>
        <w:t>2021年</w:t>
      </w:r>
      <w:r>
        <w:rPr>
          <w:rFonts w:hint="eastAsia" w:ascii="方正小标宋简体" w:hAnsi="方正小标宋简体" w:eastAsia="方正小标宋简体" w:cs="方正小标宋简体"/>
          <w:color w:val="auto"/>
          <w:kern w:val="2"/>
          <w:sz w:val="40"/>
          <w:szCs w:val="40"/>
          <w:highlight w:val="none"/>
          <w:lang w:val="zh-CN" w:eastAsia="zh-CN" w:bidi="ar-SA"/>
        </w:rPr>
        <w:t>专项预算项目支出绩效自评报告</w:t>
      </w:r>
    </w:p>
    <w:p>
      <w:pPr>
        <w:keepNext w:val="0"/>
        <w:keepLines w:val="0"/>
        <w:pageBreakBefore w:val="0"/>
        <w:widowControl w:val="0"/>
        <w:kinsoku/>
        <w:wordWrap/>
        <w:overflowPunct/>
        <w:topLinePunct w:val="0"/>
        <w:autoSpaceDE/>
        <w:autoSpaceDN/>
        <w:bidi w:val="0"/>
        <w:spacing w:line="600" w:lineRule="exact"/>
        <w:ind w:firstLine="883"/>
        <w:jc w:val="both"/>
        <w:textAlignment w:val="auto"/>
        <w:rPr>
          <w:rFonts w:ascii="仿宋_GB2312" w:hAnsi="宋体" w:eastAsia="仿宋_GB2312" w:cs="Times New Roman"/>
          <w:color w:val="auto"/>
          <w:kern w:val="2"/>
          <w:sz w:val="32"/>
          <w:szCs w:val="32"/>
          <w:highlight w:val="none"/>
          <w:lang w:val="zh-CN" w:eastAsia="zh-CN" w:bidi="ar-SA"/>
        </w:rPr>
      </w:pPr>
    </w:p>
    <w:p>
      <w:pPr>
        <w:spacing w:line="600" w:lineRule="exact"/>
        <w:jc w:val="center"/>
        <w:rPr>
          <w:rFonts w:hint="eastAsia" w:ascii="方正小标宋简体" w:hAnsi="宋体" w:eastAsia="方正小标宋简体"/>
          <w:color w:val="000000"/>
          <w:kern w:val="0"/>
          <w:sz w:val="44"/>
          <w:szCs w:val="44"/>
        </w:rPr>
      </w:pPr>
      <w:r>
        <w:rPr>
          <w:rFonts w:hint="eastAsia" w:ascii="方正小标宋简体" w:hAnsi="宋体" w:eastAsia="方正小标宋简体"/>
          <w:color w:val="000000"/>
          <w:kern w:val="0"/>
          <w:sz w:val="44"/>
          <w:szCs w:val="44"/>
          <w:lang w:val="zh-CN"/>
        </w:rPr>
        <w:t>地质灾害防治工作经费项目</w:t>
      </w:r>
      <w:r>
        <w:rPr>
          <w:rFonts w:ascii="方正小标宋简体" w:hAnsi="宋体" w:eastAsia="方正小标宋简体"/>
          <w:color w:val="000000"/>
          <w:kern w:val="0"/>
          <w:sz w:val="44"/>
          <w:szCs w:val="44"/>
        </w:rPr>
        <w:t>202</w:t>
      </w:r>
      <w:r>
        <w:rPr>
          <w:rFonts w:hint="eastAsia" w:ascii="方正小标宋简体" w:hAnsi="宋体" w:eastAsia="方正小标宋简体"/>
          <w:color w:val="000000"/>
          <w:kern w:val="0"/>
          <w:sz w:val="44"/>
          <w:szCs w:val="44"/>
          <w:lang w:val="en-US" w:eastAsia="zh-CN"/>
        </w:rPr>
        <w:t>1</w:t>
      </w:r>
      <w:r>
        <w:rPr>
          <w:rFonts w:hint="eastAsia" w:ascii="方正小标宋简体" w:hAnsi="宋体" w:eastAsia="方正小标宋简体"/>
          <w:color w:val="000000"/>
          <w:kern w:val="0"/>
          <w:sz w:val="44"/>
          <w:szCs w:val="44"/>
        </w:rPr>
        <w:t>年</w:t>
      </w:r>
    </w:p>
    <w:p>
      <w:pPr>
        <w:spacing w:line="600" w:lineRule="exact"/>
        <w:jc w:val="center"/>
        <w:rPr>
          <w:rFonts w:ascii="方正小标宋简体" w:hAnsi="宋体" w:eastAsia="方正小标宋简体"/>
          <w:color w:val="000000"/>
          <w:kern w:val="0"/>
          <w:sz w:val="44"/>
          <w:szCs w:val="44"/>
          <w:lang w:val="zh-CN"/>
        </w:rPr>
      </w:pPr>
      <w:r>
        <w:rPr>
          <w:rFonts w:hint="eastAsia" w:ascii="方正小标宋简体" w:hAnsi="宋体" w:eastAsia="方正小标宋简体"/>
          <w:color w:val="000000"/>
          <w:kern w:val="0"/>
          <w:sz w:val="44"/>
          <w:szCs w:val="44"/>
          <w:lang w:val="zh-CN"/>
        </w:rPr>
        <w:t>绩效评价报告</w:t>
      </w:r>
    </w:p>
    <w:p>
      <w:pPr>
        <w:spacing w:line="600" w:lineRule="exact"/>
        <w:jc w:val="center"/>
        <w:rPr>
          <w:rFonts w:ascii="宋体"/>
          <w:sz w:val="32"/>
          <w:szCs w:val="32"/>
          <w:lang w:val="zh-CN"/>
        </w:rPr>
      </w:pPr>
    </w:p>
    <w:p>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600" w:lineRule="exact"/>
        <w:ind w:firstLine="720"/>
        <w:rPr>
          <w:rFonts w:ascii="楷体_GB2312" w:hAnsi="宋体" w:eastAsia="楷体_GB2312"/>
          <w:b w:val="0"/>
          <w:bCs/>
          <w:sz w:val="32"/>
          <w:szCs w:val="32"/>
          <w:lang w:val="zh-CN"/>
        </w:rPr>
      </w:pPr>
      <w:r>
        <w:rPr>
          <w:rFonts w:hint="eastAsia" w:ascii="楷体_GB2312" w:hAnsi="宋体" w:eastAsia="楷体_GB2312"/>
          <w:b w:val="0"/>
          <w:bCs/>
          <w:sz w:val="32"/>
          <w:szCs w:val="32"/>
          <w:lang w:val="zh-CN"/>
        </w:rPr>
        <w:t>（一）项目基本情况</w:t>
      </w:r>
    </w:p>
    <w:p>
      <w:pPr>
        <w:adjustRightInd w:val="0"/>
        <w:snapToGrid w:val="0"/>
        <w:spacing w:line="600" w:lineRule="exact"/>
        <w:ind w:firstLine="720"/>
        <w:rPr>
          <w:rFonts w:hint="eastAsia" w:ascii="仿宋_GB2312" w:hAnsi="宋体" w:eastAsia="仿宋_GB2312"/>
          <w:sz w:val="32"/>
          <w:szCs w:val="32"/>
          <w:lang w:val="zh-CN"/>
        </w:rPr>
      </w:pPr>
      <w:r>
        <w:rPr>
          <w:rFonts w:ascii="仿宋_GB2312" w:hAnsi="宋体" w:eastAsia="仿宋_GB2312"/>
          <w:sz w:val="32"/>
          <w:szCs w:val="32"/>
          <w:lang w:val="zh-CN"/>
        </w:rPr>
        <w:t>1</w:t>
      </w:r>
      <w:r>
        <w:rPr>
          <w:rFonts w:hint="eastAsia" w:ascii="仿宋_GB2312" w:hAnsi="宋体" w:eastAsia="仿宋_GB2312"/>
          <w:sz w:val="32"/>
          <w:szCs w:val="32"/>
          <w:lang w:val="zh-CN"/>
        </w:rPr>
        <w:t>．职能职责</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我局</w:t>
      </w:r>
      <w:r>
        <w:rPr>
          <w:rFonts w:hint="eastAsia" w:ascii="仿宋_GB2312" w:hAnsi="仿宋_GB2312" w:eastAsia="仿宋_GB2312" w:cs="仿宋_GB2312"/>
          <w:sz w:val="30"/>
          <w:szCs w:val="30"/>
        </w:rPr>
        <w:t>负责落实综合防灾减灾规划相关要求，组织编制并实施地质灾害防治规划。组织、指导、协调和监督地质灾害调查评价及隐患的普查、详查、排查。组织、指导开展群测群防、专业监测和预报预警等工作，组织、指导开展地质灾害工程治理工作。承担地质灾害应急救援的技术保障工作。</w:t>
      </w:r>
    </w:p>
    <w:p>
      <w:pPr>
        <w:adjustRightInd w:val="0"/>
        <w:snapToGrid w:val="0"/>
        <w:spacing w:line="600" w:lineRule="exact"/>
        <w:ind w:firstLine="720"/>
        <w:rPr>
          <w:rFonts w:hint="eastAsia" w:ascii="仿宋_GB2312" w:hAnsi="宋体" w:eastAsia="仿宋_GB2312"/>
          <w:sz w:val="32"/>
          <w:szCs w:val="32"/>
          <w:lang w:val="zh-CN"/>
        </w:rPr>
      </w:pPr>
      <w:r>
        <w:rPr>
          <w:rFonts w:ascii="仿宋_GB2312" w:hAnsi="宋体" w:eastAsia="仿宋_GB2312"/>
          <w:sz w:val="32"/>
          <w:szCs w:val="32"/>
          <w:lang w:val="zh-CN"/>
        </w:rPr>
        <w:t>2</w:t>
      </w:r>
      <w:r>
        <w:rPr>
          <w:rFonts w:hint="eastAsia" w:ascii="仿宋_GB2312" w:hAnsi="宋体" w:eastAsia="仿宋_GB2312"/>
          <w:sz w:val="32"/>
          <w:szCs w:val="32"/>
          <w:lang w:val="zh-CN"/>
        </w:rPr>
        <w:t>．项目立项、资金申报的依据。</w:t>
      </w:r>
    </w:p>
    <w:p>
      <w:pPr>
        <w:adjustRightInd w:val="0"/>
        <w:snapToGrid w:val="0"/>
        <w:spacing w:line="600" w:lineRule="exact"/>
        <w:ind w:firstLine="720"/>
        <w:rPr>
          <w:rFonts w:ascii="仿宋_GB2312" w:hAnsi="宋体" w:eastAsia="仿宋_GB2312"/>
          <w:sz w:val="32"/>
          <w:szCs w:val="32"/>
        </w:rPr>
      </w:pPr>
      <w:r>
        <w:rPr>
          <w:rFonts w:hint="eastAsia" w:ascii="仿宋_GB2312" w:hAnsi="宋体" w:eastAsia="仿宋_GB2312"/>
          <w:sz w:val="32"/>
          <w:szCs w:val="32"/>
        </w:rPr>
        <w:t>《关于加强地质灾害防治工作的决定》（国发〔2011〕20号）。</w:t>
      </w:r>
    </w:p>
    <w:p>
      <w:pPr>
        <w:numPr>
          <w:ilvl w:val="0"/>
          <w:numId w:val="0"/>
        </w:numPr>
        <w:adjustRightInd w:val="0"/>
        <w:snapToGrid w:val="0"/>
        <w:spacing w:line="600" w:lineRule="exact"/>
        <w:ind w:firstLine="640" w:firstLineChars="200"/>
        <w:rPr>
          <w:rFonts w:hint="eastAsia" w:ascii="仿宋_GB2312" w:hAnsi="宋体" w:eastAsia="仿宋_GB2312"/>
          <w:sz w:val="32"/>
          <w:szCs w:val="32"/>
          <w:lang w:val="zh-CN"/>
        </w:rPr>
      </w:pPr>
      <w:r>
        <w:rPr>
          <w:rFonts w:hint="eastAsia" w:ascii="仿宋_GB2312" w:hAnsi="宋体" w:eastAsia="仿宋_GB2312"/>
          <w:sz w:val="32"/>
          <w:szCs w:val="32"/>
          <w:lang w:val="en-US" w:eastAsia="zh-CN"/>
        </w:rPr>
        <w:t>3.</w:t>
      </w:r>
      <w:r>
        <w:rPr>
          <w:rFonts w:hint="eastAsia" w:ascii="仿宋_GB2312" w:hAnsi="宋体" w:eastAsia="仿宋_GB2312"/>
          <w:sz w:val="32"/>
          <w:szCs w:val="32"/>
          <w:lang w:val="zh-CN"/>
        </w:rPr>
        <w:t>资金管理办法制定情况，资金支持具体项目的条件、范围与支持方式概况。</w:t>
      </w:r>
    </w:p>
    <w:p>
      <w:pPr>
        <w:adjustRightInd w:val="0"/>
        <w:snapToGrid w:val="0"/>
        <w:spacing w:line="600" w:lineRule="exact"/>
        <w:ind w:firstLine="640" w:firstLineChars="200"/>
        <w:rPr>
          <w:rFonts w:hint="eastAsia" w:ascii="仿宋_GB2312" w:hAnsi="宋体" w:eastAsia="仿宋_GB2312"/>
          <w:sz w:val="32"/>
          <w:szCs w:val="32"/>
          <w:lang w:val="zh-CN"/>
        </w:rPr>
      </w:pPr>
      <w:r>
        <w:rPr>
          <w:rFonts w:hint="eastAsia" w:ascii="仿宋_GB2312" w:hAnsi="宋体" w:eastAsia="仿宋_GB2312"/>
          <w:sz w:val="32"/>
          <w:szCs w:val="32"/>
          <w:lang w:val="zh-CN"/>
        </w:rPr>
        <w:t>我局制定了《三重一大制度》，《财务管理制度》和《项目管理制度》，支付时严格按照相关制度执行，项目资金专款专用。</w:t>
      </w:r>
    </w:p>
    <w:p>
      <w:pPr>
        <w:numPr>
          <w:ilvl w:val="0"/>
          <w:numId w:val="0"/>
        </w:numPr>
        <w:adjustRightInd w:val="0"/>
        <w:snapToGrid w:val="0"/>
        <w:spacing w:line="600" w:lineRule="exact"/>
        <w:ind w:firstLine="640" w:firstLineChars="200"/>
        <w:rPr>
          <w:rFonts w:hint="eastAsia" w:ascii="仿宋_GB2312" w:hAnsi="宋体" w:eastAsia="仿宋_GB2312"/>
          <w:sz w:val="32"/>
          <w:szCs w:val="32"/>
          <w:lang w:val="zh-CN"/>
        </w:rPr>
      </w:pPr>
      <w:r>
        <w:rPr>
          <w:rFonts w:hint="eastAsia" w:ascii="仿宋_GB2312" w:hAnsi="宋体" w:eastAsia="仿宋_GB2312"/>
          <w:sz w:val="32"/>
          <w:szCs w:val="32"/>
          <w:lang w:val="en-US" w:eastAsia="zh-CN"/>
        </w:rPr>
        <w:t>4.</w:t>
      </w:r>
      <w:r>
        <w:rPr>
          <w:rFonts w:hint="eastAsia" w:ascii="仿宋_GB2312" w:hAnsi="宋体" w:eastAsia="仿宋_GB2312"/>
          <w:sz w:val="32"/>
          <w:szCs w:val="32"/>
          <w:lang w:val="zh-CN"/>
        </w:rPr>
        <w:t>资金分配的原则及考虑因素。</w:t>
      </w:r>
    </w:p>
    <w:p>
      <w:pPr>
        <w:adjustRightInd w:val="0"/>
        <w:snapToGrid w:val="0"/>
        <w:spacing w:line="600" w:lineRule="exact"/>
        <w:ind w:firstLine="640" w:firstLineChars="200"/>
        <w:rPr>
          <w:rFonts w:hint="eastAsia" w:ascii="仿宋_GB2312" w:hAnsi="宋体" w:eastAsia="仿宋_GB2312"/>
          <w:sz w:val="32"/>
          <w:szCs w:val="32"/>
          <w:lang w:val="zh-CN"/>
        </w:rPr>
      </w:pPr>
      <w:r>
        <w:rPr>
          <w:rFonts w:hint="eastAsia" w:ascii="仿宋_GB2312" w:hAnsi="宋体" w:eastAsia="仿宋_GB2312"/>
          <w:sz w:val="32"/>
          <w:szCs w:val="32"/>
          <w:lang w:val="zh-CN"/>
        </w:rPr>
        <w:t>此项目是一项常规性项目，只是日常的工作经费，财政根据我局年初编报的项目绩效目标和市人大的审核后直接下达指标。</w:t>
      </w:r>
    </w:p>
    <w:p>
      <w:pPr>
        <w:adjustRightInd w:val="0"/>
        <w:snapToGrid w:val="0"/>
        <w:spacing w:line="600" w:lineRule="exact"/>
        <w:ind w:firstLine="720"/>
        <w:rPr>
          <w:rFonts w:hint="eastAsia" w:ascii="楷体_GB2312" w:hAnsi="宋体" w:eastAsia="楷体_GB2312"/>
          <w:b w:val="0"/>
          <w:bCs/>
          <w:sz w:val="32"/>
          <w:szCs w:val="32"/>
          <w:lang w:val="zh-CN"/>
        </w:rPr>
      </w:pPr>
      <w:r>
        <w:rPr>
          <w:rFonts w:hint="eastAsia" w:ascii="楷体_GB2312" w:hAnsi="宋体" w:eastAsia="楷体_GB2312"/>
          <w:b w:val="0"/>
          <w:bCs/>
          <w:sz w:val="32"/>
          <w:szCs w:val="32"/>
          <w:lang w:val="zh-CN"/>
        </w:rPr>
        <w:t>（二）项目绩效目标</w:t>
      </w:r>
    </w:p>
    <w:p>
      <w:pPr>
        <w:adjustRightInd w:val="0"/>
        <w:snapToGrid w:val="0"/>
        <w:spacing w:line="600" w:lineRule="exact"/>
        <w:ind w:firstLine="640" w:firstLineChars="200"/>
        <w:rPr>
          <w:rFonts w:hint="eastAsia" w:ascii="仿宋_GB2312" w:hAnsi="宋体" w:eastAsia="仿宋_GB2312"/>
          <w:sz w:val="32"/>
          <w:szCs w:val="32"/>
          <w:lang w:val="zh-CN"/>
        </w:rPr>
      </w:pPr>
      <w:r>
        <w:rPr>
          <w:rFonts w:ascii="仿宋_GB2312" w:hAnsi="宋体" w:eastAsia="仿宋_GB2312"/>
          <w:sz w:val="32"/>
          <w:szCs w:val="32"/>
          <w:lang w:val="zh-CN"/>
        </w:rPr>
        <w:t>1</w:t>
      </w:r>
      <w:r>
        <w:rPr>
          <w:rFonts w:hint="eastAsia" w:ascii="仿宋_GB2312" w:hAnsi="宋体" w:eastAsia="仿宋_GB2312"/>
          <w:sz w:val="32"/>
          <w:szCs w:val="32"/>
          <w:lang w:val="zh-CN"/>
        </w:rPr>
        <w:t>．项目主要内容。</w:t>
      </w:r>
    </w:p>
    <w:p>
      <w:pPr>
        <w:adjustRightInd w:val="0"/>
        <w:snapToGrid w:val="0"/>
        <w:spacing w:line="580" w:lineRule="exact"/>
        <w:ind w:firstLine="640" w:firstLineChars="200"/>
        <w:rPr>
          <w:rFonts w:hint="eastAsia" w:ascii="仿宋_GB2312" w:hAnsi="宋体" w:eastAsia="仿宋_GB2312"/>
          <w:sz w:val="32"/>
          <w:szCs w:val="32"/>
          <w:lang w:val="zh-CN"/>
        </w:rPr>
      </w:pPr>
      <w:r>
        <w:rPr>
          <w:rFonts w:hint="eastAsia" w:ascii="仿宋_GB2312" w:hAnsi="宋体" w:eastAsia="仿宋_GB2312"/>
          <w:sz w:val="32"/>
          <w:szCs w:val="32"/>
          <w:lang w:val="zh-CN"/>
        </w:rPr>
        <w:t>落实各项防灾措施，分层次开展宣传培训和避险演练，有效提升全社会防灾避险能力。提高全市地质灾害隐患点群测群防水平，搞好汛期排查，汛中巡查和核查工作，实现地灾隐患点零伤亡。</w:t>
      </w:r>
    </w:p>
    <w:p>
      <w:pPr>
        <w:numPr>
          <w:ilvl w:val="0"/>
          <w:numId w:val="3"/>
        </w:numPr>
        <w:adjustRightInd w:val="0"/>
        <w:snapToGrid w:val="0"/>
        <w:spacing w:line="580" w:lineRule="exact"/>
        <w:ind w:firstLine="640" w:firstLineChars="200"/>
        <w:rPr>
          <w:rFonts w:hint="eastAsia" w:ascii="仿宋_GB2312" w:hAnsi="宋体" w:eastAsia="仿宋_GB2312"/>
          <w:sz w:val="32"/>
          <w:szCs w:val="32"/>
          <w:lang w:val="zh-CN"/>
        </w:rPr>
      </w:pPr>
      <w:r>
        <w:rPr>
          <w:rFonts w:hint="eastAsia" w:ascii="仿宋_GB2312" w:hAnsi="宋体" w:eastAsia="仿宋_GB2312"/>
          <w:sz w:val="32"/>
          <w:szCs w:val="32"/>
          <w:lang w:val="zh-CN"/>
        </w:rPr>
        <w:t>项目应实现的具体绩效目标，包括目标的量化、细化情况以及项目实施进度计划等。</w:t>
      </w:r>
    </w:p>
    <w:p>
      <w:pPr>
        <w:adjustRightInd w:val="0"/>
        <w:snapToGrid w:val="0"/>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lang w:val="zh-CN"/>
        </w:rPr>
        <w:t>预期实现完成全市地质灾害隐患点检查</w:t>
      </w:r>
      <w:r>
        <w:rPr>
          <w:rFonts w:hint="eastAsia" w:ascii="仿宋_GB2312" w:hAnsi="宋体" w:eastAsia="仿宋_GB2312"/>
          <w:sz w:val="32"/>
          <w:szCs w:val="32"/>
          <w:lang w:val="en-US" w:eastAsia="zh-CN"/>
        </w:rPr>
        <w:t>完成</w:t>
      </w:r>
      <w:r>
        <w:rPr>
          <w:rFonts w:hint="eastAsia" w:ascii="仿宋_GB2312" w:hAnsi="宋体" w:eastAsia="仿宋_GB2312"/>
          <w:sz w:val="32"/>
          <w:szCs w:val="32"/>
        </w:rPr>
        <w:t>1</w:t>
      </w:r>
      <w:r>
        <w:rPr>
          <w:rFonts w:hint="eastAsia" w:ascii="仿宋_GB2312" w:hAnsi="宋体" w:eastAsia="仿宋_GB2312"/>
          <w:sz w:val="32"/>
          <w:szCs w:val="32"/>
          <w:lang w:val="en-US" w:eastAsia="zh-CN"/>
        </w:rPr>
        <w:t>500</w:t>
      </w:r>
      <w:r>
        <w:rPr>
          <w:rFonts w:hint="eastAsia" w:ascii="仿宋_GB2312" w:hAnsi="宋体" w:eastAsia="仿宋_GB2312"/>
          <w:sz w:val="32"/>
          <w:szCs w:val="32"/>
        </w:rPr>
        <w:t>处，完成汛期隐患点排查、检查大于</w:t>
      </w:r>
      <w:r>
        <w:rPr>
          <w:rFonts w:hint="eastAsia" w:ascii="仿宋_GB2312" w:hAnsi="宋体" w:eastAsia="仿宋_GB2312"/>
          <w:sz w:val="32"/>
          <w:szCs w:val="32"/>
          <w:lang w:val="en-US" w:eastAsia="zh-CN"/>
        </w:rPr>
        <w:t>900</w:t>
      </w:r>
      <w:r>
        <w:rPr>
          <w:rFonts w:hint="eastAsia" w:ascii="仿宋_GB2312" w:hAnsi="宋体" w:eastAsia="仿宋_GB2312"/>
          <w:sz w:val="32"/>
          <w:szCs w:val="32"/>
        </w:rPr>
        <w:t>次，安排实施全市各县区地质灾害避险演练大于</w:t>
      </w:r>
      <w:r>
        <w:rPr>
          <w:rFonts w:hint="eastAsia" w:ascii="仿宋_GB2312" w:hAnsi="宋体" w:eastAsia="仿宋_GB2312"/>
          <w:sz w:val="32"/>
          <w:szCs w:val="32"/>
          <w:lang w:val="en-US" w:eastAsia="zh-CN"/>
        </w:rPr>
        <w:t>90</w:t>
      </w:r>
      <w:r>
        <w:rPr>
          <w:rFonts w:hint="eastAsia" w:ascii="仿宋_GB2312" w:hAnsi="宋体" w:eastAsia="仿宋_GB2312"/>
          <w:sz w:val="32"/>
          <w:szCs w:val="32"/>
        </w:rPr>
        <w:t>次，组织全市地质灾害防治宣传培训大于5次。</w:t>
      </w:r>
    </w:p>
    <w:p>
      <w:pPr>
        <w:numPr>
          <w:ilvl w:val="0"/>
          <w:numId w:val="3"/>
        </w:numPr>
        <w:adjustRightInd w:val="0"/>
        <w:snapToGrid w:val="0"/>
        <w:spacing w:line="580" w:lineRule="exact"/>
        <w:ind w:firstLine="640" w:firstLineChars="200"/>
        <w:rPr>
          <w:rFonts w:hint="eastAsia" w:ascii="仿宋_GB2312" w:hAnsi="宋体" w:eastAsia="仿宋_GB2312"/>
          <w:sz w:val="32"/>
          <w:szCs w:val="32"/>
          <w:lang w:val="zh-CN"/>
        </w:rPr>
      </w:pPr>
      <w:r>
        <w:rPr>
          <w:rFonts w:hint="eastAsia" w:ascii="仿宋_GB2312" w:hAnsi="宋体" w:eastAsia="仿宋_GB2312"/>
          <w:sz w:val="32"/>
          <w:szCs w:val="32"/>
          <w:lang w:val="zh-CN"/>
        </w:rPr>
        <w:t>分析评价申报内容是否与实际相符，申报目标是否合理可行。</w:t>
      </w:r>
    </w:p>
    <w:p>
      <w:pPr>
        <w:adjustRightInd w:val="0"/>
        <w:snapToGrid w:val="0"/>
        <w:spacing w:line="580" w:lineRule="exact"/>
        <w:ind w:firstLine="640" w:firstLineChars="200"/>
        <w:rPr>
          <w:rFonts w:hint="eastAsia" w:ascii="仿宋_GB2312" w:hAnsi="宋体" w:eastAsia="仿宋_GB2312"/>
          <w:sz w:val="32"/>
          <w:szCs w:val="32"/>
          <w:lang w:val="zh-CN"/>
        </w:rPr>
      </w:pPr>
      <w:r>
        <w:rPr>
          <w:rFonts w:hint="eastAsia" w:ascii="仿宋_GB2312" w:hAnsi="宋体" w:eastAsia="仿宋_GB2312"/>
          <w:sz w:val="32"/>
          <w:szCs w:val="32"/>
          <w:lang w:val="zh-CN"/>
        </w:rPr>
        <w:t>评价申报内容与实际相符，申报目标合理可行。</w:t>
      </w:r>
    </w:p>
    <w:p>
      <w:pPr>
        <w:adjustRightInd w:val="0"/>
        <w:snapToGrid w:val="0"/>
        <w:spacing w:line="600" w:lineRule="exact"/>
        <w:ind w:firstLine="720"/>
        <w:rPr>
          <w:rFonts w:hint="eastAsia" w:ascii="楷体_GB2312" w:hAnsi="宋体" w:eastAsia="楷体_GB2312"/>
          <w:b w:val="0"/>
          <w:bCs/>
          <w:sz w:val="32"/>
          <w:szCs w:val="32"/>
          <w:lang w:val="zh-CN"/>
        </w:rPr>
      </w:pPr>
      <w:r>
        <w:rPr>
          <w:rFonts w:hint="eastAsia" w:ascii="楷体_GB2312" w:hAnsi="宋体" w:eastAsia="楷体_GB2312"/>
          <w:b w:val="0"/>
          <w:bCs/>
          <w:sz w:val="32"/>
          <w:szCs w:val="32"/>
          <w:lang w:val="zh-CN"/>
        </w:rPr>
        <w:t>（三）项目自评步骤及方法</w:t>
      </w:r>
    </w:p>
    <w:p>
      <w:pPr>
        <w:adjustRightInd w:val="0"/>
        <w:snapToGrid w:val="0"/>
        <w:spacing w:line="58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年末通过数量指标、质量指标及产生的社会效益和政府满意度等来自评项目绩效完成情况。</w:t>
      </w:r>
    </w:p>
    <w:p>
      <w:pPr>
        <w:adjustRightInd w:val="0"/>
        <w:snapToGrid w:val="0"/>
        <w:spacing w:line="580" w:lineRule="exact"/>
        <w:ind w:firstLine="640" w:firstLineChars="20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600" w:lineRule="exact"/>
        <w:ind w:firstLine="720"/>
        <w:rPr>
          <w:rFonts w:hint="eastAsia" w:ascii="楷体_GB2312" w:hAnsi="宋体" w:eastAsia="楷体_GB2312"/>
          <w:b w:val="0"/>
          <w:bCs/>
          <w:sz w:val="32"/>
          <w:szCs w:val="32"/>
          <w:lang w:val="zh-CN"/>
        </w:rPr>
      </w:pPr>
      <w:r>
        <w:rPr>
          <w:rFonts w:hint="eastAsia" w:ascii="楷体_GB2312" w:hAnsi="宋体" w:eastAsia="楷体_GB2312"/>
          <w:b w:val="0"/>
          <w:bCs/>
          <w:sz w:val="32"/>
          <w:szCs w:val="32"/>
          <w:lang w:val="zh-CN"/>
        </w:rPr>
        <w:t>（一）项目资金申报及批复情况</w:t>
      </w:r>
    </w:p>
    <w:p>
      <w:pPr>
        <w:adjustRightInd w:val="0"/>
        <w:snapToGrid w:val="0"/>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lang w:val="zh-CN"/>
        </w:rPr>
        <w:t>年初我局申报地质灾害防治工作经费</w:t>
      </w:r>
      <w:r>
        <w:rPr>
          <w:rFonts w:hint="eastAsia" w:ascii="仿宋_GB2312" w:hAnsi="宋体" w:eastAsia="仿宋_GB2312"/>
          <w:sz w:val="32"/>
          <w:szCs w:val="32"/>
          <w:lang w:val="en-US" w:eastAsia="zh-CN"/>
        </w:rPr>
        <w:t>20</w:t>
      </w:r>
      <w:r>
        <w:rPr>
          <w:rFonts w:hint="eastAsia" w:ascii="仿宋_GB2312" w:hAnsi="宋体" w:eastAsia="仿宋_GB2312"/>
          <w:sz w:val="32"/>
          <w:szCs w:val="32"/>
        </w:rPr>
        <w:t>万元，财政批复</w:t>
      </w:r>
      <w:r>
        <w:rPr>
          <w:rFonts w:hint="eastAsia" w:ascii="仿宋_GB2312" w:hAnsi="宋体" w:eastAsia="仿宋_GB2312"/>
          <w:sz w:val="32"/>
          <w:szCs w:val="32"/>
          <w:lang w:val="en-US" w:eastAsia="zh-CN"/>
        </w:rPr>
        <w:t>14</w:t>
      </w:r>
      <w:r>
        <w:rPr>
          <w:rFonts w:hint="eastAsia" w:ascii="仿宋_GB2312" w:hAnsi="宋体" w:eastAsia="仿宋_GB2312"/>
          <w:sz w:val="32"/>
          <w:szCs w:val="32"/>
        </w:rPr>
        <w:t>.78万元。</w:t>
      </w:r>
    </w:p>
    <w:p>
      <w:pPr>
        <w:adjustRightInd w:val="0"/>
        <w:snapToGrid w:val="0"/>
        <w:spacing w:line="600" w:lineRule="exact"/>
        <w:ind w:firstLine="720"/>
        <w:rPr>
          <w:rFonts w:hint="eastAsia" w:ascii="楷体_GB2312" w:hAnsi="宋体" w:eastAsia="楷体_GB2312"/>
          <w:b w:val="0"/>
          <w:bCs/>
          <w:sz w:val="32"/>
          <w:szCs w:val="32"/>
          <w:lang w:val="zh-CN"/>
        </w:rPr>
      </w:pPr>
      <w:r>
        <w:rPr>
          <w:rFonts w:hint="eastAsia" w:ascii="楷体_GB2312" w:hAnsi="宋体" w:eastAsia="楷体_GB2312"/>
          <w:b w:val="0"/>
          <w:bCs/>
          <w:sz w:val="32"/>
          <w:szCs w:val="32"/>
          <w:lang w:val="zh-CN"/>
        </w:rPr>
        <w:t>（二）资金计划、到位及使用情况</w:t>
      </w:r>
    </w:p>
    <w:p>
      <w:pPr>
        <w:adjustRightInd w:val="0"/>
        <w:snapToGrid w:val="0"/>
        <w:spacing w:line="580" w:lineRule="exact"/>
        <w:ind w:firstLine="640" w:firstLineChars="200"/>
        <w:rPr>
          <w:rFonts w:hint="eastAsia" w:ascii="楷体_GB2312" w:hAnsi="宋体" w:eastAsia="楷体_GB2312"/>
          <w:sz w:val="32"/>
          <w:szCs w:val="32"/>
          <w:lang w:val="zh-CN"/>
        </w:rPr>
      </w:pPr>
      <w:r>
        <w:rPr>
          <w:rFonts w:ascii="楷体_GB2312" w:hAnsi="宋体" w:eastAsia="楷体_GB2312"/>
          <w:sz w:val="32"/>
          <w:szCs w:val="32"/>
          <w:lang w:val="zh-CN"/>
        </w:rPr>
        <w:t>1</w:t>
      </w:r>
      <w:r>
        <w:rPr>
          <w:rFonts w:hint="eastAsia" w:ascii="楷体_GB2312" w:hAnsi="宋体" w:eastAsia="楷体_GB2312"/>
          <w:sz w:val="32"/>
          <w:szCs w:val="32"/>
          <w:lang w:val="zh-CN"/>
        </w:rPr>
        <w:t>．资金计划。</w:t>
      </w:r>
    </w:p>
    <w:p>
      <w:pPr>
        <w:adjustRightInd w:val="0"/>
        <w:snapToGrid w:val="0"/>
        <w:spacing w:line="580" w:lineRule="exact"/>
        <w:ind w:firstLine="640" w:firstLineChars="200"/>
        <w:rPr>
          <w:rFonts w:hint="eastAsia" w:ascii="楷体_GB2312" w:hAnsi="宋体" w:eastAsia="楷体_GB2312"/>
          <w:sz w:val="32"/>
          <w:szCs w:val="32"/>
          <w:lang w:val="zh-CN"/>
        </w:rPr>
      </w:pPr>
      <w:r>
        <w:rPr>
          <w:rFonts w:hint="eastAsia" w:ascii="楷体_GB2312" w:hAnsi="宋体" w:eastAsia="楷体_GB2312"/>
          <w:sz w:val="32"/>
          <w:szCs w:val="32"/>
          <w:lang w:val="zh-CN"/>
        </w:rPr>
        <w:t>此项目属于常规工作经费项目，财政用一般公共预算资金安排</w:t>
      </w:r>
      <w:r>
        <w:rPr>
          <w:rFonts w:hint="eastAsia" w:ascii="楷体_GB2312" w:hAnsi="宋体" w:eastAsia="楷体_GB2312"/>
          <w:sz w:val="32"/>
          <w:szCs w:val="32"/>
          <w:lang w:val="en-US" w:eastAsia="zh-CN"/>
        </w:rPr>
        <w:t>1</w:t>
      </w:r>
      <w:r>
        <w:rPr>
          <w:rFonts w:hint="eastAsia" w:ascii="楷体_GB2312" w:hAnsi="宋体" w:eastAsia="楷体_GB2312"/>
          <w:sz w:val="32"/>
          <w:szCs w:val="32"/>
        </w:rPr>
        <w:t>4.78万元</w:t>
      </w:r>
      <w:r>
        <w:rPr>
          <w:rFonts w:hint="eastAsia" w:ascii="楷体_GB2312" w:hAnsi="宋体" w:eastAsia="楷体_GB2312"/>
          <w:sz w:val="32"/>
          <w:szCs w:val="32"/>
          <w:lang w:val="zh-CN"/>
        </w:rPr>
        <w:t>。</w:t>
      </w:r>
    </w:p>
    <w:p>
      <w:pPr>
        <w:numPr>
          <w:ilvl w:val="0"/>
          <w:numId w:val="0"/>
        </w:numPr>
        <w:adjustRightInd w:val="0"/>
        <w:snapToGrid w:val="0"/>
        <w:spacing w:line="580" w:lineRule="exact"/>
        <w:ind w:firstLine="640" w:firstLineChars="200"/>
        <w:rPr>
          <w:rFonts w:hint="eastAsia" w:ascii="楷体_GB2312" w:hAnsi="宋体" w:eastAsia="楷体_GB2312"/>
          <w:sz w:val="32"/>
          <w:szCs w:val="32"/>
          <w:lang w:val="zh-CN"/>
        </w:rPr>
      </w:pPr>
      <w:r>
        <w:rPr>
          <w:rFonts w:hint="eastAsia" w:ascii="楷体_GB2312" w:hAnsi="宋体" w:eastAsia="楷体_GB2312"/>
          <w:sz w:val="32"/>
          <w:szCs w:val="32"/>
          <w:lang w:val="en-US" w:eastAsia="zh-CN"/>
        </w:rPr>
        <w:t>2.</w:t>
      </w:r>
      <w:r>
        <w:rPr>
          <w:rFonts w:hint="eastAsia" w:ascii="楷体_GB2312" w:hAnsi="宋体" w:eastAsia="楷体_GB2312"/>
          <w:sz w:val="32"/>
          <w:szCs w:val="32"/>
          <w:lang w:val="zh-CN"/>
        </w:rPr>
        <w:t>资金到位。</w:t>
      </w:r>
    </w:p>
    <w:p>
      <w:pPr>
        <w:adjustRightInd w:val="0"/>
        <w:snapToGrid w:val="0"/>
        <w:spacing w:line="58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截止</w:t>
      </w:r>
      <w:r>
        <w:rPr>
          <w:rFonts w:hint="eastAsia" w:ascii="仿宋_GB2312" w:hAnsi="宋体" w:eastAsia="仿宋_GB2312"/>
          <w:sz w:val="32"/>
          <w:szCs w:val="32"/>
        </w:rPr>
        <w:t>202</w:t>
      </w:r>
      <w:r>
        <w:rPr>
          <w:rFonts w:hint="eastAsia" w:ascii="仿宋_GB2312" w:hAnsi="宋体" w:eastAsia="仿宋_GB2312"/>
          <w:sz w:val="32"/>
          <w:szCs w:val="32"/>
          <w:lang w:val="en-US" w:eastAsia="zh-CN"/>
        </w:rPr>
        <w:t>1</w:t>
      </w:r>
      <w:r>
        <w:rPr>
          <w:rFonts w:hint="eastAsia" w:ascii="仿宋_GB2312" w:hAnsi="宋体" w:eastAsia="仿宋_GB2312"/>
          <w:sz w:val="32"/>
          <w:szCs w:val="32"/>
        </w:rPr>
        <w:t>年12月31日，此项目到位资金</w:t>
      </w:r>
      <w:r>
        <w:rPr>
          <w:rFonts w:hint="eastAsia" w:ascii="仿宋_GB2312" w:hAnsi="宋体" w:eastAsia="仿宋_GB2312"/>
          <w:sz w:val="32"/>
          <w:szCs w:val="32"/>
          <w:lang w:val="en-US" w:eastAsia="zh-CN"/>
        </w:rPr>
        <w:t>1</w:t>
      </w:r>
      <w:r>
        <w:rPr>
          <w:rFonts w:hint="eastAsia" w:ascii="仿宋_GB2312" w:hAnsi="宋体" w:eastAsia="仿宋_GB2312"/>
          <w:sz w:val="32"/>
          <w:szCs w:val="32"/>
        </w:rPr>
        <w:t>4.78万元，100%到位，此资金属于市级一般公共预算资金。</w:t>
      </w:r>
    </w:p>
    <w:p>
      <w:pPr>
        <w:numPr>
          <w:ilvl w:val="0"/>
          <w:numId w:val="0"/>
        </w:numPr>
        <w:adjustRightInd w:val="0"/>
        <w:snapToGrid w:val="0"/>
        <w:spacing w:line="580" w:lineRule="exact"/>
        <w:ind w:firstLine="640" w:firstLineChars="200"/>
        <w:rPr>
          <w:rFonts w:hint="eastAsia" w:ascii="楷体_GB2312" w:hAnsi="宋体" w:eastAsia="楷体_GB2312"/>
          <w:sz w:val="32"/>
          <w:szCs w:val="32"/>
          <w:lang w:val="zh-CN"/>
        </w:rPr>
      </w:pPr>
      <w:r>
        <w:rPr>
          <w:rFonts w:hint="eastAsia" w:ascii="楷体_GB2312" w:hAnsi="宋体" w:eastAsia="楷体_GB2312"/>
          <w:sz w:val="32"/>
          <w:szCs w:val="32"/>
          <w:lang w:val="en-US" w:eastAsia="zh-CN"/>
        </w:rPr>
        <w:t>3.</w:t>
      </w:r>
      <w:r>
        <w:rPr>
          <w:rFonts w:hint="eastAsia" w:ascii="楷体_GB2312" w:hAnsi="宋体" w:eastAsia="楷体_GB2312"/>
          <w:sz w:val="32"/>
          <w:szCs w:val="32"/>
          <w:lang w:val="zh-CN"/>
        </w:rPr>
        <w:t>资金使用。</w:t>
      </w:r>
    </w:p>
    <w:p>
      <w:pPr>
        <w:adjustRightInd w:val="0"/>
        <w:snapToGrid w:val="0"/>
        <w:spacing w:line="58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lang w:val="zh-CN"/>
        </w:rPr>
        <w:t>全年支付合计</w:t>
      </w:r>
      <w:r>
        <w:rPr>
          <w:rFonts w:hint="eastAsia" w:ascii="仿宋_GB2312" w:hAnsi="宋体" w:eastAsia="仿宋_GB2312"/>
          <w:sz w:val="32"/>
          <w:szCs w:val="32"/>
          <w:lang w:val="en-US" w:eastAsia="zh-CN"/>
        </w:rPr>
        <w:t>1</w:t>
      </w:r>
      <w:r>
        <w:rPr>
          <w:rFonts w:hint="eastAsia" w:ascii="仿宋_GB2312" w:hAnsi="宋体" w:eastAsia="仿宋_GB2312"/>
          <w:sz w:val="32"/>
          <w:szCs w:val="32"/>
        </w:rPr>
        <w:t>4.78万元，包括全市地质灾害隐患点检查、汛期隐患点排查、督查差旅费，地质灾害避险演练费、地质灾害培训宣传费。</w:t>
      </w:r>
    </w:p>
    <w:p>
      <w:pPr>
        <w:adjustRightInd w:val="0"/>
        <w:snapToGrid w:val="0"/>
        <w:spacing w:line="600" w:lineRule="exact"/>
        <w:ind w:firstLine="720"/>
        <w:rPr>
          <w:rFonts w:hint="eastAsia" w:ascii="楷体_GB2312" w:hAnsi="宋体" w:eastAsia="楷体_GB2312"/>
          <w:b w:val="0"/>
          <w:bCs/>
          <w:sz w:val="32"/>
          <w:szCs w:val="32"/>
          <w:lang w:val="zh-CN"/>
        </w:rPr>
      </w:pPr>
      <w:r>
        <w:rPr>
          <w:rFonts w:hint="eastAsia" w:ascii="楷体_GB2312" w:hAnsi="宋体" w:eastAsia="楷体_GB2312"/>
          <w:b w:val="0"/>
          <w:bCs/>
          <w:sz w:val="32"/>
          <w:szCs w:val="32"/>
          <w:lang w:val="zh-CN"/>
        </w:rPr>
        <w:t>（三）项目财务管理情况</w:t>
      </w:r>
    </w:p>
    <w:p>
      <w:pPr>
        <w:adjustRightInd w:val="0"/>
        <w:snapToGrid w:val="0"/>
        <w:spacing w:line="580" w:lineRule="exact"/>
        <w:ind w:firstLine="640" w:firstLineChars="200"/>
        <w:rPr>
          <w:rFonts w:hint="eastAsia" w:ascii="楷体_GB2312" w:hAnsi="宋体" w:eastAsia="楷体_GB2312"/>
          <w:bCs/>
          <w:sz w:val="32"/>
          <w:szCs w:val="32"/>
        </w:rPr>
      </w:pPr>
      <w:r>
        <w:rPr>
          <w:rFonts w:hint="eastAsia" w:ascii="楷体_GB2312" w:hAnsi="宋体" w:eastAsia="楷体_GB2312"/>
          <w:bCs/>
          <w:sz w:val="32"/>
          <w:szCs w:val="32"/>
        </w:rPr>
        <w:t>我局制度了《财务管理制度》和《专项资金管理制度》和《三重一大制度》，项目支付过程中严格执行相关制度，专款专用，无截留，无挪用的现象。</w:t>
      </w:r>
    </w:p>
    <w:p>
      <w:pPr>
        <w:adjustRightInd w:val="0"/>
        <w:snapToGrid w:val="0"/>
        <w:spacing w:line="580" w:lineRule="exact"/>
        <w:ind w:firstLine="640" w:firstLineChars="200"/>
        <w:rPr>
          <w:rFonts w:ascii="黑体" w:hAnsi="宋体" w:eastAsia="黑体"/>
          <w:sz w:val="32"/>
          <w:szCs w:val="32"/>
        </w:rPr>
      </w:pPr>
      <w:r>
        <w:rPr>
          <w:rFonts w:hint="eastAsia" w:ascii="黑体" w:hAnsi="宋体" w:eastAsia="黑体"/>
          <w:sz w:val="32"/>
          <w:szCs w:val="32"/>
        </w:rPr>
        <w:t>三、项目实施及管理情况</w:t>
      </w:r>
    </w:p>
    <w:p>
      <w:pPr>
        <w:adjustRightInd w:val="0"/>
        <w:snapToGrid w:val="0"/>
        <w:spacing w:line="58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地质灾害防治工作经费属于财政下达的常规性一般公共项目，都是工作经费，专门用于地质灾害防治日常经费。</w:t>
      </w:r>
    </w:p>
    <w:p>
      <w:pPr>
        <w:adjustRightInd w:val="0"/>
        <w:snapToGrid w:val="0"/>
        <w:spacing w:line="580" w:lineRule="exact"/>
        <w:ind w:firstLine="640" w:firstLineChars="200"/>
        <w:rPr>
          <w:rFonts w:ascii="仿宋_GB2312" w:hAnsi="宋体" w:eastAsia="仿宋_GB2312"/>
          <w:sz w:val="32"/>
          <w:szCs w:val="32"/>
          <w:lang w:val="zh-CN"/>
        </w:rPr>
      </w:pPr>
      <w:r>
        <w:rPr>
          <w:rFonts w:hint="eastAsia" w:ascii="黑体" w:hAnsi="宋体" w:eastAsia="黑体"/>
          <w:sz w:val="32"/>
          <w:szCs w:val="32"/>
        </w:rPr>
        <w:t>四、项目绩效情况</w:t>
      </w:r>
      <w:r>
        <w:rPr>
          <w:rFonts w:ascii="仿宋_GB2312" w:hAnsi="宋体" w:eastAsia="仿宋_GB2312"/>
          <w:sz w:val="32"/>
          <w:szCs w:val="32"/>
          <w:lang w:val="zh-CN"/>
        </w:rPr>
        <w:tab/>
      </w:r>
    </w:p>
    <w:p>
      <w:pPr>
        <w:adjustRightInd w:val="0"/>
        <w:snapToGrid w:val="0"/>
        <w:spacing w:line="600" w:lineRule="exact"/>
        <w:ind w:firstLine="720"/>
        <w:rPr>
          <w:rFonts w:hint="eastAsia" w:ascii="楷体_GB2312" w:hAnsi="宋体" w:eastAsia="楷体_GB2312"/>
          <w:b w:val="0"/>
          <w:bCs/>
          <w:sz w:val="32"/>
          <w:szCs w:val="32"/>
          <w:lang w:val="zh-CN"/>
        </w:rPr>
      </w:pPr>
      <w:r>
        <w:rPr>
          <w:rFonts w:hint="eastAsia" w:ascii="楷体_GB2312" w:hAnsi="宋体" w:eastAsia="楷体_GB2312"/>
          <w:b w:val="0"/>
          <w:bCs/>
          <w:sz w:val="32"/>
          <w:szCs w:val="32"/>
          <w:lang w:val="zh-CN"/>
        </w:rPr>
        <w:t>（一）项目完成情况</w:t>
      </w:r>
    </w:p>
    <w:p>
      <w:pPr>
        <w:spacing w:line="580" w:lineRule="exact"/>
        <w:ind w:firstLine="640" w:firstLineChars="200"/>
        <w:rPr>
          <w:rFonts w:hint="eastAsia" w:ascii="仿宋_GB2312" w:eastAsia="仿宋_GB2312"/>
          <w:color w:val="000000"/>
          <w:sz w:val="32"/>
          <w:szCs w:val="32"/>
        </w:rPr>
      </w:pPr>
      <w:r>
        <w:rPr>
          <w:rFonts w:hint="eastAsia" w:ascii="仿宋_GB2312" w:eastAsia="仿宋_GB2312"/>
          <w:sz w:val="32"/>
          <w:szCs w:val="32"/>
          <w:lang w:val="en-US" w:eastAsia="zh-CN"/>
        </w:rPr>
        <w:t>我局认真贯彻落实习近平总书记关于防灾减灾救灾系列论述和重要指示精神。一是制定了《广元市地质灾害全域综合整治三年行动计划（2021-2023）任务）任务分配和《广元市地质灾害全域综合整治2021年度实施方案》并报市政府常务会议审议通过。二是切实加强与市级相关部门的横向对接，积极争取财政部门支持，争取到2022年一般债券1.47亿元，用于地质灾害全域综合整治第三年行动计划。三是全年开展群防群策1010处，完成全市地质灾害隐患点1500点，完成汛期隐患点排查、监测和督导1000榆次，开展地质灾害培训和演练95次。通过该项目的实施，达到连续实现地灾隐患点“零”伤亡的目标，</w:t>
      </w:r>
      <w:r>
        <w:rPr>
          <w:rFonts w:hint="eastAsia" w:ascii="仿宋_GB2312" w:hAnsi="宋体" w:eastAsia="仿宋_GB2312" w:cs="仿宋_GB2312"/>
          <w:color w:val="000000"/>
          <w:kern w:val="0"/>
          <w:sz w:val="32"/>
          <w:szCs w:val="32"/>
          <w:shd w:val="clear" w:color="auto" w:fill="FFFFFF"/>
        </w:rPr>
        <w:t>最大限度减少国家和人民群众的人身和财产损失。</w:t>
      </w:r>
    </w:p>
    <w:p>
      <w:pPr>
        <w:adjustRightInd w:val="0"/>
        <w:snapToGrid w:val="0"/>
        <w:spacing w:line="600" w:lineRule="exact"/>
        <w:ind w:firstLine="720"/>
        <w:rPr>
          <w:rFonts w:hint="eastAsia" w:ascii="楷体_GB2312" w:hAnsi="宋体" w:eastAsia="楷体_GB2312"/>
          <w:b w:val="0"/>
          <w:bCs/>
          <w:sz w:val="32"/>
          <w:szCs w:val="32"/>
          <w:lang w:val="zh-CN"/>
        </w:rPr>
      </w:pPr>
      <w:r>
        <w:rPr>
          <w:rFonts w:hint="eastAsia" w:ascii="楷体_GB2312" w:hAnsi="宋体" w:eastAsia="楷体_GB2312"/>
          <w:b w:val="0"/>
          <w:bCs/>
          <w:sz w:val="32"/>
          <w:szCs w:val="32"/>
          <w:lang w:val="zh-CN"/>
        </w:rPr>
        <w:t>（二）项目效益情况</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产生的经济效益是最大限度减少国家和人民群众的人生和财产损失。社会效益：保护人民群众生命财产安全，不断提升地质灾害防治能力，维护社会和谐稳定。可持续效益：大型地质灾害隐患点的威胁和因地质灾害造成的人员伤亡和财产损失明显减少，</w:t>
      </w:r>
      <w:r>
        <w:rPr>
          <w:rFonts w:hint="eastAsia" w:ascii="仿宋_GB2312" w:eastAsia="仿宋_GB2312"/>
          <w:sz w:val="32"/>
          <w:szCs w:val="32"/>
        </w:rPr>
        <w:t>成功实现连续十二年地灾预案点内“零伤亡”。</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五、评价结论及建议</w:t>
      </w:r>
    </w:p>
    <w:p>
      <w:pPr>
        <w:adjustRightInd w:val="0"/>
        <w:snapToGrid w:val="0"/>
        <w:spacing w:line="600" w:lineRule="exact"/>
        <w:ind w:firstLine="720"/>
        <w:rPr>
          <w:rFonts w:hint="eastAsia" w:ascii="楷体_GB2312" w:hAnsi="宋体" w:eastAsia="楷体_GB2312"/>
          <w:b w:val="0"/>
          <w:bCs/>
          <w:sz w:val="32"/>
          <w:szCs w:val="32"/>
          <w:lang w:val="zh-CN"/>
        </w:rPr>
      </w:pPr>
      <w:r>
        <w:rPr>
          <w:rFonts w:hint="eastAsia" w:ascii="楷体_GB2312" w:hAnsi="宋体" w:eastAsia="楷体_GB2312"/>
          <w:b w:val="0"/>
          <w:bCs/>
          <w:sz w:val="32"/>
          <w:szCs w:val="32"/>
          <w:lang w:val="zh-CN"/>
        </w:rPr>
        <w:t>（一）评价结论</w:t>
      </w:r>
    </w:p>
    <w:p>
      <w:pPr>
        <w:adjustRightInd w:val="0"/>
        <w:snapToGrid w:val="0"/>
        <w:spacing w:line="58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lang w:val="zh-CN"/>
        </w:rPr>
        <w:t>通过自评，自评得分</w:t>
      </w:r>
      <w:r>
        <w:rPr>
          <w:rFonts w:hint="eastAsia" w:ascii="仿宋_GB2312" w:hAnsi="宋体" w:eastAsia="仿宋_GB2312"/>
          <w:sz w:val="32"/>
          <w:szCs w:val="32"/>
        </w:rPr>
        <w:t>98分。</w:t>
      </w:r>
    </w:p>
    <w:p>
      <w:pPr>
        <w:adjustRightInd w:val="0"/>
        <w:snapToGrid w:val="0"/>
        <w:spacing w:line="600" w:lineRule="exact"/>
        <w:ind w:firstLine="720"/>
        <w:rPr>
          <w:rFonts w:hint="eastAsia" w:ascii="楷体_GB2312" w:hAnsi="宋体" w:eastAsia="楷体_GB2312"/>
          <w:b w:val="0"/>
          <w:bCs/>
          <w:sz w:val="32"/>
          <w:szCs w:val="32"/>
          <w:lang w:val="zh-CN"/>
        </w:rPr>
      </w:pPr>
      <w:r>
        <w:rPr>
          <w:rFonts w:hint="eastAsia" w:ascii="楷体_GB2312" w:hAnsi="宋体" w:eastAsia="楷体_GB2312"/>
          <w:b w:val="0"/>
          <w:bCs/>
          <w:sz w:val="32"/>
          <w:szCs w:val="32"/>
          <w:lang w:val="zh-CN"/>
        </w:rPr>
        <w:t>（二）存在的问题</w:t>
      </w:r>
    </w:p>
    <w:p>
      <w:pPr>
        <w:adjustRightInd w:val="0"/>
        <w:snapToGrid w:val="0"/>
        <w:spacing w:line="58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预算指标需进一步细化。</w:t>
      </w:r>
      <w:r>
        <w:rPr>
          <w:rFonts w:ascii="仿宋_GB2312" w:hAnsi="宋体" w:eastAsia="仿宋_GB2312"/>
          <w:sz w:val="32"/>
          <w:szCs w:val="32"/>
          <w:lang w:val="zh-CN"/>
        </w:rPr>
        <w:tab/>
      </w:r>
    </w:p>
    <w:p>
      <w:pPr>
        <w:adjustRightInd w:val="0"/>
        <w:snapToGrid w:val="0"/>
        <w:spacing w:line="600" w:lineRule="exact"/>
        <w:ind w:firstLine="720"/>
        <w:rPr>
          <w:rFonts w:hint="eastAsia" w:ascii="楷体_GB2312" w:hAnsi="宋体" w:eastAsia="楷体_GB2312"/>
          <w:b w:val="0"/>
          <w:bCs/>
          <w:sz w:val="32"/>
          <w:szCs w:val="32"/>
          <w:lang w:val="zh-CN"/>
        </w:rPr>
      </w:pPr>
      <w:r>
        <w:rPr>
          <w:rFonts w:hint="eastAsia" w:ascii="楷体_GB2312" w:hAnsi="宋体" w:eastAsia="楷体_GB2312"/>
          <w:b w:val="0"/>
          <w:bCs/>
          <w:sz w:val="32"/>
          <w:szCs w:val="32"/>
          <w:lang w:val="zh-CN"/>
        </w:rPr>
        <w:t>（三）相关建议</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宋体" w:eastAsia="仿宋_GB2312" w:cs="Times New Roman"/>
          <w:sz w:val="32"/>
          <w:szCs w:val="32"/>
          <w:lang w:val="zh-CN" w:eastAsia="zh-CN"/>
        </w:rPr>
        <w:t>为了提高预算编制的科学性、合理性，下一步改进措施是完善绩效目标相关指标,建立健全项目管理制度,层层分解任务,明确相关人员责任,落实到位。</w:t>
      </w:r>
      <w:r>
        <w:rPr>
          <w:rFonts w:hint="eastAsia" w:ascii="仿宋_GB2312" w:hAnsi="仿宋_GB2312" w:eastAsia="仿宋_GB2312" w:cs="仿宋_GB2312"/>
          <w:sz w:val="32"/>
          <w:szCs w:val="32"/>
        </w:rPr>
        <w:t>一是完善内控制度，简化流程，促进项目及时开展。二是引进预算编制系统，进行预算指标细化分解。</w:t>
      </w:r>
    </w:p>
    <w:p>
      <w:pPr>
        <w:rPr>
          <w:rFonts w:hint="eastAsia" w:ascii="方正小标宋简体" w:hAnsi="宋体" w:eastAsia="方正小标宋简体"/>
          <w:color w:val="000000"/>
          <w:kern w:val="0"/>
          <w:sz w:val="44"/>
          <w:szCs w:val="44"/>
          <w:lang w:val="zh-CN"/>
        </w:rPr>
      </w:pPr>
      <w:r>
        <w:rPr>
          <w:rFonts w:hint="eastAsia" w:ascii="方正小标宋简体" w:hAnsi="宋体" w:eastAsia="方正小标宋简体"/>
          <w:color w:val="000000"/>
          <w:kern w:val="0"/>
          <w:sz w:val="44"/>
          <w:szCs w:val="44"/>
          <w:lang w:val="zh-CN"/>
        </w:rPr>
        <w:br w:type="page"/>
      </w: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方正小标宋_GBK" w:hAnsi="方正小标宋_GBK" w:eastAsia="方正小标宋_GBK" w:cs="方正小标宋_GBK"/>
          <w:i w:val="0"/>
          <w:iCs w:val="0"/>
          <w:color w:val="000000"/>
          <w:kern w:val="0"/>
          <w:sz w:val="44"/>
          <w:szCs w:val="44"/>
          <w:u w:val="none"/>
          <w:lang w:val="en-US" w:eastAsia="zh-CN" w:bidi="ar"/>
        </w:rPr>
      </w:pPr>
      <w:r>
        <w:rPr>
          <w:rFonts w:hint="eastAsia" w:ascii="方正小标宋_GBK" w:hAnsi="方正小标宋_GBK" w:eastAsia="方正小标宋_GBK" w:cs="方正小标宋_GBK"/>
          <w:i w:val="0"/>
          <w:iCs w:val="0"/>
          <w:color w:val="000000"/>
          <w:kern w:val="0"/>
          <w:sz w:val="44"/>
          <w:szCs w:val="44"/>
          <w:u w:val="none"/>
          <w:lang w:val="en-US" w:eastAsia="zh-CN" w:bidi="ar"/>
        </w:rPr>
        <w:t>项目绩效目标自评表</w:t>
      </w:r>
    </w:p>
    <w:p>
      <w:pPr>
        <w:pStyle w:val="2"/>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楷体_GB2312" w:hAnsi="楷体_GB2312" w:eastAsia="楷体_GB2312" w:cs="楷体_GB2312"/>
          <w:sz w:val="32"/>
          <w:szCs w:val="32"/>
          <w:lang w:val="zh-CN"/>
        </w:rPr>
      </w:pPr>
      <w:r>
        <w:rPr>
          <w:rFonts w:hint="eastAsia" w:ascii="楷体_GB2312" w:hAnsi="楷体_GB2312" w:eastAsia="楷体_GB2312" w:cs="楷体_GB2312"/>
          <w:i w:val="0"/>
          <w:iCs w:val="0"/>
          <w:color w:val="000000"/>
          <w:kern w:val="0"/>
          <w:sz w:val="32"/>
          <w:szCs w:val="32"/>
          <w:u w:val="none"/>
          <w:lang w:val="en-US" w:eastAsia="zh-CN" w:bidi="ar"/>
        </w:rPr>
        <w:t>(2021年度)</w:t>
      </w:r>
    </w:p>
    <w:tbl>
      <w:tblPr>
        <w:tblStyle w:val="12"/>
        <w:tblW w:w="8819"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42"/>
        <w:gridCol w:w="886"/>
        <w:gridCol w:w="952"/>
        <w:gridCol w:w="601"/>
        <w:gridCol w:w="2478"/>
        <w:gridCol w:w="1428"/>
        <w:gridCol w:w="246"/>
        <w:gridCol w:w="14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 w:hRule="atLeast"/>
        </w:trPr>
        <w:tc>
          <w:tcPr>
            <w:tcW w:w="1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项目名称</w:t>
            </w:r>
          </w:p>
        </w:tc>
        <w:tc>
          <w:tcPr>
            <w:tcW w:w="719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地质灾害防治工作经费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 w:hRule="atLeast"/>
        </w:trPr>
        <w:tc>
          <w:tcPr>
            <w:tcW w:w="1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预算单位</w:t>
            </w:r>
          </w:p>
        </w:tc>
        <w:tc>
          <w:tcPr>
            <w:tcW w:w="719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广元市自然资源局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 w:hRule="atLeast"/>
        </w:trPr>
        <w:tc>
          <w:tcPr>
            <w:tcW w:w="162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预算执行情况(万元)</w:t>
            </w:r>
          </w:p>
        </w:tc>
        <w:tc>
          <w:tcPr>
            <w:tcW w:w="15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预算数:</w:t>
            </w: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14.78</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执行数:</w:t>
            </w: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1" w:hRule="atLeast"/>
        </w:trPr>
        <w:tc>
          <w:tcPr>
            <w:tcW w:w="162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1"/>
                <w:szCs w:val="21"/>
                <w:u w:val="none"/>
              </w:rPr>
            </w:pPr>
          </w:p>
        </w:tc>
        <w:tc>
          <w:tcPr>
            <w:tcW w:w="15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其中-财政拨款:</w:t>
            </w: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14.78</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其中-财政拨款:</w:t>
            </w: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 w:hRule="atLeast"/>
        </w:trPr>
        <w:tc>
          <w:tcPr>
            <w:tcW w:w="162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1"/>
                <w:szCs w:val="21"/>
                <w:u w:val="none"/>
              </w:rPr>
            </w:pPr>
          </w:p>
        </w:tc>
        <w:tc>
          <w:tcPr>
            <w:tcW w:w="15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其它资金:</w:t>
            </w: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其它资金:</w:t>
            </w: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 w:hRule="atLeast"/>
        </w:trPr>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年度目标完成情况</w:t>
            </w:r>
          </w:p>
        </w:tc>
        <w:tc>
          <w:tcPr>
            <w:tcW w:w="24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预期目标</w:t>
            </w:r>
          </w:p>
        </w:tc>
        <w:tc>
          <w:tcPr>
            <w:tcW w:w="563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实际完成目标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8" w:hRule="atLeast"/>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1"/>
                <w:szCs w:val="21"/>
                <w:u w:val="none"/>
              </w:rPr>
            </w:pPr>
          </w:p>
        </w:tc>
        <w:tc>
          <w:tcPr>
            <w:tcW w:w="24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落实各项防灾措施，分层次开展培训和应急演练，有效提升全社会防灾避险能力。实现全市地质灾害隐患点群防群策，搞好汛期排查、汛期巡查和讯后核查工作，实现地质灾害隐患点“零”伤亡。</w:t>
            </w:r>
          </w:p>
        </w:tc>
        <w:tc>
          <w:tcPr>
            <w:tcW w:w="563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我局认真贯彻落实习近平总书记关于防灾减灾救灾系列论述和重要指示精神，一是制定了《广元市地质灾害全域综合整治三年行动计划（2021-2023年）任务分配方案和《广元市地质灾害全域综合整治2021年度实施方案》并报市政府常务会议审议通过。二是切实加强与市级相关部门的横向对接，积极争取财政部门支持，争取到2022年一般债券1.47亿元，用于地质灾害全域综合整治第三年行动计划。三是全年开展群防群策1010处，完成全市地质灾害隐患点1500点，完成汛期隐患点排查、检查和督导1000余次，开展地质灾害培训和演练95次。通过项目的实施，达到连续实现地灾隐患点“零”伤亡的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9" w:hRule="atLeast"/>
        </w:trPr>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年度绩效指标完成情况</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一级指标</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二级指标</w:t>
            </w:r>
          </w:p>
        </w:tc>
        <w:tc>
          <w:tcPr>
            <w:tcW w:w="30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三级指标</w:t>
            </w:r>
          </w:p>
        </w:tc>
        <w:tc>
          <w:tcPr>
            <w:tcW w:w="16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预期指标值(包含数字及文字描述)</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实际完成指标值(包含数字及文字描述)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1"/>
                <w:szCs w:val="21"/>
                <w:u w:val="none"/>
              </w:rPr>
            </w:pPr>
          </w:p>
        </w:tc>
        <w:tc>
          <w:tcPr>
            <w:tcW w:w="8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项目完成指标</w:t>
            </w:r>
          </w:p>
        </w:tc>
        <w:tc>
          <w:tcPr>
            <w:tcW w:w="9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数量指标</w:t>
            </w:r>
          </w:p>
        </w:tc>
        <w:tc>
          <w:tcPr>
            <w:tcW w:w="30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强化地质灾害防治工作，完成全市地质灾害隐患点监测</w:t>
            </w:r>
          </w:p>
        </w:tc>
        <w:tc>
          <w:tcPr>
            <w:tcW w:w="16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1200点</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1500点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5" w:hRule="atLeast"/>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1"/>
                <w:szCs w:val="21"/>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1"/>
                <w:szCs w:val="21"/>
                <w:u w:val="none"/>
              </w:rPr>
            </w:pPr>
          </w:p>
        </w:tc>
        <w:tc>
          <w:tcPr>
            <w:tcW w:w="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1"/>
                <w:szCs w:val="21"/>
                <w:u w:val="none"/>
              </w:rPr>
            </w:pPr>
          </w:p>
        </w:tc>
        <w:tc>
          <w:tcPr>
            <w:tcW w:w="30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完成汛期隐患点排查、检查、督导次数</w:t>
            </w:r>
          </w:p>
        </w:tc>
        <w:tc>
          <w:tcPr>
            <w:tcW w:w="16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900次</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1000余次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1" w:hRule="atLeast"/>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1"/>
                <w:szCs w:val="21"/>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1"/>
                <w:szCs w:val="21"/>
                <w:u w:val="none"/>
              </w:rPr>
            </w:pPr>
          </w:p>
        </w:tc>
        <w:tc>
          <w:tcPr>
            <w:tcW w:w="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1"/>
                <w:szCs w:val="21"/>
                <w:u w:val="none"/>
              </w:rPr>
            </w:pPr>
          </w:p>
        </w:tc>
        <w:tc>
          <w:tcPr>
            <w:tcW w:w="30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实施全市各县地质灾害应急演练和宣传培训</w:t>
            </w:r>
          </w:p>
        </w:tc>
        <w:tc>
          <w:tcPr>
            <w:tcW w:w="16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90次</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95次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1"/>
                <w:szCs w:val="21"/>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1"/>
                <w:szCs w:val="21"/>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时效指标</w:t>
            </w:r>
          </w:p>
        </w:tc>
        <w:tc>
          <w:tcPr>
            <w:tcW w:w="30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完成时间</w:t>
            </w:r>
          </w:p>
        </w:tc>
        <w:tc>
          <w:tcPr>
            <w:tcW w:w="16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1年</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5" w:hRule="atLeast"/>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1"/>
                <w:szCs w:val="21"/>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1"/>
                <w:szCs w:val="21"/>
                <w:u w:val="none"/>
              </w:rPr>
            </w:pPr>
          </w:p>
        </w:tc>
        <w:tc>
          <w:tcPr>
            <w:tcW w:w="9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成本指标</w:t>
            </w:r>
          </w:p>
        </w:tc>
        <w:tc>
          <w:tcPr>
            <w:tcW w:w="30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完成汛期隐患点排查、检查、督导差旅费</w:t>
            </w:r>
          </w:p>
        </w:tc>
        <w:tc>
          <w:tcPr>
            <w:tcW w:w="16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9万元</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5" w:hRule="atLeast"/>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1"/>
                <w:szCs w:val="21"/>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1"/>
                <w:szCs w:val="21"/>
                <w:u w:val="none"/>
              </w:rPr>
            </w:pPr>
          </w:p>
        </w:tc>
        <w:tc>
          <w:tcPr>
            <w:tcW w:w="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1"/>
                <w:szCs w:val="21"/>
                <w:u w:val="none"/>
              </w:rPr>
            </w:pPr>
          </w:p>
        </w:tc>
        <w:tc>
          <w:tcPr>
            <w:tcW w:w="30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地质灾害应急演练、宣传和培训费</w:t>
            </w:r>
          </w:p>
        </w:tc>
        <w:tc>
          <w:tcPr>
            <w:tcW w:w="16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5.78万元</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5.78万元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5" w:hRule="atLeast"/>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1"/>
                <w:szCs w:val="21"/>
                <w:u w:val="none"/>
              </w:rPr>
            </w:pPr>
          </w:p>
        </w:tc>
        <w:tc>
          <w:tcPr>
            <w:tcW w:w="8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项目效果指标</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经济效益指标</w:t>
            </w:r>
          </w:p>
        </w:tc>
        <w:tc>
          <w:tcPr>
            <w:tcW w:w="30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项目实施后保护财产</w:t>
            </w:r>
          </w:p>
        </w:tc>
        <w:tc>
          <w:tcPr>
            <w:tcW w:w="16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21300万元</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21300万元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5" w:hRule="atLeast"/>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1"/>
                <w:szCs w:val="21"/>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1"/>
                <w:szCs w:val="21"/>
                <w:u w:val="none"/>
              </w:rPr>
            </w:pPr>
          </w:p>
        </w:tc>
        <w:tc>
          <w:tcPr>
            <w:tcW w:w="9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社会效益</w:t>
            </w:r>
          </w:p>
        </w:tc>
        <w:tc>
          <w:tcPr>
            <w:tcW w:w="30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项目实施后保护人数</w:t>
            </w:r>
          </w:p>
        </w:tc>
        <w:tc>
          <w:tcPr>
            <w:tcW w:w="16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4160人</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4160人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5" w:hRule="atLeast"/>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1"/>
                <w:szCs w:val="21"/>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1"/>
                <w:szCs w:val="21"/>
                <w:u w:val="none"/>
              </w:rPr>
            </w:pPr>
          </w:p>
        </w:tc>
        <w:tc>
          <w:tcPr>
            <w:tcW w:w="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1"/>
                <w:szCs w:val="21"/>
                <w:u w:val="none"/>
              </w:rPr>
            </w:pPr>
          </w:p>
        </w:tc>
        <w:tc>
          <w:tcPr>
            <w:tcW w:w="30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监测预警区地质灾害防御能力</w:t>
            </w:r>
          </w:p>
        </w:tc>
        <w:tc>
          <w:tcPr>
            <w:tcW w:w="16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提升</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5" w:hRule="atLeast"/>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1"/>
                <w:szCs w:val="21"/>
                <w:u w:val="none"/>
              </w:rPr>
            </w:pPr>
          </w:p>
        </w:tc>
        <w:tc>
          <w:tcPr>
            <w:tcW w:w="8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满意度指标</w:t>
            </w:r>
          </w:p>
        </w:tc>
        <w:tc>
          <w:tcPr>
            <w:tcW w:w="9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服务对象指标</w:t>
            </w:r>
          </w:p>
        </w:tc>
        <w:tc>
          <w:tcPr>
            <w:tcW w:w="30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实施区域群众防灾减灾参与度</w:t>
            </w:r>
          </w:p>
        </w:tc>
        <w:tc>
          <w:tcPr>
            <w:tcW w:w="16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85%</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8" w:hRule="atLeast"/>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1"/>
                <w:szCs w:val="21"/>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1"/>
                <w:szCs w:val="21"/>
                <w:u w:val="none"/>
              </w:rPr>
            </w:pPr>
          </w:p>
        </w:tc>
        <w:tc>
          <w:tcPr>
            <w:tcW w:w="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1"/>
                <w:szCs w:val="21"/>
                <w:u w:val="none"/>
              </w:rPr>
            </w:pPr>
          </w:p>
        </w:tc>
        <w:tc>
          <w:tcPr>
            <w:tcW w:w="30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实施区域受益人群满意度</w:t>
            </w:r>
          </w:p>
        </w:tc>
        <w:tc>
          <w:tcPr>
            <w:tcW w:w="16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95%</w:t>
            </w:r>
          </w:p>
        </w:tc>
      </w:tr>
    </w:tbl>
    <w:p>
      <w:pPr>
        <w:spacing w:line="580" w:lineRule="exact"/>
        <w:rPr>
          <w:rFonts w:ascii="宋体" w:hAnsi="宋体" w:eastAsia="宋体" w:cs="Times New Roman"/>
          <w:color w:val="auto"/>
          <w:kern w:val="2"/>
          <w:sz w:val="32"/>
          <w:szCs w:val="32"/>
          <w:highlight w:val="none"/>
          <w:lang w:val="zh-CN" w:eastAsia="zh-CN" w:bidi="ar-SA"/>
        </w:rPr>
      </w:pPr>
      <w:r>
        <w:rPr>
          <w:rFonts w:hint="eastAsia" w:ascii="方正小标宋简体" w:hAnsi="宋体" w:eastAsia="方正小标宋简体"/>
          <w:color w:val="000000"/>
          <w:kern w:val="0"/>
          <w:sz w:val="44"/>
          <w:szCs w:val="44"/>
          <w:lang w:val="zh-CN"/>
        </w:rPr>
        <w:br w:type="page"/>
      </w:r>
    </w:p>
    <w:p>
      <w:pPr>
        <w:spacing w:line="600" w:lineRule="exact"/>
        <w:jc w:val="center"/>
        <w:rPr>
          <w:rFonts w:hint="eastAsia" w:ascii="方正小标宋简体" w:hAnsi="宋体" w:eastAsia="方正小标宋简体"/>
          <w:color w:val="000000"/>
          <w:kern w:val="0"/>
          <w:sz w:val="44"/>
          <w:szCs w:val="44"/>
        </w:rPr>
      </w:pPr>
      <w:r>
        <w:rPr>
          <w:rFonts w:hint="eastAsia" w:ascii="方正小标宋简体" w:hAnsi="宋体" w:eastAsia="方正小标宋简体"/>
          <w:color w:val="000000"/>
          <w:kern w:val="0"/>
          <w:sz w:val="44"/>
          <w:szCs w:val="44"/>
          <w:lang w:val="zh-CN"/>
        </w:rPr>
        <w:t>土地整理和报征工作经费项目</w:t>
      </w:r>
      <w:r>
        <w:rPr>
          <w:rFonts w:ascii="方正小标宋简体" w:hAnsi="宋体" w:eastAsia="方正小标宋简体"/>
          <w:color w:val="000000"/>
          <w:kern w:val="0"/>
          <w:sz w:val="44"/>
          <w:szCs w:val="44"/>
        </w:rPr>
        <w:t>202</w:t>
      </w:r>
      <w:r>
        <w:rPr>
          <w:rFonts w:hint="eastAsia" w:ascii="方正小标宋简体" w:hAnsi="宋体" w:eastAsia="方正小标宋简体"/>
          <w:color w:val="000000"/>
          <w:kern w:val="0"/>
          <w:sz w:val="44"/>
          <w:szCs w:val="44"/>
          <w:lang w:val="en-US" w:eastAsia="zh-CN"/>
        </w:rPr>
        <w:t>1</w:t>
      </w:r>
      <w:r>
        <w:rPr>
          <w:rFonts w:hint="eastAsia" w:ascii="方正小标宋简体" w:hAnsi="宋体" w:eastAsia="方正小标宋简体"/>
          <w:color w:val="000000"/>
          <w:kern w:val="0"/>
          <w:sz w:val="44"/>
          <w:szCs w:val="44"/>
        </w:rPr>
        <w:t>年</w:t>
      </w:r>
    </w:p>
    <w:p>
      <w:pPr>
        <w:spacing w:line="600" w:lineRule="exact"/>
        <w:jc w:val="center"/>
        <w:rPr>
          <w:rFonts w:ascii="方正小标宋简体" w:hAnsi="宋体" w:eastAsia="方正小标宋简体"/>
          <w:color w:val="000000"/>
          <w:kern w:val="0"/>
          <w:sz w:val="44"/>
          <w:szCs w:val="44"/>
          <w:lang w:val="zh-CN"/>
        </w:rPr>
      </w:pPr>
      <w:r>
        <w:rPr>
          <w:rFonts w:hint="eastAsia" w:ascii="方正小标宋简体" w:hAnsi="宋体" w:eastAsia="方正小标宋简体"/>
          <w:color w:val="000000"/>
          <w:kern w:val="0"/>
          <w:sz w:val="44"/>
          <w:szCs w:val="44"/>
          <w:lang w:val="zh-CN"/>
        </w:rPr>
        <w:t>绩效评价报告</w:t>
      </w:r>
    </w:p>
    <w:p>
      <w:pPr>
        <w:spacing w:line="600" w:lineRule="exact"/>
        <w:rPr>
          <w:rFonts w:ascii="宋体"/>
          <w:sz w:val="32"/>
          <w:szCs w:val="32"/>
          <w:lang w:val="zh-CN"/>
        </w:rPr>
      </w:pPr>
    </w:p>
    <w:p>
      <w:pPr>
        <w:adjustRightInd w:val="0"/>
        <w:snapToGrid w:val="0"/>
        <w:spacing w:line="580" w:lineRule="exact"/>
        <w:ind w:firstLine="640" w:firstLineChars="20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580" w:lineRule="exact"/>
        <w:ind w:firstLine="640" w:firstLineChars="200"/>
        <w:rPr>
          <w:rFonts w:ascii="楷体_GB2312" w:hAnsi="宋体" w:eastAsia="楷体_GB2312"/>
          <w:b w:val="0"/>
          <w:bCs/>
          <w:sz w:val="32"/>
          <w:szCs w:val="32"/>
          <w:lang w:val="zh-CN"/>
        </w:rPr>
      </w:pPr>
      <w:r>
        <w:rPr>
          <w:rFonts w:hint="eastAsia" w:ascii="楷体_GB2312" w:hAnsi="宋体" w:eastAsia="楷体_GB2312"/>
          <w:b w:val="0"/>
          <w:bCs/>
          <w:sz w:val="32"/>
          <w:szCs w:val="32"/>
          <w:lang w:val="zh-CN"/>
        </w:rPr>
        <w:t>（一）项目基本情况</w:t>
      </w:r>
    </w:p>
    <w:p>
      <w:pPr>
        <w:adjustRightInd w:val="0"/>
        <w:snapToGrid w:val="0"/>
        <w:spacing w:line="580" w:lineRule="exact"/>
        <w:ind w:firstLine="640" w:firstLineChars="200"/>
        <w:rPr>
          <w:rFonts w:hint="eastAsia" w:ascii="仿宋_GB2312" w:hAnsi="宋体" w:eastAsia="仿宋_GB2312"/>
          <w:sz w:val="32"/>
          <w:szCs w:val="32"/>
          <w:lang w:val="zh-CN"/>
        </w:rPr>
      </w:pPr>
      <w:r>
        <w:rPr>
          <w:rFonts w:ascii="仿宋_GB2312" w:hAnsi="宋体" w:eastAsia="仿宋_GB2312"/>
          <w:sz w:val="32"/>
          <w:szCs w:val="32"/>
          <w:lang w:val="zh-CN"/>
        </w:rPr>
        <w:t>1</w:t>
      </w:r>
      <w:r>
        <w:rPr>
          <w:rFonts w:hint="eastAsia" w:ascii="仿宋_GB2312" w:hAnsi="宋体" w:eastAsia="仿宋_GB2312"/>
          <w:sz w:val="32"/>
          <w:szCs w:val="32"/>
          <w:lang w:val="zh-CN"/>
        </w:rPr>
        <w:t>．职能职责。</w:t>
      </w:r>
    </w:p>
    <w:p>
      <w:pPr>
        <w:adjustRightInd w:val="0"/>
        <w:snapToGrid w:val="0"/>
        <w:spacing w:line="580" w:lineRule="exact"/>
        <w:ind w:firstLine="600" w:firstLineChars="200"/>
        <w:rPr>
          <w:rFonts w:hint="eastAsia" w:ascii="仿宋_GB2312" w:hAnsi="宋体" w:eastAsia="仿宋_GB2312"/>
          <w:sz w:val="32"/>
          <w:szCs w:val="32"/>
          <w:lang w:val="zh-CN"/>
        </w:rPr>
      </w:pPr>
      <w:r>
        <w:rPr>
          <w:rFonts w:hint="eastAsia" w:ascii="仿宋_GB2312" w:hAnsi="仿宋_GB2312" w:eastAsia="仿宋_GB2312" w:cs="仿宋_GB2312"/>
          <w:sz w:val="30"/>
          <w:szCs w:val="30"/>
        </w:rPr>
        <w:t>负责组织实施最严格的耕地保护制度。牵头拟订并实施全市耕地保护政策，负责耕地数量、质量、生态保护。组织实施耕地保护责任目标考核和永久基本农田特殊保护。完善耕地占补平衡制度，监督占用耕地补偿制度执行情况。</w:t>
      </w:r>
    </w:p>
    <w:p>
      <w:pPr>
        <w:numPr>
          <w:ilvl w:val="0"/>
          <w:numId w:val="4"/>
        </w:numPr>
        <w:adjustRightInd w:val="0"/>
        <w:snapToGrid w:val="0"/>
        <w:spacing w:line="580" w:lineRule="exact"/>
        <w:ind w:firstLine="640" w:firstLineChars="200"/>
        <w:rPr>
          <w:rFonts w:hint="eastAsia" w:ascii="仿宋_GB2312" w:hAnsi="宋体" w:eastAsia="仿宋_GB2312"/>
          <w:sz w:val="32"/>
          <w:szCs w:val="32"/>
          <w:lang w:val="zh-CN"/>
        </w:rPr>
      </w:pPr>
      <w:r>
        <w:rPr>
          <w:rFonts w:hint="eastAsia" w:ascii="仿宋_GB2312" w:hAnsi="宋体" w:eastAsia="仿宋_GB2312"/>
          <w:sz w:val="32"/>
          <w:szCs w:val="32"/>
          <w:lang w:val="zh-CN"/>
        </w:rPr>
        <w:t>项目立项、资金申报的依据。</w:t>
      </w:r>
    </w:p>
    <w:p>
      <w:pPr>
        <w:adjustRightInd w:val="0"/>
        <w:snapToGrid w:val="0"/>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根据《土地管理法》相关政策，我局202</w:t>
      </w:r>
      <w:r>
        <w:rPr>
          <w:rFonts w:hint="eastAsia" w:ascii="仿宋_GB2312" w:hAnsi="宋体" w:eastAsia="仿宋_GB2312"/>
          <w:sz w:val="32"/>
          <w:szCs w:val="32"/>
          <w:lang w:val="en-US" w:eastAsia="zh-CN"/>
        </w:rPr>
        <w:t>1</w:t>
      </w:r>
      <w:r>
        <w:rPr>
          <w:rFonts w:hint="eastAsia" w:ascii="仿宋_GB2312" w:hAnsi="宋体" w:eastAsia="仿宋_GB2312"/>
          <w:sz w:val="32"/>
          <w:szCs w:val="32"/>
        </w:rPr>
        <w:t>年申报土地整理和土地报征工作经费</w:t>
      </w:r>
      <w:r>
        <w:rPr>
          <w:rFonts w:hint="eastAsia" w:ascii="仿宋_GB2312" w:hAnsi="宋体" w:eastAsia="仿宋_GB2312"/>
          <w:sz w:val="32"/>
          <w:szCs w:val="32"/>
          <w:lang w:val="en-US" w:eastAsia="zh-CN"/>
        </w:rPr>
        <w:t>10</w:t>
      </w:r>
      <w:r>
        <w:rPr>
          <w:rFonts w:hint="eastAsia" w:ascii="仿宋_GB2312" w:hAnsi="宋体" w:eastAsia="仿宋_GB2312"/>
          <w:sz w:val="32"/>
          <w:szCs w:val="32"/>
        </w:rPr>
        <w:t>万元。</w:t>
      </w:r>
    </w:p>
    <w:p>
      <w:pPr>
        <w:numPr>
          <w:ilvl w:val="0"/>
          <w:numId w:val="4"/>
        </w:numPr>
        <w:adjustRightInd w:val="0"/>
        <w:snapToGrid w:val="0"/>
        <w:spacing w:line="580" w:lineRule="exact"/>
        <w:ind w:firstLine="640" w:firstLineChars="200"/>
        <w:rPr>
          <w:rFonts w:hint="eastAsia" w:ascii="仿宋_GB2312" w:hAnsi="宋体" w:eastAsia="仿宋_GB2312"/>
          <w:sz w:val="32"/>
          <w:szCs w:val="32"/>
          <w:lang w:val="zh-CN"/>
        </w:rPr>
      </w:pPr>
      <w:r>
        <w:rPr>
          <w:rFonts w:hint="eastAsia" w:ascii="仿宋_GB2312" w:hAnsi="宋体" w:eastAsia="仿宋_GB2312"/>
          <w:sz w:val="32"/>
          <w:szCs w:val="32"/>
          <w:lang w:val="zh-CN"/>
        </w:rPr>
        <w:t>资金管理办法制定情况，资金支持具体项目的条件、范围与支持方式概况。</w:t>
      </w:r>
    </w:p>
    <w:p>
      <w:pPr>
        <w:adjustRightInd w:val="0"/>
        <w:snapToGrid w:val="0"/>
        <w:spacing w:line="580" w:lineRule="exact"/>
        <w:ind w:firstLine="640" w:firstLineChars="200"/>
        <w:rPr>
          <w:rFonts w:hint="eastAsia" w:ascii="仿宋_GB2312" w:hAnsi="宋体" w:eastAsia="仿宋_GB2312"/>
          <w:sz w:val="32"/>
          <w:szCs w:val="32"/>
          <w:lang w:val="zh-CN"/>
        </w:rPr>
      </w:pPr>
      <w:r>
        <w:rPr>
          <w:rFonts w:hint="eastAsia" w:ascii="仿宋_GB2312" w:hAnsi="宋体" w:eastAsia="仿宋_GB2312"/>
          <w:sz w:val="32"/>
          <w:szCs w:val="32"/>
          <w:lang w:val="zh-CN"/>
        </w:rPr>
        <w:t>我局制定了《三重一大制度》，《财务管理制度》和《项目管理制度》，支付时严格按照相关制度执行，项目资金专款专用。</w:t>
      </w:r>
    </w:p>
    <w:p>
      <w:pPr>
        <w:numPr>
          <w:ilvl w:val="0"/>
          <w:numId w:val="4"/>
        </w:numPr>
        <w:adjustRightInd w:val="0"/>
        <w:snapToGrid w:val="0"/>
        <w:spacing w:line="580" w:lineRule="exact"/>
        <w:ind w:firstLine="640" w:firstLineChars="200"/>
        <w:rPr>
          <w:rFonts w:hint="eastAsia" w:ascii="仿宋_GB2312" w:hAnsi="宋体" w:eastAsia="仿宋_GB2312"/>
          <w:sz w:val="32"/>
          <w:szCs w:val="32"/>
          <w:lang w:val="zh-CN"/>
        </w:rPr>
      </w:pPr>
      <w:r>
        <w:rPr>
          <w:rFonts w:hint="eastAsia" w:ascii="仿宋_GB2312" w:hAnsi="宋体" w:eastAsia="仿宋_GB2312"/>
          <w:sz w:val="32"/>
          <w:szCs w:val="32"/>
          <w:lang w:val="zh-CN"/>
        </w:rPr>
        <w:t>资金分配的原则及考虑因素。</w:t>
      </w:r>
    </w:p>
    <w:p>
      <w:pPr>
        <w:adjustRightInd w:val="0"/>
        <w:snapToGrid w:val="0"/>
        <w:spacing w:line="580" w:lineRule="exact"/>
        <w:ind w:firstLine="640" w:firstLineChars="200"/>
        <w:rPr>
          <w:rFonts w:hint="eastAsia" w:ascii="仿宋_GB2312" w:hAnsi="宋体" w:eastAsia="仿宋_GB2312"/>
          <w:sz w:val="32"/>
          <w:szCs w:val="32"/>
          <w:lang w:val="zh-CN"/>
        </w:rPr>
      </w:pPr>
      <w:r>
        <w:rPr>
          <w:rFonts w:hint="eastAsia" w:ascii="仿宋_GB2312" w:hAnsi="宋体" w:eastAsia="仿宋_GB2312"/>
          <w:sz w:val="32"/>
          <w:szCs w:val="32"/>
          <w:lang w:val="zh-CN"/>
        </w:rPr>
        <w:t>此项目是一项财政一般公共预算的常规性项目，只是日常的工作经费，财政根据我局年初编报的项目绩效目标和通过市人大的审核后直接下达指标。</w:t>
      </w:r>
    </w:p>
    <w:p>
      <w:pPr>
        <w:adjustRightInd w:val="0"/>
        <w:snapToGrid w:val="0"/>
        <w:spacing w:line="580" w:lineRule="exact"/>
        <w:ind w:firstLine="640" w:firstLineChars="200"/>
        <w:rPr>
          <w:rFonts w:hint="eastAsia" w:ascii="楷体_GB2312" w:hAnsi="宋体" w:eastAsia="楷体_GB2312"/>
          <w:b w:val="0"/>
          <w:bCs/>
          <w:sz w:val="32"/>
          <w:szCs w:val="32"/>
          <w:lang w:val="zh-CN"/>
        </w:rPr>
      </w:pPr>
      <w:r>
        <w:rPr>
          <w:rFonts w:hint="eastAsia" w:ascii="楷体_GB2312" w:hAnsi="宋体" w:eastAsia="楷体_GB2312"/>
          <w:b w:val="0"/>
          <w:bCs/>
          <w:sz w:val="32"/>
          <w:szCs w:val="32"/>
          <w:lang w:val="zh-CN"/>
        </w:rPr>
        <w:t>（二）项目绩效目标</w:t>
      </w:r>
    </w:p>
    <w:p>
      <w:pPr>
        <w:adjustRightInd w:val="0"/>
        <w:snapToGrid w:val="0"/>
        <w:spacing w:line="580" w:lineRule="exact"/>
        <w:ind w:firstLine="640" w:firstLineChars="200"/>
        <w:rPr>
          <w:rFonts w:hint="eastAsia" w:ascii="仿宋_GB2312" w:hAnsi="宋体" w:eastAsia="仿宋_GB2312"/>
          <w:sz w:val="32"/>
          <w:szCs w:val="32"/>
          <w:lang w:val="zh-CN"/>
        </w:rPr>
      </w:pPr>
      <w:r>
        <w:rPr>
          <w:rFonts w:ascii="仿宋_GB2312" w:hAnsi="宋体" w:eastAsia="仿宋_GB2312"/>
          <w:sz w:val="32"/>
          <w:szCs w:val="32"/>
          <w:lang w:val="zh-CN"/>
        </w:rPr>
        <w:t>1</w:t>
      </w:r>
      <w:r>
        <w:rPr>
          <w:rFonts w:hint="eastAsia" w:ascii="仿宋_GB2312" w:hAnsi="宋体" w:eastAsia="仿宋_GB2312"/>
          <w:sz w:val="32"/>
          <w:szCs w:val="32"/>
          <w:lang w:val="zh-CN"/>
        </w:rPr>
        <w:t>．项目主要内容。</w:t>
      </w:r>
    </w:p>
    <w:p>
      <w:pPr>
        <w:adjustRightInd w:val="0"/>
        <w:snapToGrid w:val="0"/>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lang w:val="en-US" w:eastAsia="zh-CN"/>
        </w:rPr>
        <w:t>按照省厅下达我市土地利用年度计划，完成年度土地报征工作。开展全市土地整治项目监督管理和技术核查，</w:t>
      </w:r>
      <w:r>
        <w:rPr>
          <w:rFonts w:hint="eastAsia" w:ascii="仿宋_GB2312" w:hAnsi="宋体" w:eastAsia="仿宋_GB2312"/>
          <w:sz w:val="32"/>
          <w:szCs w:val="32"/>
          <w:lang w:val="zh-CN"/>
        </w:rPr>
        <w:t>完成</w:t>
      </w:r>
      <w:r>
        <w:rPr>
          <w:rFonts w:hint="eastAsia" w:ascii="仿宋_GB2312" w:hAnsi="宋体" w:eastAsia="仿宋_GB2312"/>
          <w:sz w:val="32"/>
          <w:szCs w:val="32"/>
        </w:rPr>
        <w:t>2020年以前竣工项目的验收工作，开展202</w:t>
      </w:r>
      <w:r>
        <w:rPr>
          <w:rFonts w:hint="eastAsia" w:ascii="仿宋_GB2312" w:hAnsi="宋体" w:eastAsia="仿宋_GB2312"/>
          <w:sz w:val="32"/>
          <w:szCs w:val="32"/>
          <w:lang w:val="en-US" w:eastAsia="zh-CN"/>
        </w:rPr>
        <w:t>1</w:t>
      </w:r>
      <w:r>
        <w:rPr>
          <w:rFonts w:hint="eastAsia" w:ascii="仿宋_GB2312" w:hAnsi="宋体" w:eastAsia="仿宋_GB2312"/>
          <w:sz w:val="32"/>
          <w:szCs w:val="32"/>
        </w:rPr>
        <w:t>年度土地整理项目实施管理，开展土地整理项目入库、立项和资料整理入库</w:t>
      </w:r>
      <w:r>
        <w:rPr>
          <w:rFonts w:hint="eastAsia" w:ascii="仿宋_GB2312" w:hAnsi="宋体" w:eastAsia="仿宋_GB2312"/>
          <w:sz w:val="32"/>
          <w:szCs w:val="32"/>
          <w:lang w:val="en-US" w:eastAsia="zh-CN"/>
        </w:rPr>
        <w:t>等实施管理工作。</w:t>
      </w:r>
    </w:p>
    <w:p>
      <w:pPr>
        <w:numPr>
          <w:ilvl w:val="0"/>
          <w:numId w:val="5"/>
        </w:numPr>
        <w:adjustRightInd w:val="0"/>
        <w:snapToGrid w:val="0"/>
        <w:spacing w:line="580" w:lineRule="exact"/>
        <w:ind w:firstLine="640" w:firstLineChars="200"/>
        <w:rPr>
          <w:rFonts w:hint="eastAsia" w:ascii="仿宋_GB2312" w:hAnsi="宋体" w:eastAsia="仿宋_GB2312"/>
          <w:sz w:val="32"/>
          <w:szCs w:val="32"/>
          <w:lang w:val="zh-CN"/>
        </w:rPr>
      </w:pPr>
      <w:r>
        <w:rPr>
          <w:rFonts w:hint="eastAsia" w:ascii="仿宋_GB2312" w:hAnsi="宋体" w:eastAsia="仿宋_GB2312"/>
          <w:sz w:val="32"/>
          <w:szCs w:val="32"/>
          <w:lang w:val="zh-CN"/>
        </w:rPr>
        <w:t>项目应实现的具体绩效目标，包括目标的量化、细化情况以及项目实施进度计划等。</w:t>
      </w:r>
    </w:p>
    <w:p>
      <w:pPr>
        <w:adjustRightInd w:val="0"/>
        <w:snapToGrid w:val="0"/>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lang w:val="zh-CN"/>
        </w:rPr>
        <w:t>预期完成</w:t>
      </w:r>
      <w:r>
        <w:rPr>
          <w:rFonts w:hint="eastAsia" w:ascii="仿宋_GB2312" w:hAnsi="宋体" w:eastAsia="仿宋_GB2312"/>
          <w:sz w:val="32"/>
          <w:szCs w:val="32"/>
          <w:lang w:val="en-US" w:eastAsia="zh-CN"/>
        </w:rPr>
        <w:t>基本农田划定358.88亩，完成设施农用地备案870宗8731亩，新增土地整理项目9个，预计新增耕地3500亩。完成县区用地审查和转包、市本级土地报征，预计全年报征土地44件次共11148.4亩。</w:t>
      </w:r>
    </w:p>
    <w:p>
      <w:pPr>
        <w:numPr>
          <w:ilvl w:val="0"/>
          <w:numId w:val="5"/>
        </w:numPr>
        <w:adjustRightInd w:val="0"/>
        <w:snapToGrid w:val="0"/>
        <w:spacing w:line="580" w:lineRule="exact"/>
        <w:ind w:firstLine="640" w:firstLineChars="200"/>
        <w:rPr>
          <w:rFonts w:hint="eastAsia" w:ascii="仿宋_GB2312" w:hAnsi="宋体" w:eastAsia="仿宋_GB2312"/>
          <w:sz w:val="32"/>
          <w:szCs w:val="32"/>
          <w:lang w:val="zh-CN"/>
        </w:rPr>
      </w:pPr>
      <w:r>
        <w:rPr>
          <w:rFonts w:hint="eastAsia" w:ascii="仿宋_GB2312" w:hAnsi="宋体" w:eastAsia="仿宋_GB2312"/>
          <w:sz w:val="32"/>
          <w:szCs w:val="32"/>
          <w:lang w:val="zh-CN"/>
        </w:rPr>
        <w:t>分析评价申报内容是否与实际相符，申报目标是否合理可行。</w:t>
      </w:r>
    </w:p>
    <w:p>
      <w:pPr>
        <w:adjustRightInd w:val="0"/>
        <w:snapToGrid w:val="0"/>
        <w:spacing w:line="580" w:lineRule="exact"/>
        <w:ind w:firstLine="640" w:firstLineChars="200"/>
        <w:rPr>
          <w:rFonts w:hint="eastAsia" w:ascii="仿宋_GB2312" w:hAnsi="宋体" w:eastAsia="仿宋_GB2312"/>
          <w:sz w:val="32"/>
          <w:szCs w:val="32"/>
          <w:lang w:val="zh-CN"/>
        </w:rPr>
      </w:pPr>
      <w:r>
        <w:rPr>
          <w:rFonts w:hint="eastAsia" w:ascii="仿宋_GB2312" w:hAnsi="宋体" w:eastAsia="仿宋_GB2312"/>
          <w:sz w:val="32"/>
          <w:szCs w:val="32"/>
          <w:lang w:val="zh-CN"/>
        </w:rPr>
        <w:t>土地整理和土地报征项目申报的内容与实际相符，申报目标合理可行。</w:t>
      </w:r>
    </w:p>
    <w:p>
      <w:pPr>
        <w:adjustRightInd w:val="0"/>
        <w:snapToGrid w:val="0"/>
        <w:spacing w:line="580" w:lineRule="exact"/>
        <w:ind w:firstLine="640" w:firstLineChars="200"/>
        <w:rPr>
          <w:rFonts w:hint="eastAsia" w:ascii="楷体_GB2312" w:hAnsi="宋体" w:eastAsia="楷体_GB2312"/>
          <w:b w:val="0"/>
          <w:bCs/>
          <w:sz w:val="32"/>
          <w:szCs w:val="32"/>
          <w:lang w:val="zh-CN"/>
        </w:rPr>
      </w:pPr>
      <w:r>
        <w:rPr>
          <w:rFonts w:hint="eastAsia" w:ascii="楷体_GB2312" w:hAnsi="宋体" w:eastAsia="楷体_GB2312"/>
          <w:b w:val="0"/>
          <w:bCs/>
          <w:sz w:val="32"/>
          <w:szCs w:val="32"/>
          <w:lang w:val="zh-CN"/>
        </w:rPr>
        <w:t>（三）项目自评步骤及方法</w:t>
      </w:r>
    </w:p>
    <w:p>
      <w:pPr>
        <w:adjustRightInd w:val="0"/>
        <w:snapToGrid w:val="0"/>
        <w:spacing w:line="58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年末通过数量指标、质量指标及产生的社会效益和政府满意度来自评项目绩效完成情况。</w:t>
      </w:r>
    </w:p>
    <w:p>
      <w:pPr>
        <w:adjustRightInd w:val="0"/>
        <w:snapToGrid w:val="0"/>
        <w:spacing w:line="580" w:lineRule="exact"/>
        <w:ind w:firstLine="640" w:firstLineChars="20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580" w:lineRule="exact"/>
        <w:ind w:firstLine="640" w:firstLineChars="200"/>
        <w:rPr>
          <w:rFonts w:hint="eastAsia" w:ascii="楷体_GB2312" w:hAnsi="宋体" w:eastAsia="楷体_GB2312"/>
          <w:b w:val="0"/>
          <w:bCs/>
          <w:sz w:val="32"/>
          <w:szCs w:val="32"/>
          <w:lang w:val="zh-CN"/>
        </w:rPr>
      </w:pPr>
      <w:r>
        <w:rPr>
          <w:rFonts w:hint="eastAsia" w:ascii="楷体_GB2312" w:hAnsi="宋体" w:eastAsia="楷体_GB2312"/>
          <w:b w:val="0"/>
          <w:bCs/>
          <w:sz w:val="32"/>
          <w:szCs w:val="32"/>
          <w:lang w:val="zh-CN"/>
        </w:rPr>
        <w:t>（一）项目资金申报及批复情况</w:t>
      </w:r>
    </w:p>
    <w:p>
      <w:pPr>
        <w:adjustRightInd w:val="0"/>
        <w:snapToGrid w:val="0"/>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lang w:val="zh-CN"/>
        </w:rPr>
        <w:t>年初我局申报土地整理和土地报征项目工作经费</w:t>
      </w:r>
      <w:r>
        <w:rPr>
          <w:rFonts w:hint="eastAsia" w:ascii="仿宋_GB2312" w:hAnsi="宋体" w:eastAsia="仿宋_GB2312"/>
          <w:sz w:val="32"/>
          <w:szCs w:val="32"/>
        </w:rPr>
        <w:t>15万元，财政用一般公共预算资金批复</w:t>
      </w:r>
      <w:r>
        <w:rPr>
          <w:rFonts w:hint="eastAsia" w:ascii="仿宋_GB2312" w:hAnsi="宋体" w:eastAsia="仿宋_GB2312"/>
          <w:sz w:val="32"/>
          <w:szCs w:val="32"/>
          <w:lang w:val="en-US" w:eastAsia="zh-CN"/>
        </w:rPr>
        <w:t>10</w:t>
      </w:r>
      <w:r>
        <w:rPr>
          <w:rFonts w:hint="eastAsia" w:ascii="仿宋_GB2312" w:hAnsi="宋体" w:eastAsia="仿宋_GB2312"/>
          <w:sz w:val="32"/>
          <w:szCs w:val="32"/>
        </w:rPr>
        <w:t>万元。</w:t>
      </w:r>
    </w:p>
    <w:p>
      <w:pPr>
        <w:adjustRightInd w:val="0"/>
        <w:snapToGrid w:val="0"/>
        <w:spacing w:line="580" w:lineRule="exact"/>
        <w:ind w:firstLine="640" w:firstLineChars="200"/>
        <w:rPr>
          <w:rFonts w:hint="eastAsia" w:ascii="楷体_GB2312" w:hAnsi="宋体" w:eastAsia="楷体_GB2312"/>
          <w:b w:val="0"/>
          <w:bCs/>
          <w:sz w:val="32"/>
          <w:szCs w:val="32"/>
          <w:lang w:val="zh-CN"/>
        </w:rPr>
      </w:pPr>
      <w:r>
        <w:rPr>
          <w:rFonts w:hint="eastAsia" w:ascii="楷体_GB2312" w:hAnsi="宋体" w:eastAsia="楷体_GB2312"/>
          <w:b w:val="0"/>
          <w:bCs/>
          <w:sz w:val="32"/>
          <w:szCs w:val="32"/>
          <w:lang w:val="zh-CN"/>
        </w:rPr>
        <w:t>（二）资金计划、到位及使用情况（可用表格形式反映）</w:t>
      </w:r>
    </w:p>
    <w:p>
      <w:pPr>
        <w:adjustRightInd w:val="0"/>
        <w:snapToGrid w:val="0"/>
        <w:spacing w:line="580" w:lineRule="exact"/>
        <w:ind w:firstLine="640" w:firstLineChars="200"/>
        <w:rPr>
          <w:rFonts w:hint="eastAsia" w:ascii="楷体_GB2312" w:hAnsi="宋体" w:eastAsia="楷体_GB2312"/>
          <w:sz w:val="32"/>
          <w:szCs w:val="32"/>
          <w:lang w:val="zh-CN"/>
        </w:rPr>
      </w:pPr>
      <w:r>
        <w:rPr>
          <w:rFonts w:ascii="楷体_GB2312" w:hAnsi="宋体" w:eastAsia="楷体_GB2312"/>
          <w:sz w:val="32"/>
          <w:szCs w:val="32"/>
          <w:lang w:val="zh-CN"/>
        </w:rPr>
        <w:t>1</w:t>
      </w:r>
      <w:r>
        <w:rPr>
          <w:rFonts w:hint="eastAsia" w:ascii="楷体_GB2312" w:hAnsi="宋体" w:eastAsia="楷体_GB2312"/>
          <w:sz w:val="32"/>
          <w:szCs w:val="32"/>
          <w:lang w:val="zh-CN"/>
        </w:rPr>
        <w:t>．资金计划。</w:t>
      </w:r>
    </w:p>
    <w:p>
      <w:pPr>
        <w:adjustRightInd w:val="0"/>
        <w:snapToGrid w:val="0"/>
        <w:spacing w:line="580" w:lineRule="exact"/>
        <w:ind w:firstLine="640" w:firstLineChars="200"/>
        <w:rPr>
          <w:rFonts w:hint="eastAsia" w:ascii="楷体_GB2312" w:hAnsi="宋体" w:eastAsia="楷体_GB2312"/>
          <w:sz w:val="32"/>
          <w:szCs w:val="32"/>
          <w:lang w:val="zh-CN"/>
        </w:rPr>
      </w:pPr>
      <w:r>
        <w:rPr>
          <w:rFonts w:hint="eastAsia" w:ascii="楷体_GB2312" w:hAnsi="宋体" w:eastAsia="楷体_GB2312"/>
          <w:sz w:val="32"/>
          <w:szCs w:val="32"/>
          <w:lang w:val="zh-CN"/>
        </w:rPr>
        <w:t>此项目属于常规性工作经费项目，财政用一般公共预算资金安排资金</w:t>
      </w:r>
      <w:r>
        <w:rPr>
          <w:rFonts w:hint="eastAsia" w:ascii="楷体_GB2312" w:hAnsi="宋体" w:eastAsia="楷体_GB2312"/>
          <w:sz w:val="32"/>
          <w:szCs w:val="32"/>
          <w:lang w:val="en-US" w:eastAsia="zh-CN"/>
        </w:rPr>
        <w:t>10</w:t>
      </w:r>
      <w:r>
        <w:rPr>
          <w:rFonts w:hint="eastAsia" w:ascii="楷体_GB2312" w:hAnsi="宋体" w:eastAsia="楷体_GB2312"/>
          <w:sz w:val="32"/>
          <w:szCs w:val="32"/>
        </w:rPr>
        <w:t>万元。</w:t>
      </w:r>
    </w:p>
    <w:p>
      <w:pPr>
        <w:numPr>
          <w:ilvl w:val="0"/>
          <w:numId w:val="6"/>
        </w:numPr>
        <w:adjustRightInd w:val="0"/>
        <w:snapToGrid w:val="0"/>
        <w:spacing w:line="580" w:lineRule="exact"/>
        <w:ind w:firstLine="640" w:firstLineChars="200"/>
        <w:rPr>
          <w:rFonts w:hint="eastAsia" w:ascii="楷体_GB2312" w:hAnsi="宋体" w:eastAsia="楷体_GB2312"/>
          <w:sz w:val="32"/>
          <w:szCs w:val="32"/>
          <w:lang w:val="zh-CN"/>
        </w:rPr>
      </w:pPr>
      <w:r>
        <w:rPr>
          <w:rFonts w:hint="eastAsia" w:ascii="楷体_GB2312" w:hAnsi="宋体" w:eastAsia="楷体_GB2312"/>
          <w:sz w:val="32"/>
          <w:szCs w:val="32"/>
          <w:lang w:val="zh-CN"/>
        </w:rPr>
        <w:t>资金到位。</w:t>
      </w:r>
    </w:p>
    <w:p>
      <w:pPr>
        <w:adjustRightInd w:val="0"/>
        <w:snapToGrid w:val="0"/>
        <w:spacing w:line="580" w:lineRule="exact"/>
        <w:ind w:firstLine="640" w:firstLineChars="200"/>
        <w:rPr>
          <w:rFonts w:ascii="楷体_GB2312" w:hAnsi="宋体" w:eastAsia="楷体_GB2312"/>
          <w:sz w:val="32"/>
          <w:szCs w:val="32"/>
        </w:rPr>
      </w:pPr>
      <w:r>
        <w:rPr>
          <w:rFonts w:hint="eastAsia" w:ascii="楷体_GB2312" w:hAnsi="宋体" w:eastAsia="楷体_GB2312"/>
          <w:sz w:val="32"/>
          <w:szCs w:val="32"/>
        </w:rPr>
        <w:t>截止202</w:t>
      </w:r>
      <w:r>
        <w:rPr>
          <w:rFonts w:hint="eastAsia" w:ascii="楷体_GB2312" w:hAnsi="宋体" w:eastAsia="楷体_GB2312"/>
          <w:sz w:val="32"/>
          <w:szCs w:val="32"/>
          <w:lang w:val="en-US" w:eastAsia="zh-CN"/>
        </w:rPr>
        <w:t>1</w:t>
      </w:r>
      <w:r>
        <w:rPr>
          <w:rFonts w:hint="eastAsia" w:ascii="楷体_GB2312" w:hAnsi="宋体" w:eastAsia="楷体_GB2312"/>
          <w:sz w:val="32"/>
          <w:szCs w:val="32"/>
        </w:rPr>
        <w:t>年12月31日，财政拨付到位资金</w:t>
      </w:r>
      <w:r>
        <w:rPr>
          <w:rFonts w:hint="eastAsia" w:ascii="楷体_GB2312" w:hAnsi="宋体" w:eastAsia="楷体_GB2312"/>
          <w:sz w:val="32"/>
          <w:szCs w:val="32"/>
          <w:lang w:val="en-US" w:eastAsia="zh-CN"/>
        </w:rPr>
        <w:t>10</w:t>
      </w:r>
      <w:r>
        <w:rPr>
          <w:rFonts w:hint="eastAsia" w:ascii="楷体_GB2312" w:hAnsi="宋体" w:eastAsia="楷体_GB2312"/>
          <w:sz w:val="32"/>
          <w:szCs w:val="32"/>
        </w:rPr>
        <w:t>万元。</w:t>
      </w:r>
    </w:p>
    <w:p>
      <w:pPr>
        <w:numPr>
          <w:ilvl w:val="0"/>
          <w:numId w:val="6"/>
        </w:numPr>
        <w:adjustRightInd w:val="0"/>
        <w:snapToGrid w:val="0"/>
        <w:spacing w:line="580" w:lineRule="exact"/>
        <w:ind w:firstLine="640" w:firstLineChars="200"/>
        <w:rPr>
          <w:rFonts w:hint="eastAsia" w:ascii="楷体_GB2312" w:hAnsi="宋体" w:eastAsia="楷体_GB2312"/>
          <w:sz w:val="32"/>
          <w:szCs w:val="32"/>
          <w:lang w:val="zh-CN"/>
        </w:rPr>
      </w:pPr>
      <w:r>
        <w:rPr>
          <w:rFonts w:hint="eastAsia" w:ascii="楷体_GB2312" w:hAnsi="宋体" w:eastAsia="楷体_GB2312"/>
          <w:sz w:val="32"/>
          <w:szCs w:val="32"/>
          <w:lang w:val="zh-CN"/>
        </w:rPr>
        <w:t>资金使用。</w:t>
      </w:r>
    </w:p>
    <w:p>
      <w:pPr>
        <w:adjustRightInd w:val="0"/>
        <w:snapToGrid w:val="0"/>
        <w:spacing w:line="58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lang w:val="zh-CN"/>
        </w:rPr>
        <w:t>全年支付工作经费合计</w:t>
      </w:r>
      <w:r>
        <w:rPr>
          <w:rFonts w:hint="eastAsia" w:ascii="仿宋_GB2312" w:hAnsi="宋体" w:eastAsia="仿宋_GB2312"/>
          <w:sz w:val="32"/>
          <w:szCs w:val="32"/>
          <w:lang w:val="en-US" w:eastAsia="zh-CN"/>
        </w:rPr>
        <w:t>10</w:t>
      </w:r>
      <w:r>
        <w:rPr>
          <w:rFonts w:hint="eastAsia" w:ascii="仿宋_GB2312" w:hAnsi="宋体" w:eastAsia="仿宋_GB2312"/>
          <w:sz w:val="32"/>
          <w:szCs w:val="32"/>
        </w:rPr>
        <w:t>万元，包括土地整理项目验收费用、土地报征的差旅费、</w:t>
      </w:r>
      <w:r>
        <w:rPr>
          <w:rFonts w:hint="eastAsia" w:ascii="仿宋_GB2312" w:hAnsi="宋体" w:eastAsia="仿宋_GB2312"/>
          <w:sz w:val="32"/>
          <w:szCs w:val="32"/>
          <w:lang w:val="en-US" w:eastAsia="zh-CN"/>
        </w:rPr>
        <w:t>租车费、</w:t>
      </w:r>
      <w:r>
        <w:rPr>
          <w:rFonts w:hint="eastAsia" w:ascii="仿宋_GB2312" w:hAnsi="宋体" w:eastAsia="仿宋_GB2312"/>
          <w:sz w:val="32"/>
          <w:szCs w:val="32"/>
        </w:rPr>
        <w:t>文件打印费。</w:t>
      </w:r>
    </w:p>
    <w:p>
      <w:pPr>
        <w:adjustRightInd w:val="0"/>
        <w:snapToGrid w:val="0"/>
        <w:spacing w:line="580" w:lineRule="exact"/>
        <w:ind w:firstLine="640" w:firstLineChars="200"/>
        <w:rPr>
          <w:rFonts w:hint="eastAsia" w:ascii="楷体_GB2312" w:hAnsi="宋体" w:eastAsia="楷体_GB2312"/>
          <w:b w:val="0"/>
          <w:bCs/>
          <w:sz w:val="32"/>
          <w:szCs w:val="32"/>
          <w:lang w:val="zh-CN"/>
        </w:rPr>
      </w:pPr>
      <w:r>
        <w:rPr>
          <w:rFonts w:hint="eastAsia" w:ascii="楷体_GB2312" w:hAnsi="宋体" w:eastAsia="楷体_GB2312"/>
          <w:b w:val="0"/>
          <w:bCs/>
          <w:sz w:val="32"/>
          <w:szCs w:val="32"/>
          <w:lang w:val="zh-CN"/>
        </w:rPr>
        <w:t>（三）项目财务管理情况</w:t>
      </w:r>
    </w:p>
    <w:p>
      <w:pPr>
        <w:adjustRightInd w:val="0"/>
        <w:snapToGrid w:val="0"/>
        <w:spacing w:line="580" w:lineRule="exact"/>
        <w:ind w:firstLine="640" w:firstLineChars="200"/>
        <w:rPr>
          <w:rFonts w:hint="eastAsia" w:ascii="仿宋_GB2312" w:hAnsi="宋体" w:eastAsia="仿宋_GB2312"/>
          <w:sz w:val="32"/>
          <w:szCs w:val="32"/>
          <w:lang w:val="zh-CN"/>
        </w:rPr>
      </w:pPr>
      <w:r>
        <w:rPr>
          <w:rFonts w:hint="eastAsia" w:ascii="仿宋_GB2312" w:hAnsi="宋体" w:eastAsia="仿宋_GB2312"/>
          <w:sz w:val="32"/>
          <w:szCs w:val="32"/>
          <w:lang w:val="zh-CN"/>
        </w:rPr>
        <w:t>我局制度了《财务管理制度》和《专项资金管理制度》和《三重一大制度》，项目支付过程中严格执行相关制度，专款专用，无截留，无挪用的现象。</w:t>
      </w:r>
    </w:p>
    <w:p>
      <w:pPr>
        <w:adjustRightInd w:val="0"/>
        <w:snapToGrid w:val="0"/>
        <w:spacing w:line="580" w:lineRule="exact"/>
        <w:ind w:firstLine="640" w:firstLineChars="200"/>
        <w:rPr>
          <w:rFonts w:ascii="黑体" w:hAnsi="宋体" w:eastAsia="黑体"/>
          <w:sz w:val="32"/>
          <w:szCs w:val="32"/>
        </w:rPr>
      </w:pPr>
      <w:r>
        <w:rPr>
          <w:rFonts w:hint="eastAsia" w:ascii="黑体" w:hAnsi="宋体" w:eastAsia="黑体"/>
          <w:sz w:val="32"/>
          <w:szCs w:val="32"/>
        </w:rPr>
        <w:t>三、项目实施及管理情况</w:t>
      </w:r>
    </w:p>
    <w:p>
      <w:pPr>
        <w:adjustRightInd w:val="0"/>
        <w:snapToGrid w:val="0"/>
        <w:spacing w:line="58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土地整理和土地报征工作经费属于财政下达的一般公共常规项目，都是工作经费，专门用于土地整理项目验收和报征土地日常经费。</w:t>
      </w:r>
    </w:p>
    <w:p>
      <w:pPr>
        <w:adjustRightInd w:val="0"/>
        <w:snapToGrid w:val="0"/>
        <w:spacing w:line="580" w:lineRule="exact"/>
        <w:ind w:firstLine="640" w:firstLineChars="200"/>
        <w:rPr>
          <w:rFonts w:ascii="仿宋_GB2312" w:hAnsi="宋体" w:eastAsia="仿宋_GB2312"/>
          <w:sz w:val="32"/>
          <w:szCs w:val="32"/>
          <w:lang w:val="zh-CN"/>
        </w:rPr>
      </w:pPr>
      <w:r>
        <w:rPr>
          <w:rFonts w:hint="eastAsia" w:ascii="黑体" w:hAnsi="宋体" w:eastAsia="黑体"/>
          <w:sz w:val="32"/>
          <w:szCs w:val="32"/>
        </w:rPr>
        <w:t>四、项目绩效情况</w:t>
      </w:r>
      <w:r>
        <w:rPr>
          <w:rFonts w:ascii="仿宋_GB2312" w:hAnsi="宋体" w:eastAsia="仿宋_GB2312"/>
          <w:sz w:val="32"/>
          <w:szCs w:val="32"/>
          <w:lang w:val="zh-CN"/>
        </w:rPr>
        <w:tab/>
      </w:r>
    </w:p>
    <w:p>
      <w:pPr>
        <w:adjustRightInd w:val="0"/>
        <w:snapToGrid w:val="0"/>
        <w:spacing w:line="580" w:lineRule="exact"/>
        <w:ind w:firstLine="640" w:firstLineChars="200"/>
        <w:rPr>
          <w:rFonts w:hint="eastAsia" w:ascii="楷体_GB2312" w:hAnsi="宋体" w:eastAsia="楷体_GB2312"/>
          <w:b w:val="0"/>
          <w:bCs/>
          <w:sz w:val="32"/>
          <w:szCs w:val="32"/>
          <w:lang w:val="zh-CN"/>
        </w:rPr>
      </w:pPr>
      <w:r>
        <w:rPr>
          <w:rFonts w:hint="eastAsia" w:ascii="楷体_GB2312" w:hAnsi="宋体" w:eastAsia="楷体_GB2312"/>
          <w:b w:val="0"/>
          <w:bCs/>
          <w:sz w:val="32"/>
          <w:szCs w:val="32"/>
          <w:lang w:val="zh-CN"/>
        </w:rPr>
        <w:t>（一）项目完成情况</w:t>
      </w:r>
    </w:p>
    <w:p>
      <w:pPr>
        <w:adjustRightInd w:val="0"/>
        <w:snapToGrid w:val="0"/>
        <w:spacing w:line="580" w:lineRule="exact"/>
        <w:ind w:firstLine="640" w:firstLineChars="200"/>
        <w:rPr>
          <w:rFonts w:hint="eastAsia" w:ascii="仿宋" w:hAnsi="仿宋" w:eastAsia="仿宋"/>
          <w:color w:val="000000"/>
          <w:sz w:val="32"/>
          <w:szCs w:val="32"/>
          <w:lang w:val="zh-CN"/>
        </w:rPr>
      </w:pPr>
      <w:r>
        <w:rPr>
          <w:rFonts w:hint="eastAsia" w:ascii="仿宋" w:hAnsi="仿宋" w:eastAsia="仿宋"/>
          <w:color w:val="000000"/>
          <w:sz w:val="32"/>
          <w:szCs w:val="32"/>
          <w:lang w:val="en-US" w:eastAsia="zh-CN"/>
        </w:rPr>
        <w:t>一</w:t>
      </w:r>
      <w:r>
        <w:rPr>
          <w:rFonts w:hint="eastAsia" w:ascii="仿宋" w:hAnsi="仿宋" w:eastAsia="仿宋"/>
          <w:color w:val="000000"/>
          <w:sz w:val="32"/>
          <w:szCs w:val="32"/>
          <w:lang w:val="zh-CN" w:eastAsia="zh-CN"/>
        </w:rPr>
        <w:t>是按试计划“三区三线”两轮试划中的基本农田核实划定工作，建立和完善划定数据库，将现状耕地应划尽划为基本农田后，我市试划基本农田358.88万亩；二是完成设施农用地备案870宗8731亩；三是新争取土地整理项目9个，预算总投资1.46亿元，预计可新增耕地3500亩；四是督促4个被省厅撤销项目涉及的县区加快项目验收并将4个项目转为地方投资的土地整理项目；五是超额完成土地报征全年目标任务，全年共报征土地44件次共11148.402亩，其中批次用地37件次6305.9070亩，单独选址项目7件次4842.495亩，确保项目合法用地。六是完成补充耕地项目问题整改，预计新增耕地指标200.79亩；七是结合永久基本农田核实整改补足工作，已完成退耕还林占用基本农田7779.04亩的土地利用变更调查工作，按相关政策要求纳入基本农田管理范畴。八是指导县区编制土地成片开发方案共19个，面积14254.5195亩，保障重点项目用地指标。</w:t>
      </w:r>
    </w:p>
    <w:p>
      <w:pPr>
        <w:adjustRightInd w:val="0"/>
        <w:snapToGrid w:val="0"/>
        <w:spacing w:line="580" w:lineRule="exact"/>
        <w:ind w:firstLine="640" w:firstLineChars="200"/>
        <w:rPr>
          <w:rFonts w:hint="eastAsia" w:ascii="楷体_GB2312" w:hAnsi="宋体" w:eastAsia="楷体_GB2312"/>
          <w:b w:val="0"/>
          <w:bCs/>
          <w:sz w:val="32"/>
          <w:szCs w:val="32"/>
          <w:lang w:val="zh-CN"/>
        </w:rPr>
      </w:pPr>
      <w:r>
        <w:rPr>
          <w:rFonts w:hint="eastAsia" w:ascii="楷体_GB2312" w:hAnsi="宋体" w:eastAsia="楷体_GB2312"/>
          <w:b w:val="0"/>
          <w:bCs/>
          <w:sz w:val="32"/>
          <w:szCs w:val="32"/>
          <w:lang w:val="zh-CN"/>
        </w:rPr>
        <w:t>（二）项目效益情况</w:t>
      </w:r>
    </w:p>
    <w:p>
      <w:pPr>
        <w:adjustRightInd w:val="0"/>
        <w:snapToGrid w:val="0"/>
        <w:spacing w:line="580" w:lineRule="exact"/>
        <w:ind w:firstLine="640" w:firstLineChars="200"/>
        <w:rPr>
          <w:rFonts w:hint="eastAsia" w:ascii="仿宋_GB2312" w:hAnsi="宋体" w:eastAsia="仿宋_GB2312" w:cs="仿宋_GB2312"/>
          <w:color w:val="000000"/>
          <w:kern w:val="0"/>
          <w:sz w:val="32"/>
          <w:szCs w:val="32"/>
          <w:shd w:val="clear" w:color="auto" w:fill="FFFFFF"/>
        </w:rPr>
      </w:pPr>
      <w:r>
        <w:rPr>
          <w:rFonts w:hint="eastAsia" w:ascii="仿宋" w:hAnsi="仿宋" w:eastAsia="仿宋"/>
          <w:color w:val="000000"/>
          <w:sz w:val="32"/>
          <w:szCs w:val="32"/>
        </w:rPr>
        <w:t>1.</w:t>
      </w:r>
      <w:r>
        <w:rPr>
          <w:rFonts w:hint="eastAsia" w:ascii="仿宋_GB2312" w:hAnsi="宋体" w:eastAsia="仿宋_GB2312" w:cs="仿宋_GB2312"/>
          <w:color w:val="000000"/>
          <w:kern w:val="0"/>
          <w:sz w:val="32"/>
          <w:szCs w:val="32"/>
          <w:shd w:val="clear" w:color="auto" w:fill="FFFFFF"/>
        </w:rPr>
        <w:t>保障各类建设项目用地，为征收土地提供了政策保障，达到了维护社会稳定，促进全市社会经济发展的目的。</w:t>
      </w:r>
    </w:p>
    <w:p>
      <w:pPr>
        <w:adjustRightInd w:val="0"/>
        <w:snapToGrid w:val="0"/>
        <w:spacing w:line="580" w:lineRule="exact"/>
        <w:ind w:firstLine="640" w:firstLineChars="200"/>
        <w:rPr>
          <w:rFonts w:hint="eastAsia" w:ascii="仿宋_GB2312" w:eastAsia="仿宋_GB2312"/>
          <w:sz w:val="32"/>
          <w:szCs w:val="32"/>
        </w:rPr>
      </w:pPr>
      <w:r>
        <w:rPr>
          <w:rFonts w:hint="eastAsia" w:ascii="仿宋_GB2312" w:hAnsi="宋体" w:eastAsia="仿宋_GB2312" w:cs="仿宋_GB2312"/>
          <w:color w:val="000000"/>
          <w:kern w:val="0"/>
          <w:sz w:val="32"/>
          <w:szCs w:val="32"/>
          <w:shd w:val="clear" w:color="auto" w:fill="FFFFFF"/>
        </w:rPr>
        <w:t>2.</w:t>
      </w:r>
      <w:r>
        <w:rPr>
          <w:rFonts w:hint="eastAsia" w:ascii="仿宋_GB2312" w:eastAsia="仿宋_GB2312"/>
          <w:sz w:val="32"/>
          <w:szCs w:val="32"/>
        </w:rPr>
        <w:t>建设占用耕地面积按规定落实了占补平衡，土地整治和高标准农田建设项目实施取得了良好成效。</w:t>
      </w:r>
    </w:p>
    <w:p>
      <w:pPr>
        <w:adjustRightInd w:val="0"/>
        <w:snapToGrid w:val="0"/>
        <w:spacing w:line="580" w:lineRule="exact"/>
        <w:ind w:firstLine="640" w:firstLineChars="200"/>
        <w:rPr>
          <w:rFonts w:hint="eastAsia" w:ascii="仿宋_GB2312" w:hAnsi="宋体" w:eastAsia="仿宋_GB2312"/>
          <w:sz w:val="32"/>
          <w:szCs w:val="32"/>
        </w:rPr>
      </w:pPr>
      <w:r>
        <w:rPr>
          <w:rFonts w:hint="eastAsia" w:ascii="仿宋_GB2312" w:eastAsia="仿宋_GB2312"/>
          <w:sz w:val="32"/>
          <w:szCs w:val="32"/>
        </w:rPr>
        <w:t>3.对全市225个省市重点项目、市领导挂联重点项目及省级重点推进项目用地情况进行全面梳理，积极协调苍溪县、青川县调整剩余指标到利州区和朝天区，有力保障了川陕甘高铁快运物流基地项目用地。</w:t>
      </w:r>
    </w:p>
    <w:p>
      <w:pPr>
        <w:adjustRightInd w:val="0"/>
        <w:snapToGrid w:val="0"/>
        <w:spacing w:line="580" w:lineRule="exact"/>
        <w:ind w:firstLine="640" w:firstLineChars="200"/>
        <w:rPr>
          <w:rFonts w:ascii="黑体" w:hAnsi="宋体" w:eastAsia="黑体"/>
          <w:sz w:val="32"/>
          <w:szCs w:val="32"/>
        </w:rPr>
      </w:pPr>
      <w:r>
        <w:rPr>
          <w:rFonts w:hint="eastAsia" w:ascii="黑体" w:hAnsi="宋体" w:eastAsia="黑体"/>
          <w:sz w:val="32"/>
          <w:szCs w:val="32"/>
        </w:rPr>
        <w:t>五、评价结论及建议</w:t>
      </w:r>
    </w:p>
    <w:p>
      <w:pPr>
        <w:adjustRightInd w:val="0"/>
        <w:snapToGrid w:val="0"/>
        <w:spacing w:line="580" w:lineRule="exact"/>
        <w:ind w:firstLine="640" w:firstLineChars="200"/>
        <w:rPr>
          <w:rFonts w:hint="eastAsia" w:ascii="楷体_GB2312" w:hAnsi="宋体" w:eastAsia="楷体_GB2312"/>
          <w:b w:val="0"/>
          <w:bCs/>
          <w:sz w:val="32"/>
          <w:szCs w:val="32"/>
          <w:lang w:val="zh-CN"/>
        </w:rPr>
      </w:pPr>
      <w:r>
        <w:rPr>
          <w:rFonts w:hint="eastAsia" w:ascii="楷体_GB2312" w:hAnsi="宋体" w:eastAsia="楷体_GB2312"/>
          <w:b w:val="0"/>
          <w:bCs/>
          <w:sz w:val="32"/>
          <w:szCs w:val="32"/>
          <w:lang w:val="zh-CN"/>
        </w:rPr>
        <w:t>（一）评价结论</w:t>
      </w:r>
    </w:p>
    <w:p>
      <w:pPr>
        <w:adjustRightInd w:val="0"/>
        <w:snapToGrid w:val="0"/>
        <w:spacing w:line="580" w:lineRule="exact"/>
        <w:ind w:firstLine="640" w:firstLineChars="200"/>
        <w:rPr>
          <w:rFonts w:ascii="仿宋_GB2312" w:hAnsi="宋体" w:eastAsia="仿宋_GB2312"/>
          <w:sz w:val="32"/>
          <w:szCs w:val="32"/>
          <w:bdr w:val="single" w:color="auto" w:sz="4" w:space="0"/>
          <w:lang w:val="zh-CN"/>
        </w:rPr>
      </w:pPr>
      <w:r>
        <w:rPr>
          <w:rFonts w:hint="eastAsia" w:ascii="仿宋_GB2312" w:hAnsi="宋体" w:eastAsia="仿宋_GB2312"/>
          <w:sz w:val="32"/>
          <w:szCs w:val="32"/>
          <w:lang w:val="zh-CN"/>
        </w:rPr>
        <w:t>通过自评，自评得分</w:t>
      </w:r>
      <w:r>
        <w:rPr>
          <w:rFonts w:hint="eastAsia" w:ascii="仿宋_GB2312" w:hAnsi="宋体" w:eastAsia="仿宋_GB2312"/>
          <w:sz w:val="32"/>
          <w:szCs w:val="32"/>
        </w:rPr>
        <w:t>100分。</w:t>
      </w:r>
    </w:p>
    <w:p>
      <w:pPr>
        <w:adjustRightInd w:val="0"/>
        <w:snapToGrid w:val="0"/>
        <w:spacing w:line="580" w:lineRule="exact"/>
        <w:ind w:firstLine="640" w:firstLineChars="200"/>
        <w:rPr>
          <w:rFonts w:hint="eastAsia" w:ascii="楷体_GB2312" w:hAnsi="宋体" w:eastAsia="楷体_GB2312"/>
          <w:b w:val="0"/>
          <w:bCs/>
          <w:sz w:val="32"/>
          <w:szCs w:val="32"/>
          <w:lang w:val="zh-CN"/>
        </w:rPr>
      </w:pPr>
      <w:r>
        <w:rPr>
          <w:rFonts w:hint="eastAsia" w:ascii="楷体_GB2312" w:hAnsi="宋体" w:eastAsia="楷体_GB2312"/>
          <w:b w:val="0"/>
          <w:bCs/>
          <w:sz w:val="32"/>
          <w:szCs w:val="32"/>
          <w:lang w:val="zh-CN"/>
        </w:rPr>
        <w:t>（二）存在的问题</w:t>
      </w:r>
    </w:p>
    <w:p>
      <w:pPr>
        <w:adjustRightInd w:val="0"/>
        <w:snapToGrid w:val="0"/>
        <w:spacing w:line="58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预算指标需进一步细化。</w:t>
      </w:r>
    </w:p>
    <w:p>
      <w:pPr>
        <w:adjustRightInd w:val="0"/>
        <w:snapToGrid w:val="0"/>
        <w:spacing w:line="580" w:lineRule="exact"/>
        <w:ind w:firstLine="640" w:firstLineChars="200"/>
        <w:rPr>
          <w:rFonts w:hint="eastAsia" w:ascii="楷体_GB2312" w:hAnsi="宋体" w:eastAsia="楷体_GB2312"/>
          <w:b w:val="0"/>
          <w:bCs/>
          <w:sz w:val="32"/>
          <w:szCs w:val="32"/>
          <w:lang w:val="zh-CN"/>
        </w:rPr>
      </w:pPr>
      <w:r>
        <w:rPr>
          <w:rFonts w:hint="eastAsia" w:ascii="楷体_GB2312" w:hAnsi="宋体" w:eastAsia="楷体_GB2312"/>
          <w:b w:val="0"/>
          <w:bCs/>
          <w:sz w:val="32"/>
          <w:szCs w:val="32"/>
          <w:lang w:val="zh-CN"/>
        </w:rPr>
        <w:t>（三）相关建议</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200" w:firstLine="320" w:firstLineChars="1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1.完善预算编制体系，提高预算编制科学行</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财政部门的具体要求，完善财务预算编制的相关业务流程。预算编制工作是一项政策性、技术性和实效性要求都很强的工作，需要预算编制人员及部门具有较高的政策水平、专业技术水平很强的执行力。提高预算编制的准确性和前瞻性。同时，充分分析部门业务特点，总结部门历史经验合理编制单位预算。</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2.绩效目标的设置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科学合理地设置绩效指标，提高预算绩效指标的针对性和可测性，充分发挥预算绩效目标管理的导向作用。</w:t>
      </w:r>
    </w:p>
    <w:p>
      <w:pPr>
        <w:rPr>
          <w:rFonts w:hint="eastAsia" w:ascii="方正小标宋简体" w:hAnsi="宋体" w:eastAsia="方正小标宋简体"/>
          <w:color w:val="000000"/>
          <w:kern w:val="0"/>
          <w:sz w:val="44"/>
          <w:szCs w:val="44"/>
          <w:lang w:val="zh-CN"/>
        </w:rPr>
      </w:pPr>
      <w:r>
        <w:rPr>
          <w:rFonts w:hint="eastAsia" w:ascii="方正小标宋简体" w:hAnsi="宋体" w:eastAsia="方正小标宋简体"/>
          <w:color w:val="000000"/>
          <w:kern w:val="0"/>
          <w:sz w:val="44"/>
          <w:szCs w:val="44"/>
          <w:lang w:val="zh-CN"/>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i w:val="0"/>
          <w:iCs w:val="0"/>
          <w:color w:val="000000"/>
          <w:kern w:val="0"/>
          <w:sz w:val="44"/>
          <w:szCs w:val="44"/>
          <w:u w:val="none"/>
          <w:lang w:val="zh-CN" w:eastAsia="zh-CN" w:bidi="ar"/>
        </w:rPr>
      </w:pPr>
      <w:r>
        <w:rPr>
          <w:rFonts w:hint="eastAsia" w:ascii="方正小标宋_GBK" w:hAnsi="方正小标宋_GBK" w:eastAsia="方正小标宋_GBK" w:cs="方正小标宋_GBK"/>
          <w:i w:val="0"/>
          <w:iCs w:val="0"/>
          <w:color w:val="000000"/>
          <w:kern w:val="0"/>
          <w:sz w:val="44"/>
          <w:szCs w:val="44"/>
          <w:u w:val="none"/>
          <w:lang w:val="en-US" w:eastAsia="zh-CN" w:bidi="ar"/>
        </w:rPr>
        <w:t>项目支出绩效目标自评表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color w:val="000000"/>
          <w:kern w:val="0"/>
          <w:sz w:val="32"/>
          <w:szCs w:val="32"/>
          <w:lang w:val="zh-CN"/>
        </w:rPr>
      </w:pPr>
      <w:r>
        <w:rPr>
          <w:rFonts w:hint="eastAsia" w:ascii="楷体_GB2312" w:hAnsi="楷体_GB2312" w:eastAsia="楷体_GB2312" w:cs="楷体_GB2312"/>
          <w:i w:val="0"/>
          <w:iCs w:val="0"/>
          <w:color w:val="000000"/>
          <w:kern w:val="0"/>
          <w:sz w:val="32"/>
          <w:szCs w:val="32"/>
          <w:u w:val="none"/>
          <w:lang w:val="en-US" w:eastAsia="zh-CN" w:bidi="ar"/>
        </w:rPr>
        <w:t>(2021年度)</w:t>
      </w:r>
    </w:p>
    <w:tbl>
      <w:tblPr>
        <w:tblStyle w:val="12"/>
        <w:tblW w:w="9219" w:type="dxa"/>
        <w:tblInd w:w="-1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67"/>
        <w:gridCol w:w="164"/>
        <w:gridCol w:w="925"/>
        <w:gridCol w:w="64"/>
        <w:gridCol w:w="1087"/>
        <w:gridCol w:w="805"/>
        <w:gridCol w:w="740"/>
        <w:gridCol w:w="718"/>
        <w:gridCol w:w="1356"/>
        <w:gridCol w:w="689"/>
        <w:gridCol w:w="18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19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项目名称</w:t>
            </w:r>
          </w:p>
        </w:tc>
        <w:tc>
          <w:tcPr>
            <w:tcW w:w="726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土地整治和土地报征工作经费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19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预算单位</w:t>
            </w:r>
          </w:p>
        </w:tc>
        <w:tc>
          <w:tcPr>
            <w:tcW w:w="726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广元市自然资源局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195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预算执行情况</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(万元)</w:t>
            </w:r>
          </w:p>
        </w:tc>
        <w:tc>
          <w:tcPr>
            <w:tcW w:w="19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预算数:</w:t>
            </w:r>
          </w:p>
        </w:tc>
        <w:tc>
          <w:tcPr>
            <w:tcW w:w="14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2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执行数:</w:t>
            </w:r>
          </w:p>
        </w:tc>
        <w:tc>
          <w:tcPr>
            <w:tcW w:w="1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195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9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其中-财政拨款:</w:t>
            </w:r>
          </w:p>
        </w:tc>
        <w:tc>
          <w:tcPr>
            <w:tcW w:w="14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2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其中-财政拨款:</w:t>
            </w:r>
          </w:p>
        </w:tc>
        <w:tc>
          <w:tcPr>
            <w:tcW w:w="1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195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9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其它资金:</w:t>
            </w:r>
          </w:p>
        </w:tc>
        <w:tc>
          <w:tcPr>
            <w:tcW w:w="14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2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其它资金:</w:t>
            </w:r>
          </w:p>
        </w:tc>
        <w:tc>
          <w:tcPr>
            <w:tcW w:w="1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8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年度目标完成情况</w:t>
            </w:r>
          </w:p>
        </w:tc>
        <w:tc>
          <w:tcPr>
            <w:tcW w:w="3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预期目标</w:t>
            </w:r>
          </w:p>
        </w:tc>
        <w:tc>
          <w:tcPr>
            <w:tcW w:w="530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实际完成目标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73" w:hRule="atLeast"/>
        </w:trPr>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1"/>
                <w:szCs w:val="21"/>
                <w:u w:val="none"/>
              </w:rPr>
            </w:pPr>
          </w:p>
        </w:tc>
        <w:tc>
          <w:tcPr>
            <w:tcW w:w="3045" w:type="dxa"/>
            <w:gridSpan w:val="5"/>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照省厅下达我市土地利用年度计划，完成年度土地报征工作。开展全市土地整治项目监督管理和技术核查，完成2020年以前已竣工的验收工作，开展2021年土地整治项目可研入库、立项和资料归档等实施管理工作。</w:t>
            </w:r>
          </w:p>
        </w:tc>
        <w:tc>
          <w:tcPr>
            <w:tcW w:w="530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是按试计划“三区三线”两轮试划中的基本农田核实划定工作，建立和完善划定数据库，将现状耕地应划尽划为基本农田后，我市试划基本农田358.88万亩；二是完成设施农用地备案870宗8731亩；三是新争取土地整理项目9个，预算总投资1.46亿元，预计可新增耕地3500亩；四是督促4个被省厅撤销项目涉及的县区加快项目验收并将4个项目转为地方投资的土地整理项目；五是超额完成土地报征全年目标任务，全年共报征土地44件次共11148.402亩，其中批次用地37件次6305.9070亩，单独选址项目7件次4842.495亩，确保项目合法用地。六是完成补充耕地项目问题整改，预计新增耕地指标200.79亩；七是结合永久基本农田核实整改补足工作，已完成退耕还林占用基本农田7779.04亩的土地利用变更调查工作，按相关政策要求纳入基本农田管理范畴。八是指导县区编制土地成片开发方案共19个，面积14254.5195亩，保障重点项目用地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103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年度绩效指标完成情况</w:t>
            </w:r>
          </w:p>
        </w:tc>
        <w:tc>
          <w:tcPr>
            <w:tcW w:w="989"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一级指标</w:t>
            </w:r>
          </w:p>
        </w:tc>
        <w:tc>
          <w:tcPr>
            <w:tcW w:w="1087"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二级指标</w:t>
            </w:r>
          </w:p>
        </w:tc>
        <w:tc>
          <w:tcPr>
            <w:tcW w:w="1545"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三级指标</w:t>
            </w:r>
          </w:p>
        </w:tc>
        <w:tc>
          <w:tcPr>
            <w:tcW w:w="2074"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预期指标值(包含数字及文字描述)</w:t>
            </w:r>
          </w:p>
        </w:tc>
        <w:tc>
          <w:tcPr>
            <w:tcW w:w="24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实际完成指标值(包含数字及文字描述)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5" w:hRule="atLeast"/>
        </w:trPr>
        <w:tc>
          <w:tcPr>
            <w:tcW w:w="1031" w:type="dxa"/>
            <w:gridSpan w:val="2"/>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1"/>
                <w:szCs w:val="21"/>
                <w:u w:val="none"/>
              </w:rPr>
            </w:pPr>
          </w:p>
        </w:tc>
        <w:tc>
          <w:tcPr>
            <w:tcW w:w="989" w:type="dxa"/>
            <w:gridSpan w:val="2"/>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项目完成指标</w:t>
            </w:r>
          </w:p>
        </w:tc>
        <w:tc>
          <w:tcPr>
            <w:tcW w:w="1087" w:type="dxa"/>
            <w:vMerge w:val="restart"/>
            <w:tcBorders>
              <w:top w:val="single" w:color="auto"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数量指标</w:t>
            </w:r>
          </w:p>
        </w:tc>
        <w:tc>
          <w:tcPr>
            <w:tcW w:w="1545"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基本农田试划定</w:t>
            </w:r>
          </w:p>
        </w:tc>
        <w:tc>
          <w:tcPr>
            <w:tcW w:w="2074" w:type="dxa"/>
            <w:gridSpan w:val="2"/>
            <w:tcBorders>
              <w:top w:val="single" w:color="auto"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基本农田试划定358.88万亩</w:t>
            </w:r>
          </w:p>
        </w:tc>
        <w:tc>
          <w:tcPr>
            <w:tcW w:w="2493"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基本农田试划定358.88万亩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1031" w:type="dxa"/>
            <w:gridSpan w:val="2"/>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1"/>
                <w:szCs w:val="21"/>
                <w:u w:val="none"/>
              </w:rPr>
            </w:pPr>
          </w:p>
        </w:tc>
        <w:tc>
          <w:tcPr>
            <w:tcW w:w="989" w:type="dxa"/>
            <w:gridSpan w:val="2"/>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1"/>
                <w:szCs w:val="21"/>
                <w:u w:val="none"/>
              </w:rPr>
            </w:pPr>
          </w:p>
        </w:tc>
        <w:tc>
          <w:tcPr>
            <w:tcW w:w="1087"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1"/>
                <w:szCs w:val="21"/>
                <w:u w:val="none"/>
              </w:rPr>
            </w:pP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设施农用地备案</w:t>
            </w:r>
          </w:p>
        </w:tc>
        <w:tc>
          <w:tcPr>
            <w:tcW w:w="2074"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完成设施农用地备案870宗8731亩</w:t>
            </w:r>
          </w:p>
        </w:tc>
        <w:tc>
          <w:tcPr>
            <w:tcW w:w="2493"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完成设施农用地备案870宗8731亩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4" w:hRule="atLeast"/>
        </w:trPr>
        <w:tc>
          <w:tcPr>
            <w:tcW w:w="1031" w:type="dxa"/>
            <w:gridSpan w:val="2"/>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1"/>
                <w:szCs w:val="21"/>
                <w:u w:val="none"/>
              </w:rPr>
            </w:pPr>
          </w:p>
        </w:tc>
        <w:tc>
          <w:tcPr>
            <w:tcW w:w="989" w:type="dxa"/>
            <w:gridSpan w:val="2"/>
            <w:vMerge w:val="continue"/>
            <w:tcBorders>
              <w:top w:val="single" w:color="000000"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1"/>
                <w:szCs w:val="21"/>
                <w:u w:val="none"/>
              </w:rPr>
            </w:pPr>
          </w:p>
        </w:tc>
        <w:tc>
          <w:tcPr>
            <w:tcW w:w="1087"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1"/>
                <w:szCs w:val="21"/>
                <w:u w:val="none"/>
              </w:rPr>
            </w:pPr>
          </w:p>
        </w:tc>
        <w:tc>
          <w:tcPr>
            <w:tcW w:w="1545"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新增土地整理项目</w:t>
            </w:r>
          </w:p>
        </w:tc>
        <w:tc>
          <w:tcPr>
            <w:tcW w:w="2074" w:type="dxa"/>
            <w:gridSpan w:val="2"/>
            <w:tcBorders>
              <w:top w:val="single" w:color="000000" w:sz="4" w:space="0"/>
              <w:left w:val="single" w:color="000000"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新增土地整理项目9个，预计新增耕地3500亩。</w:t>
            </w:r>
          </w:p>
        </w:tc>
        <w:tc>
          <w:tcPr>
            <w:tcW w:w="2493"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新增土地整理项目9个，预计新增耕地3500亩。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6" w:hRule="atLeast"/>
        </w:trPr>
        <w:tc>
          <w:tcPr>
            <w:tcW w:w="1031" w:type="dxa"/>
            <w:gridSpan w:val="2"/>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1"/>
                <w:szCs w:val="21"/>
                <w:u w:val="none"/>
              </w:rPr>
            </w:pPr>
          </w:p>
        </w:tc>
        <w:tc>
          <w:tcPr>
            <w:tcW w:w="989" w:type="dxa"/>
            <w:gridSpan w:val="2"/>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1"/>
                <w:szCs w:val="21"/>
                <w:u w:val="none"/>
              </w:rPr>
            </w:pPr>
          </w:p>
        </w:tc>
        <w:tc>
          <w:tcPr>
            <w:tcW w:w="108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1"/>
                <w:szCs w:val="21"/>
                <w:u w:val="none"/>
              </w:rPr>
            </w:pPr>
          </w:p>
        </w:tc>
        <w:tc>
          <w:tcPr>
            <w:tcW w:w="1545"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完成县区用地的审查和转报、完成市本级土地报征</w:t>
            </w:r>
          </w:p>
        </w:tc>
        <w:tc>
          <w:tcPr>
            <w:tcW w:w="2074"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全年共报征土地44件次共11148.4亩</w:t>
            </w:r>
          </w:p>
        </w:tc>
        <w:tc>
          <w:tcPr>
            <w:tcW w:w="24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全年共报征土地44件次共11148.4亩，指导县区编制土地征收成片开发方案共19个，面积14254.5195亩。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1" w:hRule="atLeast"/>
        </w:trPr>
        <w:tc>
          <w:tcPr>
            <w:tcW w:w="1031" w:type="dxa"/>
            <w:gridSpan w:val="2"/>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1"/>
                <w:szCs w:val="21"/>
                <w:u w:val="none"/>
              </w:rPr>
            </w:pPr>
          </w:p>
        </w:tc>
        <w:tc>
          <w:tcPr>
            <w:tcW w:w="989" w:type="dxa"/>
            <w:gridSpan w:val="2"/>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1"/>
                <w:szCs w:val="21"/>
                <w:u w:val="none"/>
              </w:rPr>
            </w:pP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时效指标</w:t>
            </w: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完成时间</w:t>
            </w:r>
          </w:p>
        </w:tc>
        <w:tc>
          <w:tcPr>
            <w:tcW w:w="20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1年</w:t>
            </w:r>
          </w:p>
        </w:tc>
        <w:tc>
          <w:tcPr>
            <w:tcW w:w="24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1031" w:type="dxa"/>
            <w:gridSpan w:val="2"/>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1"/>
                <w:szCs w:val="21"/>
                <w:u w:val="none"/>
              </w:rPr>
            </w:pPr>
          </w:p>
        </w:tc>
        <w:tc>
          <w:tcPr>
            <w:tcW w:w="989" w:type="dxa"/>
            <w:gridSpan w:val="2"/>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1"/>
                <w:szCs w:val="21"/>
                <w:u w:val="none"/>
              </w:rPr>
            </w:pPr>
          </w:p>
        </w:tc>
        <w:tc>
          <w:tcPr>
            <w:tcW w:w="10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成本指标</w:t>
            </w: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项目验收和监督管理</w:t>
            </w:r>
          </w:p>
        </w:tc>
        <w:tc>
          <w:tcPr>
            <w:tcW w:w="20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3万元</w:t>
            </w:r>
          </w:p>
        </w:tc>
        <w:tc>
          <w:tcPr>
            <w:tcW w:w="24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1031" w:type="dxa"/>
            <w:gridSpan w:val="2"/>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1"/>
                <w:szCs w:val="21"/>
                <w:u w:val="none"/>
              </w:rPr>
            </w:pPr>
          </w:p>
        </w:tc>
        <w:tc>
          <w:tcPr>
            <w:tcW w:w="989" w:type="dxa"/>
            <w:gridSpan w:val="2"/>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1"/>
                <w:szCs w:val="21"/>
                <w:u w:val="none"/>
              </w:rPr>
            </w:pPr>
          </w:p>
        </w:tc>
        <w:tc>
          <w:tcPr>
            <w:tcW w:w="10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1"/>
                <w:szCs w:val="21"/>
                <w:u w:val="none"/>
              </w:rPr>
            </w:pP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项目入库和立项</w:t>
            </w:r>
          </w:p>
        </w:tc>
        <w:tc>
          <w:tcPr>
            <w:tcW w:w="20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3万元</w:t>
            </w:r>
          </w:p>
        </w:tc>
        <w:tc>
          <w:tcPr>
            <w:tcW w:w="24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1031" w:type="dxa"/>
            <w:gridSpan w:val="2"/>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1"/>
                <w:szCs w:val="21"/>
                <w:u w:val="none"/>
              </w:rPr>
            </w:pPr>
          </w:p>
        </w:tc>
        <w:tc>
          <w:tcPr>
            <w:tcW w:w="989" w:type="dxa"/>
            <w:gridSpan w:val="2"/>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1"/>
                <w:szCs w:val="21"/>
                <w:u w:val="none"/>
              </w:rPr>
            </w:pPr>
          </w:p>
        </w:tc>
        <w:tc>
          <w:tcPr>
            <w:tcW w:w="10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1"/>
                <w:szCs w:val="21"/>
                <w:u w:val="none"/>
              </w:rPr>
            </w:pP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完成市本级土地报征</w:t>
            </w:r>
          </w:p>
        </w:tc>
        <w:tc>
          <w:tcPr>
            <w:tcW w:w="20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4万元</w:t>
            </w:r>
          </w:p>
        </w:tc>
        <w:tc>
          <w:tcPr>
            <w:tcW w:w="24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1031" w:type="dxa"/>
            <w:gridSpan w:val="2"/>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1"/>
                <w:szCs w:val="21"/>
                <w:u w:val="none"/>
              </w:rPr>
            </w:pPr>
          </w:p>
        </w:tc>
        <w:tc>
          <w:tcPr>
            <w:tcW w:w="989" w:type="dxa"/>
            <w:gridSpan w:val="2"/>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1"/>
                <w:szCs w:val="21"/>
                <w:u w:val="none"/>
              </w:rPr>
            </w:pPr>
          </w:p>
        </w:tc>
        <w:tc>
          <w:tcPr>
            <w:tcW w:w="10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质量指标</w:t>
            </w: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已竣工的项目</w:t>
            </w:r>
          </w:p>
        </w:tc>
        <w:tc>
          <w:tcPr>
            <w:tcW w:w="20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达到相关的验收补标准</w:t>
            </w:r>
          </w:p>
        </w:tc>
        <w:tc>
          <w:tcPr>
            <w:tcW w:w="24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达到相关的验收补标准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1031" w:type="dxa"/>
            <w:gridSpan w:val="2"/>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1"/>
                <w:szCs w:val="21"/>
                <w:u w:val="none"/>
              </w:rPr>
            </w:pPr>
          </w:p>
        </w:tc>
        <w:tc>
          <w:tcPr>
            <w:tcW w:w="989" w:type="dxa"/>
            <w:gridSpan w:val="2"/>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1"/>
                <w:szCs w:val="21"/>
                <w:u w:val="none"/>
              </w:rPr>
            </w:pPr>
          </w:p>
        </w:tc>
        <w:tc>
          <w:tcPr>
            <w:tcW w:w="10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1"/>
                <w:szCs w:val="21"/>
                <w:u w:val="none"/>
              </w:rPr>
            </w:pP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入库和立项的项目</w:t>
            </w:r>
          </w:p>
        </w:tc>
        <w:tc>
          <w:tcPr>
            <w:tcW w:w="20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达到相关的立库和立项的标准</w:t>
            </w:r>
          </w:p>
        </w:tc>
        <w:tc>
          <w:tcPr>
            <w:tcW w:w="24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达到相关的立库和立项的标准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4" w:hRule="atLeast"/>
        </w:trPr>
        <w:tc>
          <w:tcPr>
            <w:tcW w:w="1031" w:type="dxa"/>
            <w:gridSpan w:val="2"/>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1"/>
                <w:szCs w:val="21"/>
                <w:u w:val="none"/>
              </w:rPr>
            </w:pPr>
          </w:p>
        </w:tc>
        <w:tc>
          <w:tcPr>
            <w:tcW w:w="989" w:type="dxa"/>
            <w:gridSpan w:val="2"/>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1"/>
                <w:szCs w:val="21"/>
                <w:u w:val="none"/>
              </w:rPr>
            </w:pPr>
          </w:p>
        </w:tc>
        <w:tc>
          <w:tcPr>
            <w:tcW w:w="10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1"/>
                <w:szCs w:val="21"/>
                <w:u w:val="none"/>
              </w:rPr>
            </w:pP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审查和转报县区土地报征资料</w:t>
            </w:r>
          </w:p>
        </w:tc>
        <w:tc>
          <w:tcPr>
            <w:tcW w:w="20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依法依规按程序审查，到到报征标准。</w:t>
            </w:r>
          </w:p>
        </w:tc>
        <w:tc>
          <w:tcPr>
            <w:tcW w:w="24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依法依规按程序审查，到到报征标准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1031" w:type="dxa"/>
            <w:gridSpan w:val="2"/>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1"/>
                <w:szCs w:val="21"/>
                <w:u w:val="none"/>
              </w:rPr>
            </w:pPr>
          </w:p>
        </w:tc>
        <w:tc>
          <w:tcPr>
            <w:tcW w:w="989" w:type="dxa"/>
            <w:gridSpan w:val="2"/>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1"/>
                <w:szCs w:val="21"/>
                <w:u w:val="none"/>
              </w:rPr>
            </w:pPr>
          </w:p>
        </w:tc>
        <w:tc>
          <w:tcPr>
            <w:tcW w:w="10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1"/>
                <w:szCs w:val="21"/>
                <w:u w:val="none"/>
              </w:rPr>
            </w:pP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完成市本级土地报征</w:t>
            </w:r>
          </w:p>
        </w:tc>
        <w:tc>
          <w:tcPr>
            <w:tcW w:w="20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达到保证标准，取得用地批复。</w:t>
            </w:r>
          </w:p>
        </w:tc>
        <w:tc>
          <w:tcPr>
            <w:tcW w:w="24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依法依规按程序审查，到到报征标准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4" w:hRule="atLeast"/>
        </w:trPr>
        <w:tc>
          <w:tcPr>
            <w:tcW w:w="103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1"/>
                <w:szCs w:val="21"/>
                <w:u w:val="none"/>
              </w:rPr>
            </w:pPr>
          </w:p>
        </w:tc>
        <w:tc>
          <w:tcPr>
            <w:tcW w:w="98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项目效果指标</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社会效益</w:t>
            </w: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增加耕地面积，提供项目用地保障。</w:t>
            </w:r>
          </w:p>
        </w:tc>
        <w:tc>
          <w:tcPr>
            <w:tcW w:w="20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提高粮食生产能力，改善项目区群众生产和生活水平</w:t>
            </w:r>
          </w:p>
        </w:tc>
        <w:tc>
          <w:tcPr>
            <w:tcW w:w="24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提高粮食生产能力，改善项目区群众生产和生活水平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trPr>
        <w:tc>
          <w:tcPr>
            <w:tcW w:w="103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1"/>
                <w:szCs w:val="21"/>
                <w:u w:val="none"/>
              </w:rPr>
            </w:pPr>
          </w:p>
        </w:tc>
        <w:tc>
          <w:tcPr>
            <w:tcW w:w="9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1"/>
                <w:szCs w:val="21"/>
                <w:u w:val="none"/>
              </w:rPr>
            </w:pP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经济效益</w:t>
            </w: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推动经济发展</w:t>
            </w:r>
          </w:p>
        </w:tc>
        <w:tc>
          <w:tcPr>
            <w:tcW w:w="20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推动经济发展</w:t>
            </w:r>
          </w:p>
        </w:tc>
        <w:tc>
          <w:tcPr>
            <w:tcW w:w="24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推动经济发展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103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1"/>
                <w:szCs w:val="21"/>
                <w:u w:val="none"/>
              </w:rPr>
            </w:pPr>
          </w:p>
        </w:tc>
        <w:tc>
          <w:tcPr>
            <w:tcW w:w="9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满意度指标</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服务对象满意度</w:t>
            </w: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项目区群众满意度</w:t>
            </w:r>
          </w:p>
        </w:tc>
        <w:tc>
          <w:tcPr>
            <w:tcW w:w="20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95%</w:t>
            </w:r>
          </w:p>
        </w:tc>
        <w:tc>
          <w:tcPr>
            <w:tcW w:w="24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95%</w:t>
            </w:r>
          </w:p>
        </w:tc>
      </w:tr>
    </w:tbl>
    <w:p>
      <w:pPr>
        <w:pStyle w:val="2"/>
        <w:rPr>
          <w:rFonts w:hint="eastAsia"/>
          <w:lang w:val="zh-CN"/>
        </w:rPr>
      </w:pPr>
    </w:p>
    <w:p>
      <w:pPr>
        <w:rPr>
          <w:rFonts w:hint="eastAsia"/>
          <w:lang w:val="zh-CN"/>
        </w:rPr>
      </w:pPr>
      <w:r>
        <w:rPr>
          <w:rFonts w:hint="eastAsia"/>
          <w:lang w:val="zh-CN"/>
        </w:rPr>
        <w:br w:type="page"/>
      </w:r>
    </w:p>
    <w:p>
      <w:pPr>
        <w:pStyle w:val="2"/>
        <w:rPr>
          <w:rFonts w:hint="eastAsia"/>
          <w:lang w:val="zh-CN"/>
        </w:rPr>
      </w:pPr>
    </w:p>
    <w:p>
      <w:pPr>
        <w:spacing w:line="600" w:lineRule="exact"/>
        <w:jc w:val="center"/>
        <w:rPr>
          <w:rFonts w:hint="eastAsia" w:ascii="方正小标宋简体" w:hAnsi="宋体" w:eastAsia="方正小标宋简体"/>
          <w:color w:val="000000"/>
          <w:kern w:val="0"/>
          <w:sz w:val="44"/>
          <w:szCs w:val="44"/>
        </w:rPr>
      </w:pPr>
      <w:r>
        <w:rPr>
          <w:rFonts w:hint="eastAsia" w:ascii="方正小标宋简体" w:hAnsi="宋体" w:eastAsia="方正小标宋简体"/>
          <w:color w:val="000000"/>
          <w:kern w:val="0"/>
          <w:sz w:val="44"/>
          <w:szCs w:val="44"/>
          <w:lang w:val="zh-CN"/>
        </w:rPr>
        <w:t>矿业权管理专项业务经费项目</w:t>
      </w:r>
      <w:r>
        <w:rPr>
          <w:rFonts w:ascii="方正小标宋简体" w:hAnsi="宋体" w:eastAsia="方正小标宋简体"/>
          <w:color w:val="000000"/>
          <w:kern w:val="0"/>
          <w:sz w:val="44"/>
          <w:szCs w:val="44"/>
        </w:rPr>
        <w:t>202</w:t>
      </w:r>
      <w:r>
        <w:rPr>
          <w:rFonts w:hint="eastAsia" w:ascii="方正小标宋简体" w:hAnsi="宋体" w:eastAsia="方正小标宋简体"/>
          <w:color w:val="000000"/>
          <w:kern w:val="0"/>
          <w:sz w:val="44"/>
          <w:szCs w:val="44"/>
          <w:lang w:val="en-US" w:eastAsia="zh-CN"/>
        </w:rPr>
        <w:t>1</w:t>
      </w:r>
      <w:r>
        <w:rPr>
          <w:rFonts w:hint="eastAsia" w:ascii="方正小标宋简体" w:hAnsi="宋体" w:eastAsia="方正小标宋简体"/>
          <w:color w:val="000000"/>
          <w:kern w:val="0"/>
          <w:sz w:val="44"/>
          <w:szCs w:val="44"/>
        </w:rPr>
        <w:t>年</w:t>
      </w:r>
    </w:p>
    <w:p>
      <w:pPr>
        <w:spacing w:line="600" w:lineRule="exact"/>
        <w:jc w:val="center"/>
        <w:rPr>
          <w:rFonts w:ascii="方正小标宋简体" w:hAnsi="宋体" w:eastAsia="方正小标宋简体"/>
          <w:color w:val="000000"/>
          <w:kern w:val="0"/>
          <w:sz w:val="44"/>
          <w:szCs w:val="44"/>
          <w:lang w:val="zh-CN"/>
        </w:rPr>
      </w:pPr>
      <w:r>
        <w:rPr>
          <w:rFonts w:hint="eastAsia" w:ascii="方正小标宋简体" w:hAnsi="宋体" w:eastAsia="方正小标宋简体"/>
          <w:color w:val="000000"/>
          <w:kern w:val="0"/>
          <w:sz w:val="44"/>
          <w:szCs w:val="44"/>
          <w:lang w:val="zh-CN"/>
        </w:rPr>
        <w:t>绩效评价报告</w:t>
      </w:r>
    </w:p>
    <w:p>
      <w:pPr>
        <w:spacing w:line="600" w:lineRule="exact"/>
        <w:rPr>
          <w:rFonts w:ascii="宋体"/>
          <w:sz w:val="32"/>
          <w:szCs w:val="32"/>
          <w:lang w:val="zh-CN"/>
        </w:rPr>
      </w:pPr>
    </w:p>
    <w:p>
      <w:pPr>
        <w:adjustRightInd w:val="0"/>
        <w:snapToGrid w:val="0"/>
        <w:spacing w:line="580" w:lineRule="exact"/>
        <w:ind w:firstLine="640" w:firstLineChars="20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580" w:lineRule="exact"/>
        <w:ind w:firstLine="640" w:firstLineChars="200"/>
        <w:rPr>
          <w:rFonts w:hint="eastAsia" w:ascii="楷体_GB2312" w:hAnsi="宋体" w:eastAsia="楷体_GB2312"/>
          <w:b w:val="0"/>
          <w:bCs/>
          <w:sz w:val="32"/>
          <w:szCs w:val="32"/>
          <w:lang w:val="zh-CN"/>
        </w:rPr>
      </w:pPr>
      <w:r>
        <w:rPr>
          <w:rFonts w:hint="eastAsia" w:ascii="楷体_GB2312" w:hAnsi="宋体" w:eastAsia="楷体_GB2312"/>
          <w:b w:val="0"/>
          <w:bCs/>
          <w:sz w:val="32"/>
          <w:szCs w:val="32"/>
          <w:lang w:val="zh-CN"/>
        </w:rPr>
        <w:t>（一）项目基本情况</w:t>
      </w:r>
    </w:p>
    <w:p>
      <w:pPr>
        <w:adjustRightInd w:val="0"/>
        <w:snapToGrid w:val="0"/>
        <w:spacing w:line="580" w:lineRule="exact"/>
        <w:ind w:firstLine="640" w:firstLineChars="200"/>
        <w:rPr>
          <w:rFonts w:hint="eastAsia" w:ascii="仿宋_GB2312" w:hAnsi="宋体" w:eastAsia="仿宋_GB2312"/>
          <w:sz w:val="32"/>
          <w:szCs w:val="32"/>
          <w:lang w:val="zh-CN"/>
        </w:rPr>
      </w:pPr>
      <w:r>
        <w:rPr>
          <w:rFonts w:ascii="仿宋_GB2312" w:hAnsi="宋体" w:eastAsia="仿宋_GB2312"/>
          <w:sz w:val="32"/>
          <w:szCs w:val="32"/>
          <w:lang w:val="zh-CN"/>
        </w:rPr>
        <w:t>1</w:t>
      </w:r>
      <w:r>
        <w:rPr>
          <w:rFonts w:hint="eastAsia" w:ascii="仿宋_GB2312" w:hAnsi="宋体" w:eastAsia="仿宋_GB2312"/>
          <w:sz w:val="32"/>
          <w:szCs w:val="32"/>
          <w:lang w:val="zh-CN"/>
        </w:rPr>
        <w:t>．职能职责</w:t>
      </w:r>
    </w:p>
    <w:p>
      <w:pPr>
        <w:spacing w:line="58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负责全市矿产资源管理工作。负责矿产资源储量管理及压覆矿产资源审核报批。负责矿业权管理。会同有关部门承担保护性开采的特定矿种、优势矿产的调控及相关管理工作。监督指导矿产资源合理利用和保护。</w:t>
      </w:r>
    </w:p>
    <w:p>
      <w:pPr>
        <w:numPr>
          <w:ilvl w:val="0"/>
          <w:numId w:val="7"/>
        </w:numPr>
        <w:adjustRightInd w:val="0"/>
        <w:snapToGrid w:val="0"/>
        <w:spacing w:line="580" w:lineRule="exact"/>
        <w:ind w:firstLine="640" w:firstLineChars="200"/>
        <w:rPr>
          <w:rFonts w:hint="eastAsia" w:ascii="仿宋_GB2312" w:hAnsi="宋体" w:eastAsia="仿宋_GB2312"/>
          <w:sz w:val="32"/>
          <w:szCs w:val="32"/>
          <w:lang w:val="zh-CN"/>
        </w:rPr>
      </w:pPr>
      <w:r>
        <w:rPr>
          <w:rFonts w:hint="eastAsia" w:ascii="仿宋_GB2312" w:hAnsi="宋体" w:eastAsia="仿宋_GB2312"/>
          <w:sz w:val="32"/>
          <w:szCs w:val="32"/>
          <w:lang w:val="zh-CN"/>
        </w:rPr>
        <w:t>项目立项、资金申报的依据。</w:t>
      </w:r>
    </w:p>
    <w:p>
      <w:pPr>
        <w:adjustRightInd w:val="0"/>
        <w:snapToGrid w:val="0"/>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lang w:val="zh-CN"/>
        </w:rPr>
        <w:t>广元市财政局、</w:t>
      </w:r>
      <w:r>
        <w:rPr>
          <w:rFonts w:hint="eastAsia" w:ascii="仿宋_GB2312" w:hAnsi="宋体" w:eastAsia="仿宋_GB2312"/>
          <w:sz w:val="32"/>
          <w:szCs w:val="32"/>
        </w:rPr>
        <w:t>广元市国土资源局、中国人民银行广元市中心支行关于印发《广元市矿业权出让收益征收管理实施细则》（暂行）（广财投〔2018〕69号）。</w:t>
      </w:r>
    </w:p>
    <w:p>
      <w:pPr>
        <w:numPr>
          <w:ilvl w:val="0"/>
          <w:numId w:val="7"/>
        </w:numPr>
        <w:adjustRightInd w:val="0"/>
        <w:snapToGrid w:val="0"/>
        <w:spacing w:line="580" w:lineRule="exact"/>
        <w:ind w:firstLine="640" w:firstLineChars="200"/>
        <w:rPr>
          <w:rFonts w:hint="eastAsia" w:ascii="仿宋_GB2312" w:hAnsi="宋体" w:eastAsia="仿宋_GB2312"/>
          <w:sz w:val="32"/>
          <w:szCs w:val="32"/>
          <w:lang w:val="zh-CN"/>
        </w:rPr>
      </w:pPr>
      <w:r>
        <w:rPr>
          <w:rFonts w:hint="eastAsia" w:ascii="仿宋_GB2312" w:hAnsi="宋体" w:eastAsia="仿宋_GB2312"/>
          <w:sz w:val="32"/>
          <w:szCs w:val="32"/>
          <w:lang w:val="zh-CN"/>
        </w:rPr>
        <w:t>资金管理办法制定情况，资金支持具体项目的条件、范围与支持方式概况。</w:t>
      </w:r>
    </w:p>
    <w:p>
      <w:pPr>
        <w:adjustRightInd w:val="0"/>
        <w:snapToGrid w:val="0"/>
        <w:spacing w:line="580" w:lineRule="exact"/>
        <w:ind w:firstLine="640" w:firstLineChars="200"/>
        <w:rPr>
          <w:rFonts w:hint="eastAsia" w:ascii="仿宋_GB2312" w:hAnsi="宋体" w:eastAsia="仿宋_GB2312"/>
          <w:sz w:val="32"/>
          <w:szCs w:val="32"/>
          <w:lang w:val="zh-CN"/>
        </w:rPr>
      </w:pPr>
      <w:r>
        <w:rPr>
          <w:rFonts w:hint="eastAsia" w:ascii="仿宋_GB2312" w:hAnsi="宋体" w:eastAsia="仿宋_GB2312"/>
          <w:sz w:val="32"/>
          <w:szCs w:val="32"/>
          <w:lang w:val="zh-CN"/>
        </w:rPr>
        <w:t>我局制定了《三重一大制度》，《财务管理制度》和《项目管理制度》，支付时严格按照相关制度执行，项目资金实行专款专用。</w:t>
      </w:r>
    </w:p>
    <w:p>
      <w:pPr>
        <w:numPr>
          <w:ilvl w:val="0"/>
          <w:numId w:val="7"/>
        </w:numPr>
        <w:adjustRightInd w:val="0"/>
        <w:snapToGrid w:val="0"/>
        <w:spacing w:line="580" w:lineRule="exact"/>
        <w:ind w:firstLine="640" w:firstLineChars="200"/>
        <w:rPr>
          <w:rFonts w:hint="eastAsia" w:ascii="仿宋_GB2312" w:hAnsi="宋体" w:eastAsia="仿宋_GB2312"/>
          <w:sz w:val="32"/>
          <w:szCs w:val="32"/>
          <w:lang w:val="zh-CN"/>
        </w:rPr>
      </w:pPr>
      <w:r>
        <w:rPr>
          <w:rFonts w:hint="eastAsia" w:ascii="仿宋_GB2312" w:hAnsi="宋体" w:eastAsia="仿宋_GB2312"/>
          <w:sz w:val="32"/>
          <w:szCs w:val="32"/>
          <w:lang w:val="zh-CN"/>
        </w:rPr>
        <w:t>资金分配的原则及考虑因素。</w:t>
      </w:r>
    </w:p>
    <w:p>
      <w:pPr>
        <w:adjustRightInd w:val="0"/>
        <w:snapToGrid w:val="0"/>
        <w:spacing w:line="580" w:lineRule="exact"/>
        <w:ind w:firstLine="640" w:firstLineChars="200"/>
        <w:rPr>
          <w:rFonts w:hint="eastAsia" w:ascii="仿宋_GB2312" w:hAnsi="宋体" w:eastAsia="仿宋_GB2312"/>
          <w:sz w:val="32"/>
          <w:szCs w:val="32"/>
          <w:lang w:val="zh-CN"/>
        </w:rPr>
      </w:pPr>
      <w:r>
        <w:rPr>
          <w:rFonts w:hint="eastAsia" w:ascii="仿宋_GB2312" w:hAnsi="宋体" w:eastAsia="仿宋_GB2312"/>
          <w:sz w:val="32"/>
          <w:szCs w:val="32"/>
          <w:lang w:val="zh-CN"/>
        </w:rPr>
        <w:t>此项目是一项财政一般公共预算的常规性项目，只是日常的工作经费，财政根据我局年初编报的项目绩效目标和通过市人大的审核后直接下达指标。</w:t>
      </w:r>
    </w:p>
    <w:p>
      <w:pPr>
        <w:adjustRightInd w:val="0"/>
        <w:snapToGrid w:val="0"/>
        <w:spacing w:line="580" w:lineRule="exact"/>
        <w:ind w:firstLine="640" w:firstLineChars="200"/>
        <w:rPr>
          <w:rFonts w:hint="eastAsia" w:ascii="楷体_GB2312" w:hAnsi="宋体" w:eastAsia="楷体_GB2312"/>
          <w:b w:val="0"/>
          <w:bCs/>
          <w:sz w:val="32"/>
          <w:szCs w:val="32"/>
          <w:lang w:val="zh-CN"/>
        </w:rPr>
      </w:pPr>
      <w:r>
        <w:rPr>
          <w:rFonts w:hint="eastAsia" w:ascii="楷体_GB2312" w:hAnsi="宋体" w:eastAsia="楷体_GB2312"/>
          <w:b w:val="0"/>
          <w:bCs/>
          <w:sz w:val="32"/>
          <w:szCs w:val="32"/>
          <w:lang w:val="zh-CN"/>
        </w:rPr>
        <w:t>（二）项目绩效目标</w:t>
      </w:r>
    </w:p>
    <w:p>
      <w:pPr>
        <w:adjustRightInd w:val="0"/>
        <w:snapToGrid w:val="0"/>
        <w:spacing w:line="580" w:lineRule="exact"/>
        <w:ind w:firstLine="640" w:firstLineChars="200"/>
        <w:rPr>
          <w:rFonts w:hint="eastAsia" w:ascii="仿宋_GB2312" w:hAnsi="宋体" w:eastAsia="仿宋_GB2312"/>
          <w:sz w:val="32"/>
          <w:szCs w:val="32"/>
          <w:lang w:val="zh-CN"/>
        </w:rPr>
      </w:pPr>
      <w:r>
        <w:rPr>
          <w:rFonts w:ascii="仿宋_GB2312" w:hAnsi="宋体" w:eastAsia="仿宋_GB2312"/>
          <w:sz w:val="32"/>
          <w:szCs w:val="32"/>
          <w:lang w:val="zh-CN"/>
        </w:rPr>
        <w:t>1</w:t>
      </w:r>
      <w:r>
        <w:rPr>
          <w:rFonts w:hint="eastAsia" w:ascii="仿宋_GB2312" w:hAnsi="宋体" w:eastAsia="仿宋_GB2312"/>
          <w:sz w:val="32"/>
          <w:szCs w:val="32"/>
          <w:lang w:val="zh-CN"/>
        </w:rPr>
        <w:t>．项目主要内容。</w:t>
      </w:r>
    </w:p>
    <w:p>
      <w:pPr>
        <w:adjustRightInd w:val="0"/>
        <w:snapToGrid w:val="0"/>
        <w:spacing w:line="580" w:lineRule="exact"/>
        <w:ind w:firstLine="640" w:firstLineChars="200"/>
        <w:rPr>
          <w:rFonts w:hint="eastAsia" w:ascii="仿宋_GB2312" w:hAnsi="宋体" w:eastAsia="仿宋_GB2312"/>
          <w:sz w:val="32"/>
          <w:szCs w:val="32"/>
          <w:lang w:val="zh-CN"/>
        </w:rPr>
      </w:pPr>
      <w:r>
        <w:rPr>
          <w:rFonts w:hint="eastAsia" w:ascii="仿宋_GB2312" w:hAnsi="宋体" w:eastAsia="仿宋_GB2312"/>
          <w:sz w:val="32"/>
          <w:szCs w:val="32"/>
          <w:lang w:val="zh-CN"/>
        </w:rPr>
        <w:t>开展市级出让矿业权前期地质调查、资源勘查、储量核实及出让收益评估等工作。</w:t>
      </w:r>
    </w:p>
    <w:p>
      <w:pPr>
        <w:numPr>
          <w:ilvl w:val="0"/>
          <w:numId w:val="8"/>
        </w:numPr>
        <w:adjustRightInd w:val="0"/>
        <w:snapToGrid w:val="0"/>
        <w:spacing w:line="580" w:lineRule="exact"/>
        <w:ind w:firstLine="640" w:firstLineChars="200"/>
        <w:rPr>
          <w:rFonts w:hint="eastAsia" w:ascii="仿宋_GB2312" w:hAnsi="宋体" w:eastAsia="仿宋_GB2312"/>
          <w:sz w:val="32"/>
          <w:szCs w:val="32"/>
          <w:lang w:val="zh-CN"/>
        </w:rPr>
      </w:pPr>
      <w:r>
        <w:rPr>
          <w:rFonts w:hint="eastAsia" w:ascii="仿宋_GB2312" w:hAnsi="宋体" w:eastAsia="仿宋_GB2312"/>
          <w:sz w:val="32"/>
          <w:szCs w:val="32"/>
          <w:lang w:val="zh-CN"/>
        </w:rPr>
        <w:t>项目应实现的具体绩效目标，包括目标的量化、细化情况以及项目实施进度计划等。</w:t>
      </w:r>
    </w:p>
    <w:p>
      <w:pPr>
        <w:adjustRightInd w:val="0"/>
        <w:snapToGrid w:val="0"/>
        <w:spacing w:line="580" w:lineRule="exact"/>
        <w:ind w:firstLine="640" w:firstLineChars="200"/>
        <w:rPr>
          <w:rFonts w:hint="eastAsia" w:ascii="仿宋_GB2312" w:hAnsi="宋体" w:eastAsia="仿宋_GB2312"/>
          <w:sz w:val="32"/>
          <w:szCs w:val="32"/>
          <w:lang w:val="en-US" w:eastAsia="zh-CN"/>
        </w:rPr>
      </w:pPr>
      <w:r>
        <w:rPr>
          <w:rFonts w:hint="eastAsia" w:ascii="仿宋_GB2312" w:hAnsi="宋体" w:eastAsia="仿宋_GB2312"/>
          <w:sz w:val="32"/>
          <w:szCs w:val="32"/>
          <w:lang w:val="zh-CN"/>
        </w:rPr>
        <w:t>开展市级出让矿业权</w:t>
      </w:r>
      <w:r>
        <w:rPr>
          <w:rFonts w:hint="eastAsia" w:ascii="仿宋_GB2312" w:hAnsi="宋体" w:eastAsia="仿宋_GB2312"/>
          <w:sz w:val="32"/>
          <w:szCs w:val="32"/>
          <w:lang w:val="en-US" w:eastAsia="zh-CN"/>
        </w:rPr>
        <w:t>4</w:t>
      </w:r>
      <w:r>
        <w:rPr>
          <w:rFonts w:hint="eastAsia" w:ascii="仿宋_GB2312" w:hAnsi="宋体" w:eastAsia="仿宋_GB2312"/>
          <w:sz w:val="32"/>
          <w:szCs w:val="32"/>
        </w:rPr>
        <w:t>个，</w:t>
      </w:r>
      <w:r>
        <w:rPr>
          <w:rFonts w:hint="eastAsia" w:ascii="仿宋_GB2312" w:hAnsi="宋体" w:eastAsia="仿宋_GB2312"/>
          <w:sz w:val="32"/>
          <w:szCs w:val="32"/>
          <w:lang w:val="en-US" w:eastAsia="zh-CN"/>
        </w:rPr>
        <w:t>出让可信储量3300万吨，重点项目保障砂石1000万吨，办结采矿权探矿权等级39件，实现政府收益。</w:t>
      </w:r>
    </w:p>
    <w:p>
      <w:pPr>
        <w:adjustRightInd w:val="0"/>
        <w:snapToGrid w:val="0"/>
        <w:spacing w:line="580" w:lineRule="exact"/>
        <w:ind w:firstLine="640" w:firstLineChars="200"/>
        <w:rPr>
          <w:rFonts w:hint="eastAsia" w:ascii="仿宋_GB2312" w:hAnsi="宋体" w:eastAsia="仿宋_GB2312"/>
          <w:sz w:val="32"/>
          <w:szCs w:val="32"/>
          <w:lang w:val="zh-CN"/>
        </w:rPr>
      </w:pPr>
      <w:r>
        <w:rPr>
          <w:rFonts w:hint="eastAsia" w:ascii="仿宋_GB2312" w:hAnsi="宋体" w:eastAsia="仿宋_GB2312"/>
          <w:sz w:val="32"/>
          <w:szCs w:val="32"/>
          <w:lang w:val="en-US" w:eastAsia="zh-CN"/>
        </w:rPr>
        <w:t>3.</w:t>
      </w:r>
      <w:r>
        <w:rPr>
          <w:rFonts w:hint="eastAsia" w:ascii="仿宋_GB2312" w:hAnsi="宋体" w:eastAsia="仿宋_GB2312"/>
          <w:sz w:val="32"/>
          <w:szCs w:val="32"/>
          <w:lang w:val="zh-CN"/>
        </w:rPr>
        <w:t>分析评价申报内容是否与实际相符，申报目标是否合理可行。</w:t>
      </w:r>
    </w:p>
    <w:p>
      <w:pPr>
        <w:adjustRightInd w:val="0"/>
        <w:snapToGrid w:val="0"/>
        <w:spacing w:line="580" w:lineRule="exact"/>
        <w:ind w:firstLine="640" w:firstLineChars="200"/>
        <w:rPr>
          <w:rFonts w:hint="eastAsia" w:ascii="仿宋_GB2312" w:hAnsi="宋体" w:eastAsia="仿宋_GB2312"/>
          <w:sz w:val="32"/>
          <w:szCs w:val="32"/>
          <w:lang w:val="zh-CN"/>
        </w:rPr>
      </w:pPr>
      <w:r>
        <w:rPr>
          <w:rFonts w:hint="eastAsia" w:ascii="仿宋_GB2312" w:hAnsi="宋体" w:eastAsia="仿宋_GB2312"/>
          <w:sz w:val="32"/>
          <w:szCs w:val="32"/>
          <w:lang w:val="zh-CN"/>
        </w:rPr>
        <w:t>矿业权管理专项业务经费申报的内容与实际相符，申报目标合理可行。</w:t>
      </w:r>
    </w:p>
    <w:p>
      <w:pPr>
        <w:adjustRightInd w:val="0"/>
        <w:snapToGrid w:val="0"/>
        <w:spacing w:line="580" w:lineRule="exact"/>
        <w:ind w:firstLine="640" w:firstLineChars="200"/>
        <w:rPr>
          <w:rFonts w:hint="eastAsia" w:ascii="楷体_GB2312" w:hAnsi="宋体" w:eastAsia="楷体_GB2312"/>
          <w:b w:val="0"/>
          <w:bCs/>
          <w:sz w:val="32"/>
          <w:szCs w:val="32"/>
          <w:lang w:val="zh-CN"/>
        </w:rPr>
      </w:pPr>
      <w:r>
        <w:rPr>
          <w:rFonts w:hint="eastAsia" w:ascii="楷体_GB2312" w:hAnsi="宋体" w:eastAsia="楷体_GB2312"/>
          <w:b w:val="0"/>
          <w:bCs/>
          <w:sz w:val="32"/>
          <w:szCs w:val="32"/>
          <w:lang w:val="zh-CN"/>
        </w:rPr>
        <w:t>（三）项目自评步骤及方法</w:t>
      </w:r>
    </w:p>
    <w:p>
      <w:pPr>
        <w:adjustRightInd w:val="0"/>
        <w:snapToGrid w:val="0"/>
        <w:spacing w:line="58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年末通过数量指标、质量指标及产生的社会效益和政府满意度来自评项目绩效完成情况。</w:t>
      </w:r>
    </w:p>
    <w:p>
      <w:pPr>
        <w:adjustRightInd w:val="0"/>
        <w:snapToGrid w:val="0"/>
        <w:spacing w:line="580" w:lineRule="exact"/>
        <w:ind w:firstLine="640" w:firstLineChars="20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580" w:lineRule="exact"/>
        <w:ind w:firstLine="640" w:firstLineChars="200"/>
        <w:rPr>
          <w:rFonts w:hint="eastAsia" w:ascii="楷体_GB2312" w:hAnsi="宋体" w:eastAsia="楷体_GB2312"/>
          <w:b w:val="0"/>
          <w:bCs/>
          <w:sz w:val="32"/>
          <w:szCs w:val="32"/>
          <w:lang w:val="zh-CN"/>
        </w:rPr>
      </w:pPr>
      <w:r>
        <w:rPr>
          <w:rFonts w:hint="eastAsia" w:ascii="楷体_GB2312" w:hAnsi="宋体" w:eastAsia="楷体_GB2312"/>
          <w:b w:val="0"/>
          <w:bCs/>
          <w:sz w:val="32"/>
          <w:szCs w:val="32"/>
          <w:lang w:val="zh-CN"/>
        </w:rPr>
        <w:t>（一）项目资金申报及批复情况</w:t>
      </w:r>
    </w:p>
    <w:p>
      <w:pPr>
        <w:adjustRightInd w:val="0"/>
        <w:snapToGrid w:val="0"/>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lang w:val="zh-CN"/>
        </w:rPr>
        <w:t>年初我局申报</w:t>
      </w:r>
      <w:r>
        <w:rPr>
          <w:rFonts w:hint="eastAsia" w:ascii="仿宋_GB2312" w:hAnsi="仿宋_GB2312" w:eastAsia="仿宋_GB2312" w:cs="仿宋_GB2312"/>
          <w:sz w:val="30"/>
          <w:szCs w:val="30"/>
        </w:rPr>
        <w:t>矿产资源管理</w:t>
      </w:r>
      <w:r>
        <w:rPr>
          <w:rFonts w:hint="eastAsia" w:ascii="仿宋_GB2312" w:hAnsi="宋体" w:eastAsia="仿宋_GB2312"/>
          <w:sz w:val="32"/>
          <w:szCs w:val="32"/>
          <w:lang w:val="zh-CN"/>
        </w:rPr>
        <w:t>工作经费</w:t>
      </w:r>
      <w:r>
        <w:rPr>
          <w:rFonts w:hint="eastAsia" w:ascii="仿宋_GB2312" w:hAnsi="宋体" w:eastAsia="仿宋_GB2312"/>
          <w:sz w:val="32"/>
          <w:szCs w:val="32"/>
          <w:lang w:val="en-US" w:eastAsia="zh-CN"/>
        </w:rPr>
        <w:t>20</w:t>
      </w:r>
      <w:r>
        <w:rPr>
          <w:rFonts w:hint="eastAsia" w:ascii="仿宋_GB2312" w:hAnsi="宋体" w:eastAsia="仿宋_GB2312"/>
          <w:sz w:val="32"/>
          <w:szCs w:val="32"/>
        </w:rPr>
        <w:t>万元，财政批复10万元。</w:t>
      </w:r>
    </w:p>
    <w:p>
      <w:pPr>
        <w:adjustRightInd w:val="0"/>
        <w:snapToGrid w:val="0"/>
        <w:spacing w:line="580" w:lineRule="exact"/>
        <w:ind w:firstLine="640" w:firstLineChars="200"/>
        <w:rPr>
          <w:rFonts w:hint="eastAsia" w:ascii="楷体_GB2312" w:hAnsi="宋体" w:eastAsia="楷体_GB2312"/>
          <w:b w:val="0"/>
          <w:bCs/>
          <w:sz w:val="32"/>
          <w:szCs w:val="32"/>
          <w:lang w:val="zh-CN"/>
        </w:rPr>
      </w:pPr>
      <w:r>
        <w:rPr>
          <w:rFonts w:hint="eastAsia" w:ascii="楷体_GB2312" w:hAnsi="宋体" w:eastAsia="楷体_GB2312"/>
          <w:b w:val="0"/>
          <w:bCs/>
          <w:sz w:val="32"/>
          <w:szCs w:val="32"/>
          <w:lang w:val="zh-CN"/>
        </w:rPr>
        <w:t>（二）资金计划、到位及使用情况（可用表格形式反映）</w:t>
      </w:r>
    </w:p>
    <w:p>
      <w:pPr>
        <w:adjustRightInd w:val="0"/>
        <w:snapToGrid w:val="0"/>
        <w:spacing w:line="580" w:lineRule="exact"/>
        <w:ind w:firstLine="640" w:firstLineChars="200"/>
        <w:rPr>
          <w:rFonts w:hint="eastAsia" w:ascii="楷体_GB2312" w:hAnsi="宋体" w:eastAsia="楷体_GB2312"/>
          <w:sz w:val="32"/>
          <w:szCs w:val="32"/>
          <w:lang w:val="zh-CN"/>
        </w:rPr>
      </w:pPr>
      <w:r>
        <w:rPr>
          <w:rFonts w:ascii="楷体_GB2312" w:hAnsi="宋体" w:eastAsia="楷体_GB2312"/>
          <w:sz w:val="32"/>
          <w:szCs w:val="32"/>
          <w:lang w:val="zh-CN"/>
        </w:rPr>
        <w:t>1</w:t>
      </w:r>
      <w:r>
        <w:rPr>
          <w:rFonts w:hint="eastAsia" w:ascii="楷体_GB2312" w:hAnsi="宋体" w:eastAsia="楷体_GB2312"/>
          <w:sz w:val="32"/>
          <w:szCs w:val="32"/>
          <w:lang w:val="zh-CN"/>
        </w:rPr>
        <w:t>．资金计划。</w:t>
      </w:r>
    </w:p>
    <w:p>
      <w:pPr>
        <w:adjustRightInd w:val="0"/>
        <w:snapToGrid w:val="0"/>
        <w:spacing w:line="58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此项目属于常规性工作经费项目，财政用一般公共预算资金安排资金10.00万元。</w:t>
      </w:r>
    </w:p>
    <w:p>
      <w:pPr>
        <w:numPr>
          <w:ilvl w:val="0"/>
          <w:numId w:val="9"/>
        </w:numPr>
        <w:adjustRightInd w:val="0"/>
        <w:snapToGrid w:val="0"/>
        <w:spacing w:line="580" w:lineRule="exact"/>
        <w:ind w:firstLine="640" w:firstLineChars="200"/>
        <w:rPr>
          <w:rFonts w:hint="eastAsia" w:ascii="楷体_GB2312" w:hAnsi="宋体" w:eastAsia="楷体_GB2312"/>
          <w:sz w:val="32"/>
          <w:szCs w:val="32"/>
          <w:lang w:val="zh-CN"/>
        </w:rPr>
      </w:pPr>
      <w:r>
        <w:rPr>
          <w:rFonts w:hint="eastAsia" w:ascii="楷体_GB2312" w:hAnsi="宋体" w:eastAsia="楷体_GB2312"/>
          <w:sz w:val="32"/>
          <w:szCs w:val="32"/>
          <w:lang w:val="zh-CN"/>
        </w:rPr>
        <w:t>资金到位。</w:t>
      </w:r>
    </w:p>
    <w:p>
      <w:pPr>
        <w:adjustRightInd w:val="0"/>
        <w:snapToGrid w:val="0"/>
        <w:spacing w:line="58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截止202</w:t>
      </w:r>
      <w:r>
        <w:rPr>
          <w:rFonts w:hint="eastAsia" w:ascii="仿宋_GB2312" w:hAnsi="宋体" w:eastAsia="仿宋_GB2312"/>
          <w:sz w:val="32"/>
          <w:szCs w:val="32"/>
          <w:lang w:val="en-US" w:eastAsia="zh-CN"/>
        </w:rPr>
        <w:t>1</w:t>
      </w:r>
      <w:r>
        <w:rPr>
          <w:rFonts w:hint="eastAsia" w:ascii="仿宋_GB2312" w:hAnsi="宋体" w:eastAsia="仿宋_GB2312"/>
          <w:sz w:val="32"/>
          <w:szCs w:val="32"/>
          <w:lang w:val="zh-CN"/>
        </w:rPr>
        <w:t>年12月31日，财政拨付一般公共预算项目资金10.00万元。</w:t>
      </w:r>
    </w:p>
    <w:p>
      <w:pPr>
        <w:numPr>
          <w:ilvl w:val="0"/>
          <w:numId w:val="9"/>
        </w:numPr>
        <w:adjustRightInd w:val="0"/>
        <w:snapToGrid w:val="0"/>
        <w:spacing w:line="580" w:lineRule="exact"/>
        <w:ind w:firstLine="640" w:firstLineChars="200"/>
        <w:rPr>
          <w:rFonts w:hint="eastAsia" w:ascii="楷体_GB2312" w:hAnsi="宋体" w:eastAsia="楷体_GB2312"/>
          <w:sz w:val="32"/>
          <w:szCs w:val="32"/>
          <w:lang w:val="zh-CN"/>
        </w:rPr>
      </w:pPr>
      <w:r>
        <w:rPr>
          <w:rFonts w:hint="eastAsia" w:ascii="楷体_GB2312" w:hAnsi="宋体" w:eastAsia="楷体_GB2312"/>
          <w:sz w:val="32"/>
          <w:szCs w:val="32"/>
          <w:lang w:val="zh-CN"/>
        </w:rPr>
        <w:t>资金使用。</w:t>
      </w:r>
    </w:p>
    <w:p>
      <w:pPr>
        <w:adjustRightInd w:val="0"/>
        <w:snapToGrid w:val="0"/>
        <w:spacing w:line="58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全年支付矿业权管理专项经费</w:t>
      </w:r>
      <w:r>
        <w:rPr>
          <w:rFonts w:hint="eastAsia" w:ascii="仿宋_GB2312" w:hAnsi="宋体" w:eastAsia="仿宋_GB2312"/>
          <w:sz w:val="32"/>
          <w:szCs w:val="32"/>
        </w:rPr>
        <w:t>10万元，主要包括矿权出让评估、规划编制费、矿权储量核实的差旅费，打印费、宣传费等费用。</w:t>
      </w:r>
    </w:p>
    <w:p>
      <w:pPr>
        <w:adjustRightInd w:val="0"/>
        <w:snapToGrid w:val="0"/>
        <w:spacing w:line="580" w:lineRule="exact"/>
        <w:ind w:firstLine="640" w:firstLineChars="200"/>
        <w:rPr>
          <w:rFonts w:hint="eastAsia" w:ascii="楷体_GB2312" w:hAnsi="宋体" w:eastAsia="楷体_GB2312"/>
          <w:b w:val="0"/>
          <w:bCs/>
          <w:sz w:val="32"/>
          <w:szCs w:val="32"/>
          <w:lang w:val="zh-CN"/>
        </w:rPr>
      </w:pPr>
      <w:r>
        <w:rPr>
          <w:rFonts w:hint="eastAsia" w:ascii="楷体_GB2312" w:hAnsi="宋体" w:eastAsia="楷体_GB2312"/>
          <w:b w:val="0"/>
          <w:bCs/>
          <w:sz w:val="32"/>
          <w:szCs w:val="32"/>
          <w:lang w:val="zh-CN"/>
        </w:rPr>
        <w:t>（三）项目财务管理情况</w:t>
      </w:r>
    </w:p>
    <w:p>
      <w:pPr>
        <w:adjustRightInd w:val="0"/>
        <w:snapToGrid w:val="0"/>
        <w:spacing w:line="580" w:lineRule="exact"/>
        <w:ind w:firstLine="640" w:firstLineChars="200"/>
        <w:rPr>
          <w:rFonts w:hint="eastAsia" w:ascii="楷体_GB2312" w:hAnsi="宋体" w:eastAsia="楷体_GB2312"/>
          <w:bCs/>
          <w:sz w:val="32"/>
          <w:szCs w:val="32"/>
        </w:rPr>
      </w:pPr>
      <w:r>
        <w:rPr>
          <w:rFonts w:hint="eastAsia" w:ascii="楷体_GB2312" w:hAnsi="宋体" w:eastAsia="楷体_GB2312"/>
          <w:bCs/>
          <w:sz w:val="32"/>
          <w:szCs w:val="32"/>
        </w:rPr>
        <w:t>我局制度了《财务管理制度》和《专项资金管理制度》，项目支付过程中严格执行相关制度，专款专用，无截留，无挪用的现象。</w:t>
      </w:r>
    </w:p>
    <w:p>
      <w:pPr>
        <w:adjustRightInd w:val="0"/>
        <w:snapToGrid w:val="0"/>
        <w:spacing w:line="580" w:lineRule="exact"/>
        <w:ind w:firstLine="640" w:firstLineChars="200"/>
        <w:rPr>
          <w:rFonts w:ascii="黑体" w:hAnsi="宋体" w:eastAsia="黑体"/>
          <w:sz w:val="32"/>
          <w:szCs w:val="32"/>
        </w:rPr>
      </w:pPr>
      <w:r>
        <w:rPr>
          <w:rFonts w:hint="eastAsia" w:ascii="黑体" w:hAnsi="宋体" w:eastAsia="黑体"/>
          <w:sz w:val="32"/>
          <w:szCs w:val="32"/>
        </w:rPr>
        <w:t>三、项目实施及管理情况</w:t>
      </w:r>
    </w:p>
    <w:p>
      <w:pPr>
        <w:adjustRightInd w:val="0"/>
        <w:snapToGrid w:val="0"/>
        <w:spacing w:line="58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矿业权管理专项业务经费属于财政下达的常规一般公共项目，都是工作经费，专门用于全市市级矿业权前期地质调查、资源勘查、储量核实及出让收益等日常工作经费，资金使用坚持专款专用，完成预期计划。</w:t>
      </w:r>
    </w:p>
    <w:p>
      <w:pPr>
        <w:adjustRightInd w:val="0"/>
        <w:snapToGrid w:val="0"/>
        <w:spacing w:line="580" w:lineRule="exact"/>
        <w:ind w:firstLine="640" w:firstLineChars="200"/>
        <w:rPr>
          <w:rFonts w:hint="eastAsia" w:ascii="楷体_GB2312" w:hAnsi="宋体" w:eastAsia="楷体_GB2312"/>
          <w:b w:val="0"/>
          <w:bCs/>
          <w:sz w:val="32"/>
          <w:szCs w:val="32"/>
          <w:lang w:val="zh-CN"/>
        </w:rPr>
      </w:pPr>
      <w:r>
        <w:rPr>
          <w:rFonts w:hint="eastAsia" w:ascii="楷体_GB2312" w:hAnsi="宋体" w:eastAsia="楷体_GB2312"/>
          <w:b w:val="0"/>
          <w:bCs/>
          <w:sz w:val="32"/>
          <w:szCs w:val="32"/>
          <w:lang w:val="zh-CN"/>
        </w:rPr>
        <w:t>（一）项目完成情况</w:t>
      </w:r>
    </w:p>
    <w:p>
      <w:pPr>
        <w:adjustRightInd w:val="0"/>
        <w:snapToGrid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一是矿产资源规划完成。完成了《广元市矿产资源总体规划（2021-2025）》（送审稿），提出了以砂石建材保障重要门户枢纽建设、以全域地热温泉支撑康养旅游胜地、以优势矿产资源高质量开发助力幸福美丽家园，为全面建设社会主义现代化广元提供有力保障。二是重点项目资源保障落实。公开挂牌出让的青川建峰镇青风村灰岩矿、清溪平桥村蒲家沟灰岩矿及剑阁下寺灰岩4个采矿权成功摘牌，出让可信储量3300万吨。二是完成市级办结采矿权探矿权登记39件，上报省厅15件，全市实现采矿权出让收益31763万元，同比增长1500%，为重点项目保障砂石资源约1000万吨，有力支撑了广平高速、京昆高速绵广复线、绵万高速、西部建材家居城等建设项目需求。三是完成了矿业权出让基准价调整更新。四是全面系统完成了矿业权专项清理工作，共清理全市有效采矿权157个，有效探矿权33个。</w:t>
      </w:r>
    </w:p>
    <w:p>
      <w:pPr>
        <w:adjustRightInd w:val="0"/>
        <w:snapToGrid w:val="0"/>
        <w:spacing w:line="580" w:lineRule="exact"/>
        <w:ind w:firstLine="640" w:firstLineChars="200"/>
        <w:rPr>
          <w:rFonts w:hint="eastAsia" w:ascii="楷体_GB2312" w:hAnsi="宋体" w:eastAsia="楷体_GB2312"/>
          <w:b w:val="0"/>
          <w:bCs/>
          <w:sz w:val="32"/>
          <w:szCs w:val="32"/>
          <w:lang w:val="zh-CN"/>
        </w:rPr>
      </w:pPr>
      <w:r>
        <w:rPr>
          <w:rFonts w:hint="eastAsia" w:ascii="楷体_GB2312" w:hAnsi="宋体" w:eastAsia="楷体_GB2312"/>
          <w:b w:val="0"/>
          <w:bCs/>
          <w:sz w:val="32"/>
          <w:szCs w:val="32"/>
          <w:lang w:val="zh-CN"/>
        </w:rPr>
        <w:t>（二）项目效益情况。</w:t>
      </w:r>
    </w:p>
    <w:p>
      <w:pPr>
        <w:adjustRightInd w:val="0"/>
        <w:snapToGrid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1.全年实现市本级矿权出让</w:t>
      </w:r>
      <w:r>
        <w:rPr>
          <w:rFonts w:hint="eastAsia" w:ascii="仿宋_GB2312" w:eastAsia="仿宋_GB2312"/>
          <w:sz w:val="32"/>
          <w:szCs w:val="32"/>
          <w:lang w:val="en-US" w:eastAsia="zh-CN"/>
        </w:rPr>
        <w:t>4</w:t>
      </w:r>
      <w:r>
        <w:rPr>
          <w:rFonts w:hint="eastAsia" w:ascii="仿宋_GB2312" w:eastAsia="仿宋_GB2312"/>
          <w:sz w:val="32"/>
          <w:szCs w:val="32"/>
        </w:rPr>
        <w:t>个</w:t>
      </w:r>
      <w:r>
        <w:rPr>
          <w:rFonts w:hint="eastAsia" w:ascii="仿宋_GB2312" w:eastAsia="仿宋_GB2312"/>
          <w:sz w:val="32"/>
          <w:szCs w:val="32"/>
          <w:lang w:val="en-US" w:eastAsia="zh-CN"/>
        </w:rPr>
        <w:t>出让可信储量3300万吨，重点项目保障砂石1000万吨，白洁采矿权探矿权39件，实现政府收益31763万元。</w:t>
      </w:r>
    </w:p>
    <w:p>
      <w:pPr>
        <w:adjustRightInd w:val="0"/>
        <w:snapToGrid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2.有力支撑了广平高速、京昆高速绵广复线、绵万高速、西部建材家居城等建设项目需求</w:t>
      </w:r>
      <w:r>
        <w:rPr>
          <w:rFonts w:hint="eastAsia" w:ascii="仿宋_GB2312" w:eastAsia="仿宋_GB2312"/>
          <w:sz w:val="32"/>
          <w:szCs w:val="32"/>
          <w:lang w:eastAsia="zh-CN"/>
        </w:rPr>
        <w:t>。</w:t>
      </w:r>
    </w:p>
    <w:p>
      <w:pPr>
        <w:adjustRightInd w:val="0"/>
        <w:snapToGrid w:val="0"/>
        <w:spacing w:line="580" w:lineRule="exact"/>
        <w:ind w:firstLine="640" w:firstLineChars="200"/>
        <w:rPr>
          <w:rFonts w:ascii="黑体" w:hAnsi="宋体" w:eastAsia="黑体"/>
          <w:sz w:val="32"/>
          <w:szCs w:val="32"/>
        </w:rPr>
      </w:pPr>
      <w:r>
        <w:rPr>
          <w:rFonts w:hint="eastAsia" w:ascii="黑体" w:hAnsi="宋体" w:eastAsia="黑体"/>
          <w:sz w:val="32"/>
          <w:szCs w:val="32"/>
        </w:rPr>
        <w:t>五、评价结论及建议</w:t>
      </w:r>
    </w:p>
    <w:p>
      <w:pPr>
        <w:adjustRightInd w:val="0"/>
        <w:snapToGrid w:val="0"/>
        <w:spacing w:line="580" w:lineRule="exact"/>
        <w:ind w:firstLine="640" w:firstLineChars="200"/>
        <w:rPr>
          <w:rFonts w:hint="eastAsia" w:ascii="楷体_GB2312" w:hAnsi="宋体" w:eastAsia="楷体_GB2312"/>
          <w:b w:val="0"/>
          <w:bCs/>
          <w:sz w:val="32"/>
          <w:szCs w:val="32"/>
          <w:lang w:val="zh-CN"/>
        </w:rPr>
      </w:pPr>
      <w:r>
        <w:rPr>
          <w:rFonts w:hint="eastAsia" w:ascii="楷体_GB2312" w:hAnsi="宋体" w:eastAsia="楷体_GB2312"/>
          <w:b w:val="0"/>
          <w:bCs/>
          <w:sz w:val="32"/>
          <w:szCs w:val="32"/>
          <w:lang w:val="zh-CN"/>
        </w:rPr>
        <w:t>（一）评价结论</w:t>
      </w:r>
    </w:p>
    <w:p>
      <w:pPr>
        <w:adjustRightInd w:val="0"/>
        <w:snapToGrid w:val="0"/>
        <w:spacing w:line="580" w:lineRule="exact"/>
        <w:ind w:firstLine="640" w:firstLineChars="200"/>
        <w:rPr>
          <w:rFonts w:ascii="仿宋_GB2312" w:hAnsi="宋体" w:eastAsia="仿宋_GB2312"/>
          <w:sz w:val="32"/>
          <w:szCs w:val="32"/>
          <w:bdr w:val="single" w:color="auto" w:sz="4" w:space="0"/>
          <w:lang w:val="zh-CN"/>
        </w:rPr>
      </w:pPr>
      <w:r>
        <w:rPr>
          <w:rFonts w:hint="eastAsia" w:ascii="仿宋_GB2312" w:hAnsi="宋体" w:eastAsia="仿宋_GB2312"/>
          <w:sz w:val="32"/>
          <w:szCs w:val="32"/>
          <w:lang w:val="zh-CN"/>
        </w:rPr>
        <w:t>通过自评，自评得分</w:t>
      </w:r>
      <w:r>
        <w:rPr>
          <w:rFonts w:hint="eastAsia" w:ascii="仿宋_GB2312" w:hAnsi="宋体" w:eastAsia="仿宋_GB2312"/>
          <w:sz w:val="32"/>
          <w:szCs w:val="32"/>
        </w:rPr>
        <w:t>100分。</w:t>
      </w:r>
    </w:p>
    <w:p>
      <w:pPr>
        <w:adjustRightInd w:val="0"/>
        <w:snapToGrid w:val="0"/>
        <w:spacing w:line="580" w:lineRule="exact"/>
        <w:ind w:firstLine="640" w:firstLineChars="200"/>
        <w:rPr>
          <w:rFonts w:hint="eastAsia" w:ascii="楷体_GB2312" w:hAnsi="宋体" w:eastAsia="楷体_GB2312"/>
          <w:b w:val="0"/>
          <w:bCs/>
          <w:sz w:val="32"/>
          <w:szCs w:val="32"/>
          <w:lang w:val="zh-CN"/>
        </w:rPr>
      </w:pPr>
      <w:r>
        <w:rPr>
          <w:rFonts w:hint="eastAsia" w:ascii="楷体_GB2312" w:hAnsi="宋体" w:eastAsia="楷体_GB2312"/>
          <w:b w:val="0"/>
          <w:bCs/>
          <w:sz w:val="32"/>
          <w:szCs w:val="32"/>
          <w:lang w:val="zh-CN"/>
        </w:rPr>
        <w:t>（二）存在的问题</w:t>
      </w:r>
    </w:p>
    <w:p>
      <w:pPr>
        <w:adjustRightInd w:val="0"/>
        <w:snapToGrid w:val="0"/>
        <w:spacing w:line="58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预算指标需进一步细化。</w:t>
      </w:r>
    </w:p>
    <w:p>
      <w:pPr>
        <w:adjustRightInd w:val="0"/>
        <w:snapToGrid w:val="0"/>
        <w:spacing w:line="580" w:lineRule="exact"/>
        <w:ind w:firstLine="640" w:firstLineChars="200"/>
        <w:rPr>
          <w:rFonts w:hint="eastAsia" w:ascii="楷体_GB2312" w:hAnsi="宋体" w:eastAsia="楷体_GB2312"/>
          <w:b w:val="0"/>
          <w:bCs/>
          <w:sz w:val="32"/>
          <w:szCs w:val="32"/>
          <w:lang w:val="zh-CN"/>
        </w:rPr>
      </w:pPr>
      <w:r>
        <w:rPr>
          <w:rFonts w:hint="eastAsia" w:ascii="楷体_GB2312" w:hAnsi="宋体" w:eastAsia="楷体_GB2312"/>
          <w:b w:val="0"/>
          <w:bCs/>
          <w:sz w:val="32"/>
          <w:szCs w:val="32"/>
          <w:lang w:val="zh-CN"/>
        </w:rPr>
        <w:t>（三）相关建议</w:t>
      </w:r>
    </w:p>
    <w:p>
      <w:pPr>
        <w:pStyle w:val="2"/>
        <w:rPr>
          <w:rFonts w:hint="eastAsia" w:ascii="仿宋_GB2312" w:hAnsi="宋体" w:eastAsia="仿宋_GB2312" w:cs="宋体"/>
          <w:b w:val="0"/>
          <w:bCs w:val="0"/>
          <w:color w:val="auto"/>
          <w:kern w:val="0"/>
          <w:sz w:val="32"/>
          <w:szCs w:val="32"/>
          <w:highlight w:val="none"/>
          <w:shd w:val="clear" w:color="auto" w:fill="FFFFFF"/>
          <w:lang w:val="zh-CN"/>
        </w:rPr>
      </w:pPr>
      <w:r>
        <w:rPr>
          <w:rFonts w:hint="eastAsia" w:ascii="仿宋_GB2312" w:hAnsi="宋体" w:eastAsia="仿宋_GB2312" w:cs="Times New Roman"/>
          <w:sz w:val="32"/>
          <w:szCs w:val="32"/>
          <w:lang w:val="zh-CN" w:eastAsia="zh-CN"/>
        </w:rPr>
        <w:t>为了提高预算编制的科学性、合理性，下一步改进措施是完善绩效目标相关指标,建立健全项目管理制度,层层分解任务,明确相关人员责任,落实到位。</w:t>
      </w:r>
    </w:p>
    <w:p>
      <w:pPr>
        <w:pStyle w:val="2"/>
        <w:rPr>
          <w:rFonts w:hint="eastAsia" w:ascii="仿宋_GB2312" w:hAnsi="宋体" w:eastAsia="仿宋_GB2312" w:cs="宋体"/>
          <w:b w:val="0"/>
          <w:bCs w:val="0"/>
          <w:color w:val="auto"/>
          <w:kern w:val="0"/>
          <w:sz w:val="32"/>
          <w:szCs w:val="32"/>
          <w:highlight w:val="none"/>
          <w:shd w:val="clear" w:color="auto" w:fill="FFFFFF"/>
          <w:lang w:val="zh-CN"/>
        </w:rPr>
      </w:pPr>
    </w:p>
    <w:p>
      <w:pPr>
        <w:rPr>
          <w:rFonts w:hint="eastAsia" w:ascii="方正小标宋简体" w:hAnsi="宋体" w:eastAsia="方正小标宋简体"/>
          <w:color w:val="000000"/>
          <w:kern w:val="0"/>
          <w:sz w:val="44"/>
          <w:szCs w:val="44"/>
          <w:lang w:val="zh-CN"/>
        </w:rPr>
      </w:pPr>
    </w:p>
    <w:p>
      <w:pPr>
        <w:rPr>
          <w:rFonts w:hint="eastAsia" w:ascii="方正小标宋_GBK" w:hAnsi="方正小标宋_GBK" w:eastAsia="方正小标宋_GBK" w:cs="方正小标宋_GBK"/>
          <w:i w:val="0"/>
          <w:iCs w:val="0"/>
          <w:color w:val="000000"/>
          <w:kern w:val="0"/>
          <w:sz w:val="44"/>
          <w:szCs w:val="44"/>
          <w:u w:val="none"/>
          <w:lang w:val="en-US" w:eastAsia="zh-CN" w:bidi="ar"/>
        </w:rPr>
      </w:pPr>
      <w:r>
        <w:rPr>
          <w:rFonts w:hint="eastAsia" w:ascii="方正小标宋_GBK" w:hAnsi="方正小标宋_GBK" w:eastAsia="方正小标宋_GBK" w:cs="方正小标宋_GBK"/>
          <w:i w:val="0"/>
          <w:iCs w:val="0"/>
          <w:color w:val="000000"/>
          <w:kern w:val="0"/>
          <w:sz w:val="44"/>
          <w:szCs w:val="44"/>
          <w:u w:val="none"/>
          <w:lang w:val="en-US" w:eastAsia="zh-CN" w:bidi="ar"/>
        </w:rPr>
        <w:br w:type="page"/>
      </w: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方正小标宋_GBK" w:hAnsi="方正小标宋_GBK" w:eastAsia="方正小标宋_GBK" w:cs="方正小标宋_GBK"/>
          <w:i w:val="0"/>
          <w:iCs w:val="0"/>
          <w:color w:val="000000"/>
          <w:kern w:val="0"/>
          <w:sz w:val="44"/>
          <w:szCs w:val="44"/>
          <w:u w:val="none"/>
          <w:lang w:val="zh-CN" w:eastAsia="zh-CN" w:bidi="ar"/>
        </w:rPr>
      </w:pPr>
      <w:r>
        <w:rPr>
          <w:rFonts w:hint="eastAsia" w:ascii="方正小标宋_GBK" w:hAnsi="方正小标宋_GBK" w:eastAsia="方正小标宋_GBK" w:cs="方正小标宋_GBK"/>
          <w:i w:val="0"/>
          <w:iCs w:val="0"/>
          <w:color w:val="000000"/>
          <w:kern w:val="0"/>
          <w:sz w:val="44"/>
          <w:szCs w:val="44"/>
          <w:u w:val="none"/>
          <w:lang w:val="en-US" w:eastAsia="zh-CN" w:bidi="ar"/>
        </w:rPr>
        <w:t>项目支出绩效目标自评表</w:t>
      </w:r>
    </w:p>
    <w:p>
      <w:pPr>
        <w:jc w:val="center"/>
        <w:rPr>
          <w:rFonts w:hint="eastAsia"/>
          <w:lang w:val="zh-CN"/>
        </w:rPr>
      </w:pPr>
      <w:r>
        <w:rPr>
          <w:rFonts w:hint="eastAsia" w:ascii="楷体_GB2312" w:hAnsi="楷体_GB2312" w:eastAsia="楷体_GB2312" w:cs="楷体_GB2312"/>
          <w:i w:val="0"/>
          <w:iCs w:val="0"/>
          <w:color w:val="000000"/>
          <w:kern w:val="0"/>
          <w:sz w:val="32"/>
          <w:szCs w:val="32"/>
          <w:u w:val="none"/>
          <w:lang w:val="en-US" w:eastAsia="zh-CN" w:bidi="ar"/>
        </w:rPr>
        <w:t>(2021年度)</w:t>
      </w:r>
    </w:p>
    <w:tbl>
      <w:tblPr>
        <w:tblStyle w:val="12"/>
        <w:tblW w:w="8819"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82"/>
        <w:gridCol w:w="980"/>
        <w:gridCol w:w="251"/>
        <w:gridCol w:w="829"/>
        <w:gridCol w:w="552"/>
        <w:gridCol w:w="2016"/>
        <w:gridCol w:w="32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5" w:hRule="atLeast"/>
        </w:trPr>
        <w:tc>
          <w:tcPr>
            <w:tcW w:w="22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项目名称</w:t>
            </w:r>
          </w:p>
        </w:tc>
        <w:tc>
          <w:tcPr>
            <w:tcW w:w="66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矿业权管理专项业务经费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4" w:hRule="atLeast"/>
        </w:trPr>
        <w:tc>
          <w:tcPr>
            <w:tcW w:w="22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预算单位</w:t>
            </w:r>
          </w:p>
        </w:tc>
        <w:tc>
          <w:tcPr>
            <w:tcW w:w="66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广元市自然资源局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82"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预算执行情况(万元)</w:t>
            </w:r>
          </w:p>
        </w:tc>
        <w:tc>
          <w:tcPr>
            <w:tcW w:w="12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预算数:</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25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执行数:</w:t>
            </w:r>
          </w:p>
        </w:tc>
        <w:tc>
          <w:tcPr>
            <w:tcW w:w="3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4" w:hRule="atLeast"/>
        </w:trPr>
        <w:tc>
          <w:tcPr>
            <w:tcW w:w="982"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1"/>
                <w:szCs w:val="21"/>
                <w:u w:val="none"/>
              </w:rPr>
            </w:pPr>
          </w:p>
        </w:tc>
        <w:tc>
          <w:tcPr>
            <w:tcW w:w="12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其中-财政拨款:</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25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其中-财政拨款:</w:t>
            </w:r>
          </w:p>
        </w:tc>
        <w:tc>
          <w:tcPr>
            <w:tcW w:w="3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5" w:hRule="atLeast"/>
        </w:trPr>
        <w:tc>
          <w:tcPr>
            <w:tcW w:w="982"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1"/>
                <w:szCs w:val="21"/>
                <w:u w:val="none"/>
              </w:rPr>
            </w:pPr>
          </w:p>
        </w:tc>
        <w:tc>
          <w:tcPr>
            <w:tcW w:w="12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其它资金:</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25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其它资金:</w:t>
            </w:r>
          </w:p>
        </w:tc>
        <w:tc>
          <w:tcPr>
            <w:tcW w:w="3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5" w:hRule="atLeast"/>
        </w:trPr>
        <w:tc>
          <w:tcPr>
            <w:tcW w:w="9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年度目标完成情况</w:t>
            </w:r>
          </w:p>
        </w:tc>
        <w:tc>
          <w:tcPr>
            <w:tcW w:w="20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预期目标</w:t>
            </w:r>
          </w:p>
        </w:tc>
        <w:tc>
          <w:tcPr>
            <w:tcW w:w="57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实际完成目标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52" w:hRule="atLeast"/>
        </w:trPr>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20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矿业权市场基准价确定；矿山地质保护与土地复垦方案审查，市级颁证的矿产资源储量、开发利用方案、矿山地质环境保护与土地督察方案等技术报告审查，市级出让矿业权的评估费用等。</w:t>
            </w:r>
          </w:p>
        </w:tc>
        <w:tc>
          <w:tcPr>
            <w:tcW w:w="57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是矿产资源规划完成。完成了《广元市矿产资源总体规划（2021-2025）》（送审稿），提出了以砂石建材保障重要门户枢纽建设、以全域地热温泉支撑康养旅游胜地、以优势矿产资源高质量开发助力幸福美丽家园，为全面建设社会主义现代化广元提供有力保障。二是重点项目资源保障落实。公开挂牌出让的青川建峰镇青风村灰岩矿、清溪平桥村蒲家沟灰岩矿及剑阁下寺灰岩4个采矿权成功摘牌，出让可信储量3300万吨。二是完成市级办结采矿权探矿权登记39件，上报省厅15件，全市实现采矿权出让收益31763万元，同比增长1500%，为重点项目保障砂石资源约1000万吨，有力支撑了广平高速、京昆高速绵广复线、绵万高速、西部建材家居城等建设项目需求。三是完成了矿业权出让基准价调整更新。四是全面系统完成了矿业权专项清理工作，共清理全市有效采矿权157个，有效探矿权33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4" w:hRule="atLeast"/>
        </w:trPr>
        <w:tc>
          <w:tcPr>
            <w:tcW w:w="9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年度绩效指标完成情况</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一级指标</w:t>
            </w:r>
          </w:p>
        </w:tc>
        <w:tc>
          <w:tcPr>
            <w:tcW w:w="16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二级指标</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预期指标值(包含数字及文字描述)</w:t>
            </w:r>
          </w:p>
        </w:tc>
        <w:tc>
          <w:tcPr>
            <w:tcW w:w="3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实际完成指标值(包含数字及文字描述)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9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项目完成指标</w:t>
            </w:r>
          </w:p>
        </w:tc>
        <w:tc>
          <w:tcPr>
            <w:tcW w:w="163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数量指标</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采矿权挂牌出让4个</w:t>
            </w:r>
          </w:p>
        </w:tc>
        <w:tc>
          <w:tcPr>
            <w:tcW w:w="3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采矿权挂牌出让4个，出让可信储量3300万吨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4" w:hRule="atLeast"/>
        </w:trPr>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9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163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重点项目保障砂石1000万吨</w:t>
            </w:r>
          </w:p>
        </w:tc>
        <w:tc>
          <w:tcPr>
            <w:tcW w:w="3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重点项目保障砂石1000万吨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1" w:hRule="atLeast"/>
        </w:trPr>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9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163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以实际发生数</w:t>
            </w:r>
          </w:p>
        </w:tc>
        <w:tc>
          <w:tcPr>
            <w:tcW w:w="3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办结采矿权探矿权登记39件，实现政府收益31763万元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5" w:hRule="atLeast"/>
        </w:trPr>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9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16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时效指标</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1年</w:t>
            </w:r>
          </w:p>
        </w:tc>
        <w:tc>
          <w:tcPr>
            <w:tcW w:w="3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9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16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成本指标</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地质核查、矿产资源勘察、储量核实经费</w:t>
            </w:r>
          </w:p>
        </w:tc>
        <w:tc>
          <w:tcPr>
            <w:tcW w:w="3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9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16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质量指标</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成果资料100%通过各级验收。</w:t>
            </w:r>
          </w:p>
        </w:tc>
        <w:tc>
          <w:tcPr>
            <w:tcW w:w="3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成果资料100%通过各级验收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2" w:hRule="atLeast"/>
        </w:trPr>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9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项目效果指标</w:t>
            </w:r>
          </w:p>
        </w:tc>
        <w:tc>
          <w:tcPr>
            <w:tcW w:w="16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社会效益指标</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为矿业权出让提供基础资料</w:t>
            </w:r>
          </w:p>
        </w:tc>
        <w:tc>
          <w:tcPr>
            <w:tcW w:w="3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为矿业权出让提供基础资料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4" w:hRule="atLeast"/>
        </w:trPr>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9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16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经济效益</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矿业权招拍挂出让实现政府收益31763万元。</w:t>
            </w:r>
          </w:p>
        </w:tc>
        <w:tc>
          <w:tcPr>
            <w:tcW w:w="3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矿业权招拍挂出让实现政府收益31763万元。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9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满意度指标</w:t>
            </w:r>
          </w:p>
        </w:tc>
        <w:tc>
          <w:tcPr>
            <w:tcW w:w="16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矿业权人满意度</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95%</w:t>
            </w:r>
          </w:p>
        </w:tc>
        <w:tc>
          <w:tcPr>
            <w:tcW w:w="3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trPr>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9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16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上级主管部门满意度</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95%</w:t>
            </w:r>
          </w:p>
        </w:tc>
        <w:tc>
          <w:tcPr>
            <w:tcW w:w="3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r>
    </w:tbl>
    <w:p>
      <w:pPr>
        <w:rPr>
          <w:rFonts w:hint="eastAsia" w:ascii="方正小标宋简体" w:hAnsi="宋体" w:eastAsia="方正小标宋简体"/>
          <w:color w:val="000000"/>
          <w:kern w:val="0"/>
          <w:sz w:val="44"/>
          <w:szCs w:val="44"/>
          <w:lang w:val="zh-CN"/>
        </w:rPr>
      </w:pPr>
      <w:r>
        <w:rPr>
          <w:rFonts w:hint="eastAsia" w:ascii="方正小标宋简体" w:hAnsi="宋体" w:eastAsia="方正小标宋简体"/>
          <w:color w:val="000000"/>
          <w:kern w:val="0"/>
          <w:sz w:val="44"/>
          <w:szCs w:val="44"/>
          <w:lang w:val="zh-CN"/>
        </w:rPr>
        <w:br w:type="page"/>
      </w:r>
    </w:p>
    <w:p>
      <w:pPr>
        <w:spacing w:line="580" w:lineRule="exact"/>
        <w:jc w:val="center"/>
        <w:rPr>
          <w:rFonts w:hint="eastAsia" w:ascii="方正小标宋简体" w:hAnsi="宋体" w:eastAsia="方正小标宋简体"/>
          <w:color w:val="000000"/>
          <w:kern w:val="0"/>
          <w:sz w:val="44"/>
          <w:szCs w:val="44"/>
          <w:lang w:val="zh-CN"/>
        </w:rPr>
      </w:pPr>
      <w:r>
        <w:rPr>
          <w:rFonts w:hint="eastAsia" w:ascii="方正小标宋简体" w:hAnsi="宋体" w:eastAsia="方正小标宋简体"/>
          <w:color w:val="000000"/>
          <w:kern w:val="0"/>
          <w:sz w:val="44"/>
          <w:szCs w:val="44"/>
          <w:lang w:val="zh-CN"/>
        </w:rPr>
        <w:t>卫片执法及案件查处、动态巡查工作经费</w:t>
      </w:r>
    </w:p>
    <w:p>
      <w:pPr>
        <w:spacing w:line="580" w:lineRule="exact"/>
        <w:jc w:val="center"/>
        <w:rPr>
          <w:rFonts w:ascii="方正小标宋简体" w:hAnsi="宋体" w:eastAsia="方正小标宋简体"/>
          <w:color w:val="000000"/>
          <w:kern w:val="0"/>
          <w:sz w:val="44"/>
          <w:szCs w:val="44"/>
          <w:lang w:val="zh-CN"/>
        </w:rPr>
      </w:pPr>
      <w:r>
        <w:rPr>
          <w:rFonts w:hint="eastAsia" w:ascii="方正小标宋简体" w:hAnsi="宋体" w:eastAsia="方正小标宋简体"/>
          <w:color w:val="000000"/>
          <w:kern w:val="0"/>
          <w:sz w:val="44"/>
          <w:szCs w:val="44"/>
          <w:lang w:val="zh-CN"/>
        </w:rPr>
        <w:t>项</w:t>
      </w:r>
      <w:r>
        <w:rPr>
          <w:rFonts w:hint="eastAsia" w:ascii="方正小标宋简体" w:hAnsi="宋体" w:eastAsia="方正小标宋简体"/>
          <w:color w:val="000000"/>
          <w:kern w:val="0"/>
          <w:sz w:val="44"/>
          <w:szCs w:val="44"/>
        </w:rPr>
        <w:t>目</w:t>
      </w:r>
      <w:r>
        <w:rPr>
          <w:rFonts w:ascii="方正小标宋简体" w:hAnsi="宋体" w:eastAsia="方正小标宋简体"/>
          <w:color w:val="000000"/>
          <w:kern w:val="0"/>
          <w:sz w:val="44"/>
          <w:szCs w:val="44"/>
        </w:rPr>
        <w:t>202</w:t>
      </w:r>
      <w:r>
        <w:rPr>
          <w:rFonts w:hint="eastAsia" w:ascii="方正小标宋简体" w:hAnsi="宋体" w:eastAsia="方正小标宋简体"/>
          <w:color w:val="000000"/>
          <w:kern w:val="0"/>
          <w:sz w:val="44"/>
          <w:szCs w:val="44"/>
          <w:lang w:val="en-US" w:eastAsia="zh-CN"/>
        </w:rPr>
        <w:t>1</w:t>
      </w:r>
      <w:r>
        <w:rPr>
          <w:rFonts w:hint="eastAsia" w:ascii="方正小标宋简体" w:hAnsi="宋体" w:eastAsia="方正小标宋简体"/>
          <w:color w:val="000000"/>
          <w:kern w:val="0"/>
          <w:sz w:val="44"/>
          <w:szCs w:val="44"/>
        </w:rPr>
        <w:t>年</w:t>
      </w:r>
      <w:r>
        <w:rPr>
          <w:rFonts w:hint="eastAsia" w:ascii="方正小标宋简体" w:hAnsi="宋体" w:eastAsia="方正小标宋简体"/>
          <w:color w:val="000000"/>
          <w:kern w:val="0"/>
          <w:sz w:val="44"/>
          <w:szCs w:val="44"/>
          <w:lang w:val="zh-CN"/>
        </w:rPr>
        <w:t>绩效评价报告</w:t>
      </w:r>
    </w:p>
    <w:p>
      <w:pPr>
        <w:spacing w:line="600" w:lineRule="exact"/>
        <w:rPr>
          <w:rFonts w:ascii="宋体"/>
          <w:sz w:val="32"/>
          <w:szCs w:val="32"/>
          <w:lang w:val="zh-CN"/>
        </w:rPr>
      </w:pPr>
    </w:p>
    <w:p>
      <w:pPr>
        <w:adjustRightInd w:val="0"/>
        <w:snapToGrid w:val="0"/>
        <w:spacing w:line="580" w:lineRule="exact"/>
        <w:ind w:firstLine="640" w:firstLineChars="20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580" w:lineRule="exact"/>
        <w:ind w:firstLine="640" w:firstLineChars="200"/>
        <w:rPr>
          <w:rFonts w:hint="eastAsia" w:ascii="楷体_GB2312" w:hAnsi="宋体" w:eastAsia="楷体_GB2312"/>
          <w:b w:val="0"/>
          <w:bCs/>
          <w:sz w:val="32"/>
          <w:szCs w:val="32"/>
          <w:lang w:val="zh-CN"/>
        </w:rPr>
      </w:pPr>
      <w:r>
        <w:rPr>
          <w:rFonts w:hint="eastAsia" w:ascii="楷体_GB2312" w:hAnsi="宋体" w:eastAsia="楷体_GB2312"/>
          <w:b w:val="0"/>
          <w:bCs/>
          <w:sz w:val="32"/>
          <w:szCs w:val="32"/>
          <w:lang w:val="zh-CN"/>
        </w:rPr>
        <w:t>（一）项目基本情况</w:t>
      </w:r>
    </w:p>
    <w:p>
      <w:pPr>
        <w:adjustRightInd w:val="0"/>
        <w:snapToGrid w:val="0"/>
        <w:spacing w:line="580" w:lineRule="exact"/>
        <w:ind w:firstLine="640" w:firstLineChars="200"/>
        <w:rPr>
          <w:rFonts w:hint="eastAsia" w:ascii="仿宋_GB2312" w:hAnsi="宋体" w:eastAsia="仿宋_GB2312"/>
          <w:sz w:val="32"/>
          <w:szCs w:val="32"/>
          <w:lang w:val="zh-CN"/>
        </w:rPr>
      </w:pPr>
      <w:r>
        <w:rPr>
          <w:rFonts w:ascii="仿宋_GB2312" w:hAnsi="宋体" w:eastAsia="仿宋_GB2312"/>
          <w:sz w:val="32"/>
          <w:szCs w:val="32"/>
          <w:lang w:val="zh-CN"/>
        </w:rPr>
        <w:t>1</w:t>
      </w:r>
      <w:r>
        <w:rPr>
          <w:rFonts w:hint="eastAsia" w:ascii="仿宋_GB2312" w:hAnsi="宋体" w:eastAsia="仿宋_GB2312"/>
          <w:sz w:val="32"/>
          <w:szCs w:val="32"/>
          <w:lang w:val="zh-CN"/>
        </w:rPr>
        <w:t>．职能职责</w:t>
      </w:r>
    </w:p>
    <w:p>
      <w:pPr>
        <w:spacing w:line="58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配合国家对县区政府落实党中央、国务院关于自然资源和国土空间规划的重大方针政策、决策部署及法律法规执行情况进行督察。按照市委、市政府安排，组织实施自然资源督查相关工作。查处全市自然资源开发利用、国土空间规划等领域重大违法案件。指导县区有关行政执法工作。</w:t>
      </w:r>
    </w:p>
    <w:p>
      <w:pPr>
        <w:numPr>
          <w:ilvl w:val="0"/>
          <w:numId w:val="10"/>
        </w:numPr>
        <w:adjustRightInd w:val="0"/>
        <w:snapToGrid w:val="0"/>
        <w:spacing w:line="580" w:lineRule="exact"/>
        <w:ind w:firstLine="640" w:firstLineChars="200"/>
        <w:rPr>
          <w:rFonts w:hint="eastAsia" w:ascii="仿宋_GB2312" w:hAnsi="宋体" w:eastAsia="仿宋_GB2312"/>
          <w:sz w:val="32"/>
          <w:szCs w:val="32"/>
          <w:lang w:val="zh-CN"/>
        </w:rPr>
      </w:pPr>
      <w:r>
        <w:rPr>
          <w:rFonts w:hint="eastAsia" w:ascii="仿宋_GB2312" w:hAnsi="宋体" w:eastAsia="仿宋_GB2312"/>
          <w:sz w:val="32"/>
          <w:szCs w:val="32"/>
          <w:lang w:val="zh-CN"/>
        </w:rPr>
        <w:t>项目立项、资金申报的依据。</w:t>
      </w:r>
    </w:p>
    <w:p>
      <w:pPr>
        <w:adjustRightInd w:val="0"/>
        <w:snapToGrid w:val="0"/>
        <w:spacing w:line="580" w:lineRule="exact"/>
        <w:ind w:firstLine="640" w:firstLineChars="200"/>
        <w:rPr>
          <w:rFonts w:hint="eastAsia" w:ascii="仿宋_GB2312" w:hAnsi="宋体" w:eastAsia="仿宋_GB2312"/>
          <w:sz w:val="32"/>
          <w:szCs w:val="32"/>
          <w:lang w:val="zh-CN"/>
        </w:rPr>
      </w:pPr>
      <w:r>
        <w:rPr>
          <w:rFonts w:hint="eastAsia" w:ascii="仿宋_GB2312" w:hAnsi="宋体" w:eastAsia="仿宋_GB2312"/>
          <w:sz w:val="32"/>
          <w:szCs w:val="32"/>
          <w:lang w:val="zh-CN"/>
        </w:rPr>
        <w:t>四川省国土资源执法监察动态巡查工作暂行办法（川国土资发〔</w:t>
      </w:r>
      <w:r>
        <w:rPr>
          <w:rFonts w:hint="eastAsia" w:ascii="仿宋_GB2312" w:hAnsi="宋体" w:eastAsia="仿宋_GB2312"/>
          <w:sz w:val="32"/>
          <w:szCs w:val="32"/>
        </w:rPr>
        <w:t>2008</w:t>
      </w:r>
      <w:r>
        <w:rPr>
          <w:rFonts w:hint="eastAsia" w:ascii="仿宋_GB2312" w:hAnsi="宋体" w:eastAsia="仿宋_GB2312"/>
          <w:sz w:val="32"/>
          <w:szCs w:val="32"/>
          <w:lang w:val="zh-CN"/>
        </w:rPr>
        <w:t>〕</w:t>
      </w:r>
      <w:r>
        <w:rPr>
          <w:rFonts w:hint="eastAsia" w:ascii="仿宋_GB2312" w:hAnsi="宋体" w:eastAsia="仿宋_GB2312"/>
          <w:sz w:val="32"/>
          <w:szCs w:val="32"/>
        </w:rPr>
        <w:t>97号</w:t>
      </w:r>
      <w:r>
        <w:rPr>
          <w:rFonts w:hint="eastAsia" w:ascii="仿宋_GB2312" w:hAnsi="宋体" w:eastAsia="仿宋_GB2312"/>
          <w:sz w:val="32"/>
          <w:szCs w:val="32"/>
          <w:lang w:val="zh-CN"/>
        </w:rPr>
        <w:t>）。</w:t>
      </w:r>
    </w:p>
    <w:p>
      <w:pPr>
        <w:numPr>
          <w:ilvl w:val="0"/>
          <w:numId w:val="10"/>
        </w:numPr>
        <w:adjustRightInd w:val="0"/>
        <w:snapToGrid w:val="0"/>
        <w:spacing w:line="580" w:lineRule="exact"/>
        <w:ind w:firstLine="640" w:firstLineChars="200"/>
        <w:rPr>
          <w:rFonts w:hint="eastAsia" w:ascii="仿宋_GB2312" w:hAnsi="宋体" w:eastAsia="仿宋_GB2312"/>
          <w:sz w:val="32"/>
          <w:szCs w:val="32"/>
          <w:lang w:val="zh-CN"/>
        </w:rPr>
      </w:pPr>
      <w:r>
        <w:rPr>
          <w:rFonts w:hint="eastAsia" w:ascii="仿宋_GB2312" w:hAnsi="宋体" w:eastAsia="仿宋_GB2312"/>
          <w:sz w:val="32"/>
          <w:szCs w:val="32"/>
          <w:lang w:val="zh-CN"/>
        </w:rPr>
        <w:t>资金管理办法制定情况，资金支持具体项目的条件、范围与支持方式概况。</w:t>
      </w:r>
    </w:p>
    <w:p>
      <w:pPr>
        <w:adjustRightInd w:val="0"/>
        <w:snapToGrid w:val="0"/>
        <w:spacing w:line="580" w:lineRule="exact"/>
        <w:ind w:firstLine="640" w:firstLineChars="200"/>
        <w:rPr>
          <w:rFonts w:hint="eastAsia" w:ascii="仿宋_GB2312" w:hAnsi="宋体" w:eastAsia="仿宋_GB2312"/>
          <w:sz w:val="32"/>
          <w:szCs w:val="32"/>
          <w:lang w:val="zh-CN"/>
        </w:rPr>
      </w:pPr>
      <w:r>
        <w:rPr>
          <w:rFonts w:hint="eastAsia" w:ascii="仿宋_GB2312" w:hAnsi="宋体" w:eastAsia="仿宋_GB2312"/>
          <w:sz w:val="32"/>
          <w:szCs w:val="32"/>
          <w:lang w:val="zh-CN"/>
        </w:rPr>
        <w:t>我局制定了《三重一大制度》，《财务管理制度》和《项目管理制度》，支付时严格按照相关制度执行，项目资金专款专用。</w:t>
      </w:r>
    </w:p>
    <w:p>
      <w:pPr>
        <w:numPr>
          <w:ilvl w:val="0"/>
          <w:numId w:val="10"/>
        </w:numPr>
        <w:adjustRightInd w:val="0"/>
        <w:snapToGrid w:val="0"/>
        <w:spacing w:line="580" w:lineRule="exact"/>
        <w:ind w:firstLine="640" w:firstLineChars="200"/>
        <w:rPr>
          <w:rFonts w:hint="eastAsia" w:ascii="仿宋_GB2312" w:hAnsi="宋体" w:eastAsia="仿宋_GB2312"/>
          <w:sz w:val="32"/>
          <w:szCs w:val="32"/>
          <w:lang w:val="zh-CN"/>
        </w:rPr>
      </w:pPr>
      <w:r>
        <w:rPr>
          <w:rFonts w:hint="eastAsia" w:ascii="仿宋_GB2312" w:hAnsi="宋体" w:eastAsia="仿宋_GB2312"/>
          <w:sz w:val="32"/>
          <w:szCs w:val="32"/>
          <w:lang w:val="zh-CN"/>
        </w:rPr>
        <w:t>资金分配的原则及考虑因素。</w:t>
      </w:r>
    </w:p>
    <w:p>
      <w:pPr>
        <w:adjustRightInd w:val="0"/>
        <w:snapToGrid w:val="0"/>
        <w:spacing w:line="580" w:lineRule="exact"/>
        <w:ind w:firstLine="640" w:firstLineChars="200"/>
        <w:rPr>
          <w:rFonts w:hint="eastAsia" w:ascii="仿宋_GB2312" w:hAnsi="宋体" w:eastAsia="仿宋_GB2312"/>
          <w:sz w:val="32"/>
          <w:szCs w:val="32"/>
          <w:lang w:val="zh-CN"/>
        </w:rPr>
      </w:pPr>
      <w:r>
        <w:rPr>
          <w:rFonts w:hint="eastAsia" w:ascii="仿宋_GB2312" w:hAnsi="宋体" w:eastAsia="仿宋_GB2312"/>
          <w:sz w:val="32"/>
          <w:szCs w:val="32"/>
          <w:lang w:val="zh-CN"/>
        </w:rPr>
        <w:t>此项目是一项财政一般公共预算的常规性项目，只是日常的工作经费，财政根据我局年初编报的项目绩效目标和通过市人大的审核后直接下达指标。</w:t>
      </w:r>
    </w:p>
    <w:p>
      <w:pPr>
        <w:adjustRightInd w:val="0"/>
        <w:snapToGrid w:val="0"/>
        <w:spacing w:line="580" w:lineRule="exact"/>
        <w:ind w:firstLine="640" w:firstLineChars="200"/>
        <w:rPr>
          <w:rFonts w:hint="eastAsia" w:ascii="楷体_GB2312" w:hAnsi="宋体" w:eastAsia="楷体_GB2312"/>
          <w:b w:val="0"/>
          <w:bCs/>
          <w:sz w:val="32"/>
          <w:szCs w:val="32"/>
          <w:lang w:val="zh-CN"/>
        </w:rPr>
      </w:pPr>
      <w:r>
        <w:rPr>
          <w:rFonts w:hint="eastAsia" w:ascii="楷体_GB2312" w:hAnsi="宋体" w:eastAsia="楷体_GB2312"/>
          <w:b w:val="0"/>
          <w:bCs/>
          <w:sz w:val="32"/>
          <w:szCs w:val="32"/>
          <w:lang w:val="zh-CN"/>
        </w:rPr>
        <w:t>（二）项目绩效目标</w:t>
      </w:r>
    </w:p>
    <w:p>
      <w:pPr>
        <w:adjustRightInd w:val="0"/>
        <w:snapToGrid w:val="0"/>
        <w:spacing w:line="580" w:lineRule="exact"/>
        <w:ind w:firstLine="640" w:firstLineChars="200"/>
        <w:rPr>
          <w:rFonts w:hint="eastAsia" w:ascii="仿宋_GB2312" w:hAnsi="宋体" w:eastAsia="仿宋_GB2312"/>
          <w:sz w:val="32"/>
          <w:szCs w:val="32"/>
          <w:lang w:val="zh-CN"/>
        </w:rPr>
      </w:pPr>
      <w:r>
        <w:rPr>
          <w:rFonts w:ascii="仿宋_GB2312" w:hAnsi="宋体" w:eastAsia="仿宋_GB2312"/>
          <w:sz w:val="32"/>
          <w:szCs w:val="32"/>
          <w:lang w:val="zh-CN"/>
        </w:rPr>
        <w:t>1</w:t>
      </w:r>
      <w:r>
        <w:rPr>
          <w:rFonts w:hint="eastAsia" w:ascii="仿宋_GB2312" w:hAnsi="宋体" w:eastAsia="仿宋_GB2312"/>
          <w:sz w:val="32"/>
          <w:szCs w:val="32"/>
          <w:lang w:val="zh-CN"/>
        </w:rPr>
        <w:t>．项目主要内容。</w:t>
      </w:r>
    </w:p>
    <w:p>
      <w:pPr>
        <w:adjustRightInd w:val="0"/>
        <w:snapToGrid w:val="0"/>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lang w:val="zh-CN"/>
        </w:rPr>
        <w:t>完成2021年度自然资源动态巡查600次（含三个区），完成2021年度自然资源违法违规案件查处。</w:t>
      </w:r>
    </w:p>
    <w:p>
      <w:pPr>
        <w:numPr>
          <w:ilvl w:val="0"/>
          <w:numId w:val="11"/>
        </w:numPr>
        <w:adjustRightInd w:val="0"/>
        <w:snapToGrid w:val="0"/>
        <w:spacing w:line="580" w:lineRule="exact"/>
        <w:ind w:firstLine="640" w:firstLineChars="200"/>
        <w:rPr>
          <w:rFonts w:hint="eastAsia" w:ascii="仿宋_GB2312" w:hAnsi="宋体" w:eastAsia="仿宋_GB2312"/>
          <w:sz w:val="32"/>
          <w:szCs w:val="32"/>
          <w:lang w:val="zh-CN"/>
        </w:rPr>
      </w:pPr>
      <w:r>
        <w:rPr>
          <w:rFonts w:hint="eastAsia" w:ascii="仿宋_GB2312" w:hAnsi="宋体" w:eastAsia="仿宋_GB2312"/>
          <w:sz w:val="32"/>
          <w:szCs w:val="32"/>
          <w:lang w:val="zh-CN"/>
        </w:rPr>
        <w:t>项目应实现的具体绩效目标，包括目标的量化、细化情况以及项目实施进度计划等。</w:t>
      </w:r>
    </w:p>
    <w:p>
      <w:pPr>
        <w:adjustRightInd w:val="0"/>
        <w:snapToGrid w:val="0"/>
        <w:spacing w:line="580" w:lineRule="exact"/>
        <w:ind w:firstLine="640" w:firstLineChars="200"/>
        <w:rPr>
          <w:rFonts w:hint="eastAsia" w:ascii="仿宋_GB2312" w:hAnsi="宋体" w:eastAsia="仿宋_GB2312"/>
          <w:sz w:val="32"/>
          <w:szCs w:val="32"/>
          <w:lang w:val="zh-CN"/>
        </w:rPr>
      </w:pPr>
      <w:r>
        <w:rPr>
          <w:rFonts w:hint="eastAsia" w:ascii="仿宋_GB2312" w:hAnsi="宋体" w:eastAsia="仿宋_GB2312"/>
          <w:sz w:val="32"/>
          <w:szCs w:val="32"/>
          <w:lang w:val="zh-CN"/>
        </w:rPr>
        <w:t>全年共组织开展动态巡查600次，重点区域巡查覆盖率大于95%。全年组织各县区局立案查处自然资源违法案130件。完成2021年部、厅下发的卫片执法图斑核查填报3000个以上。</w:t>
      </w:r>
    </w:p>
    <w:p>
      <w:pPr>
        <w:numPr>
          <w:ilvl w:val="0"/>
          <w:numId w:val="11"/>
        </w:numPr>
        <w:adjustRightInd w:val="0"/>
        <w:snapToGrid w:val="0"/>
        <w:spacing w:line="580" w:lineRule="exact"/>
        <w:ind w:firstLine="640" w:firstLineChars="200"/>
        <w:rPr>
          <w:rFonts w:hint="eastAsia" w:ascii="仿宋_GB2312" w:hAnsi="宋体" w:eastAsia="仿宋_GB2312"/>
          <w:sz w:val="32"/>
          <w:szCs w:val="32"/>
          <w:lang w:val="zh-CN"/>
        </w:rPr>
      </w:pPr>
      <w:r>
        <w:rPr>
          <w:rFonts w:hint="eastAsia" w:ascii="仿宋_GB2312" w:hAnsi="宋体" w:eastAsia="仿宋_GB2312"/>
          <w:sz w:val="32"/>
          <w:szCs w:val="32"/>
          <w:lang w:val="zh-CN"/>
        </w:rPr>
        <w:t>分析评价申报内容是否与实际相符，申报目标是否合理可行。</w:t>
      </w:r>
    </w:p>
    <w:p>
      <w:pPr>
        <w:adjustRightInd w:val="0"/>
        <w:snapToGrid w:val="0"/>
        <w:spacing w:line="580" w:lineRule="exact"/>
        <w:ind w:firstLine="640" w:firstLineChars="200"/>
        <w:rPr>
          <w:rFonts w:hint="eastAsia" w:ascii="仿宋_GB2312" w:hAnsi="宋体" w:eastAsia="仿宋_GB2312"/>
          <w:sz w:val="32"/>
          <w:szCs w:val="32"/>
          <w:lang w:val="zh-CN"/>
        </w:rPr>
      </w:pPr>
      <w:r>
        <w:rPr>
          <w:rFonts w:hint="eastAsia" w:ascii="仿宋_GB2312" w:hAnsi="宋体" w:eastAsia="仿宋_GB2312"/>
          <w:sz w:val="32"/>
          <w:szCs w:val="32"/>
          <w:lang w:val="zh-CN"/>
        </w:rPr>
        <w:t>申报内容与实际相符，申报目标合理可行。</w:t>
      </w:r>
    </w:p>
    <w:p>
      <w:pPr>
        <w:adjustRightInd w:val="0"/>
        <w:snapToGrid w:val="0"/>
        <w:spacing w:line="580" w:lineRule="exact"/>
        <w:ind w:firstLine="640" w:firstLineChars="200"/>
        <w:rPr>
          <w:rFonts w:hint="eastAsia" w:ascii="楷体_GB2312" w:hAnsi="宋体" w:eastAsia="楷体_GB2312"/>
          <w:b w:val="0"/>
          <w:bCs/>
          <w:sz w:val="32"/>
          <w:szCs w:val="32"/>
          <w:lang w:val="zh-CN"/>
        </w:rPr>
      </w:pPr>
      <w:r>
        <w:rPr>
          <w:rFonts w:hint="eastAsia" w:ascii="楷体_GB2312" w:hAnsi="宋体" w:eastAsia="楷体_GB2312"/>
          <w:b w:val="0"/>
          <w:bCs/>
          <w:sz w:val="32"/>
          <w:szCs w:val="32"/>
          <w:lang w:val="zh-CN"/>
        </w:rPr>
        <w:t>（三）项目自评步骤及方法</w:t>
      </w:r>
    </w:p>
    <w:p>
      <w:pPr>
        <w:adjustRightInd w:val="0"/>
        <w:snapToGrid w:val="0"/>
        <w:spacing w:line="58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年末通过数量指标、质量指标及产生的社会效益和政府满意度来自评项目绩效完成情况。</w:t>
      </w:r>
    </w:p>
    <w:p>
      <w:pPr>
        <w:adjustRightInd w:val="0"/>
        <w:snapToGrid w:val="0"/>
        <w:spacing w:line="580" w:lineRule="exact"/>
        <w:ind w:firstLine="640" w:firstLineChars="20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580" w:lineRule="exact"/>
        <w:ind w:firstLine="640" w:firstLineChars="200"/>
        <w:rPr>
          <w:rFonts w:hint="eastAsia" w:ascii="楷体_GB2312" w:hAnsi="宋体" w:eastAsia="楷体_GB2312"/>
          <w:b w:val="0"/>
          <w:bCs/>
          <w:sz w:val="32"/>
          <w:szCs w:val="32"/>
          <w:lang w:val="zh-CN"/>
        </w:rPr>
      </w:pPr>
      <w:r>
        <w:rPr>
          <w:rFonts w:hint="eastAsia" w:ascii="楷体_GB2312" w:hAnsi="宋体" w:eastAsia="楷体_GB2312"/>
          <w:b w:val="0"/>
          <w:bCs/>
          <w:sz w:val="32"/>
          <w:szCs w:val="32"/>
          <w:lang w:val="zh-CN"/>
        </w:rPr>
        <w:t>（一）项目资金申报及批复情况</w:t>
      </w:r>
    </w:p>
    <w:p>
      <w:pPr>
        <w:adjustRightInd w:val="0"/>
        <w:snapToGrid w:val="0"/>
        <w:spacing w:line="58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lang w:val="zh-CN"/>
        </w:rPr>
        <w:t>年初我局申报项目工作经费</w:t>
      </w:r>
      <w:r>
        <w:rPr>
          <w:rFonts w:hint="eastAsia" w:ascii="仿宋_GB2312" w:hAnsi="宋体" w:eastAsia="仿宋_GB2312"/>
          <w:sz w:val="32"/>
          <w:szCs w:val="32"/>
          <w:lang w:val="en-US" w:eastAsia="zh-CN"/>
        </w:rPr>
        <w:t>15</w:t>
      </w:r>
      <w:r>
        <w:rPr>
          <w:rFonts w:hint="eastAsia" w:ascii="仿宋_GB2312" w:hAnsi="宋体" w:eastAsia="仿宋_GB2312"/>
          <w:sz w:val="32"/>
          <w:szCs w:val="32"/>
        </w:rPr>
        <w:t>万元，财政批复</w:t>
      </w:r>
      <w:r>
        <w:rPr>
          <w:rFonts w:hint="eastAsia" w:ascii="仿宋_GB2312" w:hAnsi="宋体" w:eastAsia="仿宋_GB2312"/>
          <w:sz w:val="32"/>
          <w:szCs w:val="32"/>
          <w:lang w:val="en-US" w:eastAsia="zh-CN"/>
        </w:rPr>
        <w:t>8</w:t>
      </w:r>
      <w:r>
        <w:rPr>
          <w:rFonts w:hint="eastAsia" w:ascii="仿宋_GB2312" w:hAnsi="宋体" w:eastAsia="仿宋_GB2312"/>
          <w:sz w:val="32"/>
          <w:szCs w:val="32"/>
        </w:rPr>
        <w:t>万元。</w:t>
      </w:r>
    </w:p>
    <w:p>
      <w:pPr>
        <w:adjustRightInd w:val="0"/>
        <w:snapToGrid w:val="0"/>
        <w:spacing w:line="580" w:lineRule="exact"/>
        <w:ind w:firstLine="640" w:firstLineChars="200"/>
        <w:rPr>
          <w:rFonts w:hint="eastAsia" w:ascii="楷体_GB2312" w:hAnsi="宋体" w:eastAsia="楷体_GB2312"/>
          <w:b w:val="0"/>
          <w:bCs/>
          <w:sz w:val="32"/>
          <w:szCs w:val="32"/>
          <w:lang w:val="zh-CN"/>
        </w:rPr>
      </w:pPr>
      <w:r>
        <w:rPr>
          <w:rFonts w:hint="eastAsia" w:ascii="楷体_GB2312" w:hAnsi="宋体" w:eastAsia="楷体_GB2312"/>
          <w:b w:val="0"/>
          <w:bCs/>
          <w:sz w:val="32"/>
          <w:szCs w:val="32"/>
          <w:lang w:val="zh-CN"/>
        </w:rPr>
        <w:t>（二）资金计划、到位及使用情况</w:t>
      </w:r>
    </w:p>
    <w:p>
      <w:pPr>
        <w:adjustRightInd w:val="0"/>
        <w:snapToGrid w:val="0"/>
        <w:spacing w:line="580" w:lineRule="exact"/>
        <w:ind w:firstLine="640" w:firstLineChars="200"/>
        <w:rPr>
          <w:rFonts w:hint="eastAsia" w:ascii="楷体_GB2312" w:hAnsi="宋体" w:eastAsia="楷体_GB2312"/>
          <w:sz w:val="32"/>
          <w:szCs w:val="32"/>
          <w:lang w:val="zh-CN"/>
        </w:rPr>
      </w:pPr>
      <w:r>
        <w:rPr>
          <w:rFonts w:ascii="楷体_GB2312" w:hAnsi="宋体" w:eastAsia="楷体_GB2312"/>
          <w:sz w:val="32"/>
          <w:szCs w:val="32"/>
          <w:lang w:val="zh-CN"/>
        </w:rPr>
        <w:t>1</w:t>
      </w:r>
      <w:r>
        <w:rPr>
          <w:rFonts w:hint="eastAsia" w:ascii="楷体_GB2312" w:hAnsi="宋体" w:eastAsia="楷体_GB2312"/>
          <w:sz w:val="32"/>
          <w:szCs w:val="32"/>
          <w:lang w:val="zh-CN"/>
        </w:rPr>
        <w:t>．资金计划。</w:t>
      </w:r>
    </w:p>
    <w:p>
      <w:pPr>
        <w:adjustRightInd w:val="0"/>
        <w:snapToGrid w:val="0"/>
        <w:spacing w:line="580" w:lineRule="exact"/>
        <w:ind w:firstLine="640" w:firstLineChars="200"/>
        <w:rPr>
          <w:rFonts w:ascii="仿宋_GB2312" w:hAnsi="宋体" w:eastAsia="仿宋_GB2312"/>
          <w:sz w:val="32"/>
          <w:szCs w:val="32"/>
          <w:lang w:val="zh-CN"/>
        </w:rPr>
      </w:pPr>
      <w:r>
        <w:rPr>
          <w:rFonts w:hint="eastAsia" w:ascii="楷体_GB2312" w:hAnsi="宋体" w:eastAsia="楷体_GB2312"/>
          <w:sz w:val="32"/>
          <w:szCs w:val="32"/>
          <w:lang w:val="zh-CN"/>
        </w:rPr>
        <w:t>此项目属于常规性工作经费项目，财政用一般公共预算资金安排资金</w:t>
      </w:r>
      <w:r>
        <w:rPr>
          <w:rFonts w:hint="eastAsia" w:ascii="楷体_GB2312" w:hAnsi="宋体" w:eastAsia="楷体_GB2312"/>
          <w:sz w:val="32"/>
          <w:szCs w:val="32"/>
          <w:lang w:val="en-US" w:eastAsia="zh-CN"/>
        </w:rPr>
        <w:t>8</w:t>
      </w:r>
      <w:r>
        <w:rPr>
          <w:rFonts w:hint="eastAsia" w:ascii="楷体_GB2312" w:hAnsi="宋体" w:eastAsia="楷体_GB2312"/>
          <w:sz w:val="32"/>
          <w:szCs w:val="32"/>
        </w:rPr>
        <w:t>万元</w:t>
      </w:r>
      <w:r>
        <w:rPr>
          <w:rFonts w:hint="eastAsia" w:ascii="仿宋_GB2312" w:hAnsi="宋体" w:eastAsia="仿宋_GB2312"/>
          <w:sz w:val="32"/>
          <w:szCs w:val="32"/>
          <w:lang w:val="zh-CN"/>
        </w:rPr>
        <w:t>。</w:t>
      </w:r>
    </w:p>
    <w:p>
      <w:pPr>
        <w:numPr>
          <w:ilvl w:val="0"/>
          <w:numId w:val="12"/>
        </w:numPr>
        <w:adjustRightInd w:val="0"/>
        <w:snapToGrid w:val="0"/>
        <w:spacing w:line="580" w:lineRule="exact"/>
        <w:ind w:firstLine="640" w:firstLineChars="200"/>
        <w:rPr>
          <w:rFonts w:hint="eastAsia" w:ascii="楷体_GB2312" w:hAnsi="宋体" w:eastAsia="楷体_GB2312"/>
          <w:sz w:val="32"/>
          <w:szCs w:val="32"/>
        </w:rPr>
      </w:pPr>
      <w:r>
        <w:rPr>
          <w:rFonts w:hint="eastAsia" w:ascii="楷体_GB2312" w:hAnsi="宋体" w:eastAsia="楷体_GB2312"/>
          <w:sz w:val="32"/>
          <w:szCs w:val="32"/>
          <w:lang w:val="zh-CN"/>
        </w:rPr>
        <w:t>资金到位。</w:t>
      </w:r>
      <w:r>
        <w:rPr>
          <w:rFonts w:hint="eastAsia" w:ascii="楷体_GB2312" w:hAnsi="宋体" w:eastAsia="楷体_GB2312"/>
          <w:sz w:val="32"/>
          <w:szCs w:val="32"/>
        </w:rPr>
        <w:t>截止202</w:t>
      </w:r>
      <w:r>
        <w:rPr>
          <w:rFonts w:hint="eastAsia" w:ascii="楷体_GB2312" w:hAnsi="宋体" w:eastAsia="楷体_GB2312"/>
          <w:sz w:val="32"/>
          <w:szCs w:val="32"/>
          <w:lang w:val="en-US" w:eastAsia="zh-CN"/>
        </w:rPr>
        <w:t>1</w:t>
      </w:r>
      <w:r>
        <w:rPr>
          <w:rFonts w:hint="eastAsia" w:ascii="楷体_GB2312" w:hAnsi="宋体" w:eastAsia="楷体_GB2312"/>
          <w:sz w:val="32"/>
          <w:szCs w:val="32"/>
        </w:rPr>
        <w:t>年12月31日，财政拨付一般公共预算项目资金</w:t>
      </w:r>
      <w:r>
        <w:rPr>
          <w:rFonts w:hint="eastAsia" w:ascii="楷体_GB2312" w:hAnsi="宋体" w:eastAsia="楷体_GB2312"/>
          <w:sz w:val="32"/>
          <w:szCs w:val="32"/>
          <w:lang w:val="en-US" w:eastAsia="zh-CN"/>
        </w:rPr>
        <w:t>8</w:t>
      </w:r>
      <w:r>
        <w:rPr>
          <w:rFonts w:hint="eastAsia" w:ascii="楷体_GB2312" w:hAnsi="宋体" w:eastAsia="楷体_GB2312"/>
          <w:sz w:val="32"/>
          <w:szCs w:val="32"/>
        </w:rPr>
        <w:t>万元。</w:t>
      </w:r>
    </w:p>
    <w:p>
      <w:pPr>
        <w:adjustRightInd w:val="0"/>
        <w:snapToGrid w:val="0"/>
        <w:spacing w:line="580" w:lineRule="exact"/>
        <w:ind w:firstLine="640" w:firstLineChars="200"/>
        <w:rPr>
          <w:rFonts w:ascii="仿宋_GB2312" w:hAnsi="宋体" w:eastAsia="仿宋_GB2312"/>
          <w:sz w:val="32"/>
          <w:szCs w:val="32"/>
          <w:lang w:val="zh-CN"/>
        </w:rPr>
      </w:pPr>
      <w:r>
        <w:rPr>
          <w:rFonts w:ascii="楷体_GB2312" w:hAnsi="宋体" w:eastAsia="楷体_GB2312"/>
          <w:sz w:val="32"/>
          <w:szCs w:val="32"/>
          <w:lang w:val="zh-CN"/>
        </w:rPr>
        <w:t>3</w:t>
      </w:r>
      <w:r>
        <w:rPr>
          <w:rFonts w:hint="eastAsia" w:ascii="楷体_GB2312" w:hAnsi="宋体" w:eastAsia="楷体_GB2312"/>
          <w:sz w:val="32"/>
          <w:szCs w:val="32"/>
          <w:lang w:val="zh-CN"/>
        </w:rPr>
        <w:t>．资金使用。</w:t>
      </w:r>
      <w:r>
        <w:rPr>
          <w:rFonts w:hint="eastAsia" w:ascii="仿宋_GB2312" w:hAnsi="宋体" w:eastAsia="仿宋_GB2312"/>
          <w:sz w:val="32"/>
          <w:szCs w:val="32"/>
          <w:lang w:val="zh-CN"/>
        </w:rPr>
        <w:t>全年支付卫片执法及案件查处、动态巡查经费</w:t>
      </w:r>
      <w:r>
        <w:rPr>
          <w:rFonts w:hint="eastAsia" w:ascii="仿宋_GB2312" w:hAnsi="宋体" w:eastAsia="仿宋_GB2312"/>
          <w:sz w:val="32"/>
          <w:szCs w:val="32"/>
        </w:rPr>
        <w:t>10万元，主要包括案件查处及动态巡查的差旅费、打印费、宣传费等费用。</w:t>
      </w:r>
    </w:p>
    <w:p>
      <w:pPr>
        <w:adjustRightInd w:val="0"/>
        <w:snapToGrid w:val="0"/>
        <w:spacing w:line="580" w:lineRule="exact"/>
        <w:ind w:firstLine="640" w:firstLineChars="200"/>
        <w:rPr>
          <w:rFonts w:hint="eastAsia" w:ascii="楷体_GB2312" w:hAnsi="宋体" w:eastAsia="楷体_GB2312"/>
          <w:b w:val="0"/>
          <w:bCs/>
          <w:sz w:val="32"/>
          <w:szCs w:val="32"/>
          <w:lang w:val="zh-CN"/>
        </w:rPr>
      </w:pPr>
      <w:r>
        <w:rPr>
          <w:rFonts w:hint="eastAsia" w:ascii="楷体_GB2312" w:hAnsi="宋体" w:eastAsia="楷体_GB2312"/>
          <w:b w:val="0"/>
          <w:bCs/>
          <w:sz w:val="32"/>
          <w:szCs w:val="32"/>
          <w:lang w:val="zh-CN"/>
        </w:rPr>
        <w:t>（三）项目财务管理情况</w:t>
      </w:r>
    </w:p>
    <w:p>
      <w:pPr>
        <w:adjustRightInd w:val="0"/>
        <w:snapToGrid w:val="0"/>
        <w:spacing w:line="580" w:lineRule="exact"/>
        <w:ind w:firstLine="640" w:firstLineChars="200"/>
        <w:rPr>
          <w:rFonts w:hint="eastAsia" w:ascii="楷体_GB2312" w:hAnsi="宋体" w:eastAsia="楷体_GB2312"/>
          <w:bCs/>
          <w:sz w:val="32"/>
          <w:szCs w:val="32"/>
        </w:rPr>
      </w:pPr>
      <w:r>
        <w:rPr>
          <w:rFonts w:hint="eastAsia" w:ascii="楷体_GB2312" w:hAnsi="宋体" w:eastAsia="楷体_GB2312"/>
          <w:bCs/>
          <w:sz w:val="32"/>
          <w:szCs w:val="32"/>
        </w:rPr>
        <w:t>我局制度了《财务管理制度》和《专项资金管理制度》，项目支付过程中严格执行相关制度，专款专用，无截留，无挪用的现象。</w:t>
      </w:r>
    </w:p>
    <w:p>
      <w:pPr>
        <w:adjustRightInd w:val="0"/>
        <w:snapToGrid w:val="0"/>
        <w:spacing w:line="580" w:lineRule="exact"/>
        <w:ind w:firstLine="640" w:firstLineChars="200"/>
        <w:rPr>
          <w:rFonts w:ascii="黑体" w:hAnsi="宋体" w:eastAsia="黑体"/>
          <w:sz w:val="32"/>
          <w:szCs w:val="32"/>
        </w:rPr>
      </w:pPr>
      <w:r>
        <w:rPr>
          <w:rFonts w:hint="eastAsia" w:ascii="黑体" w:hAnsi="宋体" w:eastAsia="黑体"/>
          <w:sz w:val="32"/>
          <w:szCs w:val="32"/>
        </w:rPr>
        <w:t>三、项目实施及管理情况</w:t>
      </w:r>
    </w:p>
    <w:p>
      <w:pPr>
        <w:adjustRightInd w:val="0"/>
        <w:snapToGrid w:val="0"/>
        <w:spacing w:line="58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卫片执法及案件查处、动态巡查工作经费属于财政下达的常规性一般公共项目，都是工作经费，专门用于</w:t>
      </w:r>
      <w:r>
        <w:rPr>
          <w:rFonts w:hint="eastAsia" w:ascii="仿宋_GB2312" w:hAnsi="宋体" w:eastAsia="仿宋_GB2312"/>
          <w:sz w:val="32"/>
          <w:szCs w:val="32"/>
        </w:rPr>
        <w:t>案件查处及动态巡查的差旅费、打印费、宣传费等费用，</w:t>
      </w:r>
      <w:r>
        <w:rPr>
          <w:rFonts w:hint="eastAsia" w:ascii="仿宋_GB2312" w:hAnsi="宋体" w:eastAsia="仿宋_GB2312"/>
          <w:sz w:val="32"/>
          <w:szCs w:val="32"/>
          <w:lang w:val="zh-CN"/>
        </w:rPr>
        <w:t>资金使用坚持专款专用，完成预期计划。</w:t>
      </w:r>
    </w:p>
    <w:p>
      <w:pPr>
        <w:adjustRightInd w:val="0"/>
        <w:snapToGrid w:val="0"/>
        <w:spacing w:line="580" w:lineRule="exact"/>
        <w:ind w:firstLine="640" w:firstLineChars="200"/>
        <w:rPr>
          <w:rFonts w:ascii="仿宋_GB2312" w:hAnsi="宋体" w:eastAsia="仿宋_GB2312"/>
          <w:sz w:val="32"/>
          <w:szCs w:val="32"/>
          <w:lang w:val="zh-CN"/>
        </w:rPr>
      </w:pPr>
      <w:r>
        <w:rPr>
          <w:rFonts w:hint="eastAsia" w:ascii="黑体" w:hAnsi="宋体" w:eastAsia="黑体"/>
          <w:sz w:val="32"/>
          <w:szCs w:val="32"/>
        </w:rPr>
        <w:t>四、项目绩效情况</w:t>
      </w:r>
      <w:r>
        <w:rPr>
          <w:rFonts w:ascii="仿宋_GB2312" w:hAnsi="宋体" w:eastAsia="仿宋_GB2312"/>
          <w:sz w:val="32"/>
          <w:szCs w:val="32"/>
          <w:lang w:val="zh-CN"/>
        </w:rPr>
        <w:tab/>
      </w:r>
    </w:p>
    <w:p>
      <w:pPr>
        <w:adjustRightInd w:val="0"/>
        <w:snapToGrid w:val="0"/>
        <w:spacing w:line="580" w:lineRule="exact"/>
        <w:ind w:firstLine="640" w:firstLineChars="200"/>
        <w:rPr>
          <w:rFonts w:hint="eastAsia" w:ascii="楷体_GB2312" w:hAnsi="宋体" w:eastAsia="楷体_GB2312"/>
          <w:b w:val="0"/>
          <w:bCs/>
          <w:sz w:val="32"/>
          <w:szCs w:val="32"/>
          <w:lang w:val="zh-CN"/>
        </w:rPr>
      </w:pPr>
      <w:r>
        <w:rPr>
          <w:rFonts w:hint="eastAsia" w:ascii="楷体_GB2312" w:hAnsi="宋体" w:eastAsia="楷体_GB2312"/>
          <w:b w:val="0"/>
          <w:bCs/>
          <w:sz w:val="32"/>
          <w:szCs w:val="32"/>
          <w:lang w:val="zh-CN"/>
        </w:rPr>
        <w:t>（一）项目完成情况</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1.全年共组织开展动态巡查3100余次，参与巡查人员4200人次，重点区域巡查覆盖率100%。</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2.全年组织各县区局立案查处自然资源违法案133件,收缴罚没款14290.71万元。其中土地违法案件118件，违法占地面积10025亩，没收建筑物136393平方米，拆除建筑物57340平方米，收缴罚没款14163.96万元；矿产违法案件15件，收缴罚没款126.85万元。</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3.2021年，部、厅共下发我市卫片执法图斑 8398个，已全部完成核查填报。经核查判定共发现土地违法用地图斑 303个，涉及土地面积5146.62亩，发现矿产违法图斑4个。截至目前，已全部完成省厅下发的307个自主监测的实地核实和填报。全力推进农村乱占耕地建房问题整治，现场摸排房屋图斑18.22万个，已完成房屋的外业核查和问题图斑提取并提交省级审核，上报问题图斑4万个。同时积极推进扫黑除恶专项斗争，出台了《2020年扫黑除恶专项斗争全市自然资源行业领域乱象整治方案》《扫黑除恶专项斗争2020年工作要点》和《全市自然资源行业乱象整治工作责任分工》，摸排行业乱象线索31个，整治率100%。</w:t>
      </w:r>
    </w:p>
    <w:p>
      <w:pPr>
        <w:adjustRightInd w:val="0"/>
        <w:snapToGrid w:val="0"/>
        <w:spacing w:line="580" w:lineRule="exact"/>
        <w:ind w:firstLine="640" w:firstLineChars="200"/>
        <w:rPr>
          <w:rFonts w:hint="eastAsia" w:ascii="楷体_GB2312" w:hAnsi="宋体" w:eastAsia="楷体_GB2312"/>
          <w:b w:val="0"/>
          <w:bCs/>
          <w:sz w:val="32"/>
          <w:szCs w:val="32"/>
          <w:lang w:val="zh-CN"/>
        </w:rPr>
      </w:pPr>
      <w:r>
        <w:rPr>
          <w:rFonts w:hint="eastAsia" w:ascii="楷体_GB2312" w:hAnsi="宋体" w:eastAsia="楷体_GB2312"/>
          <w:b w:val="0"/>
          <w:bCs/>
          <w:sz w:val="32"/>
          <w:szCs w:val="32"/>
          <w:lang w:val="zh-CN"/>
        </w:rPr>
        <w:t>（二）项目效益情况。</w:t>
      </w:r>
    </w:p>
    <w:p>
      <w:pPr>
        <w:pStyle w:val="2"/>
        <w:rPr>
          <w:rFonts w:hint="eastAsia"/>
        </w:rPr>
      </w:pPr>
    </w:p>
    <w:p>
      <w:pPr>
        <w:adjustRightInd w:val="0"/>
        <w:snapToGrid w:val="0"/>
        <w:spacing w:line="58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1.经济效益：通过违法案件查处，罚没收入缴入财政专户，增加政府的经济效益。</w:t>
      </w:r>
    </w:p>
    <w:p>
      <w:pPr>
        <w:adjustRightInd w:val="0"/>
        <w:snapToGrid w:val="0"/>
        <w:spacing w:line="58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2.社会效益：打击自然资源违法违规行为，维护良好的社会秩序。</w:t>
      </w:r>
    </w:p>
    <w:p>
      <w:pPr>
        <w:adjustRightInd w:val="0"/>
        <w:snapToGrid w:val="0"/>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3.对象满意度：上级主管部门100%满意。当事人100%满意。</w:t>
      </w:r>
    </w:p>
    <w:p>
      <w:pPr>
        <w:adjustRightInd w:val="0"/>
        <w:snapToGrid w:val="0"/>
        <w:spacing w:line="580" w:lineRule="exact"/>
        <w:ind w:firstLine="640" w:firstLineChars="200"/>
        <w:rPr>
          <w:rFonts w:ascii="黑体" w:hAnsi="宋体" w:eastAsia="黑体"/>
          <w:sz w:val="32"/>
          <w:szCs w:val="32"/>
        </w:rPr>
      </w:pPr>
      <w:r>
        <w:rPr>
          <w:rFonts w:hint="eastAsia" w:ascii="黑体" w:hAnsi="宋体" w:eastAsia="黑体"/>
          <w:sz w:val="32"/>
          <w:szCs w:val="32"/>
        </w:rPr>
        <w:t>五、评价结论及建议</w:t>
      </w:r>
    </w:p>
    <w:p>
      <w:pPr>
        <w:adjustRightInd w:val="0"/>
        <w:snapToGrid w:val="0"/>
        <w:spacing w:line="580" w:lineRule="exact"/>
        <w:ind w:firstLine="640" w:firstLineChars="200"/>
        <w:rPr>
          <w:rFonts w:hint="eastAsia" w:ascii="楷体_GB2312" w:hAnsi="宋体" w:eastAsia="楷体_GB2312"/>
          <w:b w:val="0"/>
          <w:bCs/>
          <w:sz w:val="32"/>
          <w:szCs w:val="32"/>
          <w:lang w:val="zh-CN"/>
        </w:rPr>
      </w:pPr>
      <w:r>
        <w:rPr>
          <w:rFonts w:hint="eastAsia" w:ascii="楷体_GB2312" w:hAnsi="宋体" w:eastAsia="楷体_GB2312"/>
          <w:b w:val="0"/>
          <w:bCs/>
          <w:sz w:val="32"/>
          <w:szCs w:val="32"/>
          <w:lang w:val="zh-CN"/>
        </w:rPr>
        <w:t>（一）评价结论</w:t>
      </w:r>
    </w:p>
    <w:p>
      <w:pPr>
        <w:adjustRightInd w:val="0"/>
        <w:snapToGrid w:val="0"/>
        <w:spacing w:line="580" w:lineRule="exact"/>
        <w:ind w:firstLine="640" w:firstLineChars="200"/>
        <w:rPr>
          <w:rFonts w:ascii="仿宋_GB2312" w:hAnsi="宋体" w:eastAsia="仿宋_GB2312"/>
          <w:sz w:val="32"/>
          <w:szCs w:val="32"/>
          <w:bdr w:val="single" w:color="auto" w:sz="4" w:space="0"/>
          <w:lang w:val="zh-CN"/>
        </w:rPr>
      </w:pPr>
      <w:r>
        <w:rPr>
          <w:rFonts w:hint="eastAsia" w:ascii="仿宋_GB2312" w:hAnsi="宋体" w:eastAsia="仿宋_GB2312"/>
          <w:sz w:val="32"/>
          <w:szCs w:val="32"/>
          <w:lang w:val="zh-CN"/>
        </w:rPr>
        <w:t>通过自评，自评得分</w:t>
      </w:r>
      <w:r>
        <w:rPr>
          <w:rFonts w:hint="eastAsia" w:ascii="仿宋_GB2312" w:hAnsi="宋体" w:eastAsia="仿宋_GB2312"/>
          <w:sz w:val="32"/>
          <w:szCs w:val="32"/>
        </w:rPr>
        <w:t>100分。</w:t>
      </w:r>
    </w:p>
    <w:p>
      <w:pPr>
        <w:adjustRightInd w:val="0"/>
        <w:snapToGrid w:val="0"/>
        <w:spacing w:line="580" w:lineRule="exact"/>
        <w:ind w:firstLine="640" w:firstLineChars="200"/>
        <w:rPr>
          <w:rFonts w:hint="eastAsia" w:ascii="楷体_GB2312" w:hAnsi="宋体" w:eastAsia="楷体_GB2312"/>
          <w:b w:val="0"/>
          <w:bCs/>
          <w:sz w:val="32"/>
          <w:szCs w:val="32"/>
          <w:lang w:val="zh-CN"/>
        </w:rPr>
      </w:pPr>
      <w:r>
        <w:rPr>
          <w:rFonts w:hint="eastAsia" w:ascii="楷体_GB2312" w:hAnsi="宋体" w:eastAsia="楷体_GB2312"/>
          <w:b w:val="0"/>
          <w:bCs/>
          <w:sz w:val="32"/>
          <w:szCs w:val="32"/>
          <w:lang w:val="zh-CN"/>
        </w:rPr>
        <w:t>（二）存在的问题</w:t>
      </w:r>
    </w:p>
    <w:p>
      <w:pPr>
        <w:adjustRightInd w:val="0"/>
        <w:snapToGrid w:val="0"/>
        <w:spacing w:line="58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通过自评，预算单位业务科室未提供充足的文件依据支撑，导致预算资金不能满足正常开展此项工作。</w:t>
      </w:r>
    </w:p>
    <w:p>
      <w:pPr>
        <w:adjustRightInd w:val="0"/>
        <w:snapToGrid w:val="0"/>
        <w:spacing w:line="580" w:lineRule="exact"/>
        <w:ind w:firstLine="640" w:firstLineChars="200"/>
        <w:rPr>
          <w:rFonts w:hint="eastAsia" w:ascii="楷体_GB2312" w:hAnsi="宋体" w:eastAsia="楷体_GB2312"/>
          <w:b w:val="0"/>
          <w:bCs/>
          <w:sz w:val="32"/>
          <w:szCs w:val="32"/>
          <w:lang w:val="zh-CN"/>
        </w:rPr>
      </w:pPr>
      <w:r>
        <w:rPr>
          <w:rFonts w:hint="eastAsia" w:ascii="楷体_GB2312" w:hAnsi="宋体" w:eastAsia="楷体_GB2312"/>
          <w:b w:val="0"/>
          <w:bCs/>
          <w:sz w:val="32"/>
          <w:szCs w:val="32"/>
          <w:lang w:val="zh-CN"/>
        </w:rPr>
        <w:t>（三）相关建议</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200" w:firstLine="320" w:firstLineChars="1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1.完善预算编制体系，提高预算编制科学性。</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财政部门的具体要求，完善财务预算编制的相关业务流程。预算编制工作是一项政策性、技术性和实效性要求都很强的工作，需要预算编制人员及部门具有较高的政策水平、专业技术水平很强的执行力。提高预算编制的准确性和前瞻性。同时，充分分析部门业务特点，总结部门历史经验合理编制单位预算。</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2.绩效目标的设置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宋体" w:eastAsia="仿宋_GB2312"/>
          <w:sz w:val="32"/>
          <w:szCs w:val="32"/>
          <w:lang w:val="zh-CN"/>
        </w:rPr>
      </w:pPr>
      <w:r>
        <w:rPr>
          <w:rFonts w:hint="eastAsia" w:ascii="仿宋_GB2312" w:hAnsi="仿宋_GB2312" w:eastAsia="仿宋_GB2312" w:cs="仿宋_GB2312"/>
          <w:sz w:val="32"/>
          <w:szCs w:val="32"/>
          <w:lang w:val="en-US" w:eastAsia="zh-CN"/>
        </w:rPr>
        <w:t>科学合理地设置绩效指标，提高预算绩效指标的针对性和可测性，充分发挥预算绩效目标管理的导向作用。</w:t>
      </w:r>
      <w:r>
        <w:rPr>
          <w:rFonts w:hint="eastAsia" w:ascii="仿宋_GB2312" w:hAnsi="宋体" w:eastAsia="仿宋_GB2312"/>
          <w:sz w:val="32"/>
          <w:szCs w:val="32"/>
          <w:lang w:val="zh-CN"/>
        </w:rPr>
        <w:t>一是完善内控制度，简化流程，促进项目及时开展。二是引进预算编制系统，进行预算指标细化分解。</w:t>
      </w: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8"/>
          <w:szCs w:val="48"/>
        </w:rPr>
      </w:pPr>
      <w:r>
        <w:rPr>
          <w:rFonts w:hint="eastAsia" w:ascii="方正小标宋_GBK" w:hAnsi="方正小标宋_GBK" w:eastAsia="方正小标宋_GBK" w:cs="方正小标宋_GBK"/>
          <w:i w:val="0"/>
          <w:iCs w:val="0"/>
          <w:color w:val="000000"/>
          <w:kern w:val="0"/>
          <w:sz w:val="48"/>
          <w:szCs w:val="48"/>
          <w:u w:val="none"/>
          <w:lang w:val="en-US" w:eastAsia="zh-CN" w:bidi="ar"/>
        </w:rPr>
        <w:t>项目支出绩效目标自评表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sz w:val="32"/>
          <w:szCs w:val="32"/>
        </w:rPr>
      </w:pPr>
      <w:r>
        <w:rPr>
          <w:rStyle w:val="31"/>
          <w:rFonts w:hint="eastAsia" w:ascii="楷体_GB2312" w:hAnsi="楷体_GB2312" w:eastAsia="楷体_GB2312" w:cs="楷体_GB2312"/>
          <w:sz w:val="32"/>
          <w:szCs w:val="32"/>
          <w:lang w:val="en-US" w:eastAsia="zh-CN" w:bidi="ar"/>
        </w:rPr>
        <w:t>（2021</w:t>
      </w:r>
      <w:r>
        <w:rPr>
          <w:rStyle w:val="30"/>
          <w:rFonts w:hint="eastAsia" w:ascii="楷体_GB2312" w:hAnsi="楷体_GB2312" w:eastAsia="楷体_GB2312" w:cs="楷体_GB2312"/>
          <w:sz w:val="32"/>
          <w:szCs w:val="32"/>
          <w:lang w:val="en-US" w:eastAsia="zh-CN" w:bidi="ar"/>
        </w:rPr>
        <w:t>年度）</w:t>
      </w:r>
    </w:p>
    <w:tbl>
      <w:tblPr>
        <w:tblStyle w:val="12"/>
        <w:tblW w:w="9239" w:type="dxa"/>
        <w:tblInd w:w="-2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12"/>
        <w:gridCol w:w="913"/>
        <w:gridCol w:w="3"/>
        <w:gridCol w:w="830"/>
        <w:gridCol w:w="998"/>
        <w:gridCol w:w="307"/>
        <w:gridCol w:w="607"/>
        <w:gridCol w:w="1148"/>
        <w:gridCol w:w="1137"/>
        <w:gridCol w:w="457"/>
        <w:gridCol w:w="19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8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项目名称</w:t>
            </w:r>
          </w:p>
        </w:tc>
        <w:tc>
          <w:tcPr>
            <w:tcW w:w="741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卫片执法及案件查处、动态巡查工作经费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8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主管单位</w:t>
            </w:r>
          </w:p>
        </w:tc>
        <w:tc>
          <w:tcPr>
            <w:tcW w:w="27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广元市自然资源局</w:t>
            </w:r>
          </w:p>
        </w:tc>
        <w:tc>
          <w:tcPr>
            <w:tcW w:w="22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实施单位</w:t>
            </w:r>
          </w:p>
        </w:tc>
        <w:tc>
          <w:tcPr>
            <w:tcW w:w="23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广元市自然资源局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82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预算执行情况</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（万元）</w:t>
            </w:r>
          </w:p>
        </w:tc>
        <w:tc>
          <w:tcPr>
            <w:tcW w:w="18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预算数：</w:t>
            </w:r>
          </w:p>
        </w:tc>
        <w:tc>
          <w:tcPr>
            <w:tcW w:w="20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8</w:t>
            </w:r>
          </w:p>
        </w:tc>
        <w:tc>
          <w:tcPr>
            <w:tcW w:w="15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执行数：</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4" w:hRule="atLeast"/>
        </w:trPr>
        <w:tc>
          <w:tcPr>
            <w:tcW w:w="182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8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其中：财政拨款</w:t>
            </w:r>
          </w:p>
        </w:tc>
        <w:tc>
          <w:tcPr>
            <w:tcW w:w="20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8</w:t>
            </w:r>
          </w:p>
        </w:tc>
        <w:tc>
          <w:tcPr>
            <w:tcW w:w="15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其中：财政拨款</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82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8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其他资金</w:t>
            </w:r>
          </w:p>
        </w:tc>
        <w:tc>
          <w:tcPr>
            <w:tcW w:w="20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其他资金</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7" w:hRule="atLeast"/>
        </w:trPr>
        <w:tc>
          <w:tcPr>
            <w:tcW w:w="9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年度</w:t>
            </w: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目标</w:t>
            </w: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完成</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情况</w:t>
            </w:r>
          </w:p>
        </w:tc>
        <w:tc>
          <w:tcPr>
            <w:tcW w:w="17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预期目标</w:t>
            </w:r>
          </w:p>
        </w:tc>
        <w:tc>
          <w:tcPr>
            <w:tcW w:w="658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实际完成目标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80" w:hRule="atLeast"/>
        </w:trPr>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完成2021年度自然资源动态巡查600次（含三个区），完成2021年度自然资源违法违规案件查处。</w:t>
            </w:r>
          </w:p>
        </w:tc>
        <w:tc>
          <w:tcPr>
            <w:tcW w:w="658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1.全年共组织开展动态巡查3100余次，参与巡查人员4200人次，重点区域巡查覆盖率100%。</w:t>
            </w:r>
          </w:p>
          <w:p>
            <w:pPr>
              <w:keepNext w:val="0"/>
              <w:keepLines w:val="0"/>
              <w:widowControl/>
              <w:suppressLineNumbers w:val="0"/>
              <w:jc w:val="both"/>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全年组织各县区局立案查处自然资源违法案133件,收缴罚没款14290.71万元。其中土地违法案件118件，违法占地面积10025亩，没收建筑物136393平方米，拆除建筑物57340平方米，收缴罚没款14163.96万元；矿产违法案件15件，收缴罚没款126.85万元。</w:t>
            </w:r>
          </w:p>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3.2021年，部、厅共下发我市卫片执法图斑8398个，已全部完成核查填报。经核查判定共发现土地违法用地图斑303个，涉及土地面积5146.62亩，发现矿产违法图斑4个。截至目前，已全部完成省厅下发的307个自主监测的实地核实和填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4" w:hRule="atLeast"/>
        </w:trPr>
        <w:tc>
          <w:tcPr>
            <w:tcW w:w="9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年度</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绩效</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指标</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完成</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情况</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一级指标</w:t>
            </w:r>
          </w:p>
        </w:tc>
        <w:tc>
          <w:tcPr>
            <w:tcW w:w="8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二级指标</w:t>
            </w:r>
          </w:p>
        </w:tc>
        <w:tc>
          <w:tcPr>
            <w:tcW w:w="13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三级指标</w:t>
            </w: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指标值（包含数字及文字描述）</w:t>
            </w:r>
          </w:p>
        </w:tc>
        <w:tc>
          <w:tcPr>
            <w:tcW w:w="3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实际完成指标值（包含数字及文字描述）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10" w:hRule="atLeast"/>
        </w:trPr>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1"/>
                <w:szCs w:val="21"/>
                <w:u w:val="none"/>
              </w:rPr>
            </w:pPr>
          </w:p>
        </w:tc>
        <w:tc>
          <w:tcPr>
            <w:tcW w:w="9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项目完成指标</w:t>
            </w:r>
          </w:p>
        </w:tc>
        <w:tc>
          <w:tcPr>
            <w:tcW w:w="83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数量指标</w:t>
            </w:r>
          </w:p>
        </w:tc>
        <w:tc>
          <w:tcPr>
            <w:tcW w:w="13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指标1：完成2021年自然资源动态巡查600次</w:t>
            </w: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全年共组织开展动态巡查600次，重点区域巡查覆盖率大于95%。</w:t>
            </w:r>
          </w:p>
        </w:tc>
        <w:tc>
          <w:tcPr>
            <w:tcW w:w="3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全年共组织开展动态巡查3100余次，参与巡查人员4200人次，重点区域巡查覆盖率100%。通过动态巡查共发现自然资源违法行为56件，制止56件,切实做到违法行为“早发现、早制止”。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4" w:hRule="atLeast"/>
        </w:trPr>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1"/>
                <w:szCs w:val="21"/>
                <w:u w:val="none"/>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1"/>
                <w:szCs w:val="21"/>
                <w:u w:val="none"/>
              </w:rPr>
            </w:pPr>
          </w:p>
        </w:tc>
        <w:tc>
          <w:tcPr>
            <w:tcW w:w="8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1"/>
                <w:szCs w:val="21"/>
                <w:u w:val="none"/>
              </w:rPr>
            </w:pPr>
          </w:p>
        </w:tc>
        <w:tc>
          <w:tcPr>
            <w:tcW w:w="13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指标2：完成2021年度违法案件及查处130宗</w:t>
            </w: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全年组织各县区局立案查处自然资源违法案130件。</w:t>
            </w:r>
          </w:p>
        </w:tc>
        <w:tc>
          <w:tcPr>
            <w:tcW w:w="3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年组织各县区局立案查处自然资源违法案133件,收缴罚没款14290.71万元。其中土地违法案件118件，违法占地面积10025亩，没收建筑物136393平方米，拆除建筑物57340平方米，收缴罚没款14163.96万元；矿产违法案件15件，收缴罚没款126.85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34" w:hRule="atLeast"/>
        </w:trPr>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1"/>
                <w:szCs w:val="21"/>
                <w:u w:val="none"/>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1"/>
                <w:szCs w:val="21"/>
                <w:u w:val="none"/>
              </w:rPr>
            </w:pPr>
          </w:p>
        </w:tc>
        <w:tc>
          <w:tcPr>
            <w:tcW w:w="8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1"/>
                <w:szCs w:val="21"/>
                <w:u w:val="none"/>
              </w:rPr>
            </w:pPr>
          </w:p>
        </w:tc>
        <w:tc>
          <w:tcPr>
            <w:tcW w:w="13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指标3：完成2021年度卫片执法图斑核查整改。</w:t>
            </w: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完成2021年部、厅下发的卫片执法图斑核查填报3000个以上。</w:t>
            </w:r>
          </w:p>
        </w:tc>
        <w:tc>
          <w:tcPr>
            <w:tcW w:w="3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2021年，部、厅共下发我市卫片执法图斑8398个，已全部完成核查填报。经核查判定共发现土地违法用地图斑303个，涉及土地面积5146.62亩，发现矿产违法图斑4个。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1"/>
                <w:szCs w:val="21"/>
                <w:u w:val="none"/>
              </w:rPr>
            </w:pPr>
          </w:p>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1"/>
                <w:szCs w:val="21"/>
                <w:u w:val="none"/>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1"/>
                <w:szCs w:val="21"/>
                <w:u w:val="none"/>
              </w:rPr>
            </w:pPr>
          </w:p>
        </w:tc>
        <w:tc>
          <w:tcPr>
            <w:tcW w:w="83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质量指标</w:t>
            </w:r>
          </w:p>
        </w:tc>
        <w:tc>
          <w:tcPr>
            <w:tcW w:w="13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自然资源动态巡查率</w:t>
            </w: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≥95%</w:t>
            </w:r>
          </w:p>
        </w:tc>
        <w:tc>
          <w:tcPr>
            <w:tcW w:w="3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1"/>
                <w:szCs w:val="21"/>
                <w:u w:val="none"/>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1"/>
                <w:szCs w:val="21"/>
                <w:u w:val="none"/>
              </w:rPr>
            </w:pPr>
          </w:p>
        </w:tc>
        <w:tc>
          <w:tcPr>
            <w:tcW w:w="8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1"/>
                <w:szCs w:val="21"/>
                <w:u w:val="none"/>
              </w:rPr>
            </w:pPr>
          </w:p>
        </w:tc>
        <w:tc>
          <w:tcPr>
            <w:tcW w:w="13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违法案件核查及查处率</w:t>
            </w: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w:t>
            </w:r>
          </w:p>
        </w:tc>
        <w:tc>
          <w:tcPr>
            <w:tcW w:w="3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1"/>
                <w:szCs w:val="21"/>
                <w:u w:val="none"/>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1"/>
                <w:szCs w:val="21"/>
                <w:u w:val="none"/>
              </w:rPr>
            </w:pPr>
          </w:p>
        </w:tc>
        <w:tc>
          <w:tcPr>
            <w:tcW w:w="8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1"/>
                <w:szCs w:val="21"/>
                <w:u w:val="none"/>
              </w:rPr>
            </w:pPr>
          </w:p>
        </w:tc>
        <w:tc>
          <w:tcPr>
            <w:tcW w:w="13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自然资源卫片执法图斑核查整改率</w:t>
            </w: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≥95%</w:t>
            </w:r>
          </w:p>
        </w:tc>
        <w:tc>
          <w:tcPr>
            <w:tcW w:w="3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1"/>
                <w:szCs w:val="21"/>
                <w:u w:val="none"/>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1"/>
                <w:szCs w:val="21"/>
                <w:u w:val="none"/>
              </w:rPr>
            </w:pPr>
          </w:p>
        </w:tc>
        <w:tc>
          <w:tcPr>
            <w:tcW w:w="83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成本指标</w:t>
            </w:r>
          </w:p>
        </w:tc>
        <w:tc>
          <w:tcPr>
            <w:tcW w:w="13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自然资源动态巡查及违法案件查处经费</w:t>
            </w: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5万元</w:t>
            </w:r>
          </w:p>
        </w:tc>
        <w:tc>
          <w:tcPr>
            <w:tcW w:w="3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1"/>
                <w:szCs w:val="21"/>
                <w:u w:val="none"/>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1"/>
                <w:szCs w:val="21"/>
                <w:u w:val="none"/>
              </w:rPr>
            </w:pPr>
          </w:p>
        </w:tc>
        <w:tc>
          <w:tcPr>
            <w:tcW w:w="8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1"/>
                <w:szCs w:val="21"/>
                <w:u w:val="none"/>
              </w:rPr>
            </w:pPr>
          </w:p>
        </w:tc>
        <w:tc>
          <w:tcPr>
            <w:tcW w:w="13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卫片执法图斑核查整改</w:t>
            </w: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3万元</w:t>
            </w:r>
          </w:p>
        </w:tc>
        <w:tc>
          <w:tcPr>
            <w:tcW w:w="3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1"/>
                <w:szCs w:val="21"/>
                <w:u w:val="none"/>
              </w:rPr>
            </w:pPr>
          </w:p>
        </w:tc>
        <w:tc>
          <w:tcPr>
            <w:tcW w:w="913"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项目效果指标</w:t>
            </w:r>
          </w:p>
        </w:tc>
        <w:tc>
          <w:tcPr>
            <w:tcW w:w="8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经济效益</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指标</w:t>
            </w:r>
          </w:p>
        </w:tc>
        <w:tc>
          <w:tcPr>
            <w:tcW w:w="13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罚没收入</w:t>
            </w: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增加政府经济收入400万元</w:t>
            </w:r>
          </w:p>
        </w:tc>
        <w:tc>
          <w:tcPr>
            <w:tcW w:w="3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增加政府经济收入14290.71万元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0" w:hRule="atLeast"/>
        </w:trPr>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1"/>
                <w:szCs w:val="21"/>
                <w:u w:val="none"/>
              </w:rPr>
            </w:pPr>
          </w:p>
        </w:tc>
        <w:tc>
          <w:tcPr>
            <w:tcW w:w="913"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1"/>
                <w:szCs w:val="21"/>
                <w:u w:val="none"/>
              </w:rPr>
            </w:pPr>
          </w:p>
        </w:tc>
        <w:tc>
          <w:tcPr>
            <w:tcW w:w="8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社会效益</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指标</w:t>
            </w:r>
          </w:p>
        </w:tc>
        <w:tc>
          <w:tcPr>
            <w:tcW w:w="13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违法案件查处</w:t>
            </w: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打击自然资源违法违规行为，维护良好的社会秩序，全力推进农村乱占耕地建房问题整治。</w:t>
            </w:r>
          </w:p>
        </w:tc>
        <w:tc>
          <w:tcPr>
            <w:tcW w:w="3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打击自然资源违法违规行为，维护良好的社会秩序，全力推进农村乱占耕地建房问题整治。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5" w:hRule="atLeast"/>
        </w:trPr>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1"/>
                <w:szCs w:val="21"/>
                <w:u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满意度指标</w:t>
            </w:r>
          </w:p>
        </w:tc>
        <w:tc>
          <w:tcPr>
            <w:tcW w:w="8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满意度指标</w:t>
            </w:r>
          </w:p>
        </w:tc>
        <w:tc>
          <w:tcPr>
            <w:tcW w:w="13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当事人满意度</w:t>
            </w: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3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r>
    </w:tbl>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spacing w:line="580" w:lineRule="exact"/>
        <w:jc w:val="center"/>
        <w:rPr>
          <w:rFonts w:ascii="方正小标宋简体" w:hAnsi="宋体" w:eastAsia="方正小标宋简体"/>
          <w:color w:val="000000"/>
          <w:kern w:val="0"/>
          <w:sz w:val="44"/>
          <w:szCs w:val="44"/>
          <w:lang w:val="zh-CN"/>
        </w:rPr>
      </w:pPr>
      <w:r>
        <w:rPr>
          <w:rFonts w:hint="eastAsia" w:ascii="方正小标宋简体" w:hAnsi="宋体" w:eastAsia="方正小标宋简体"/>
          <w:color w:val="000000"/>
          <w:kern w:val="0"/>
          <w:sz w:val="44"/>
          <w:szCs w:val="44"/>
          <w:lang w:val="en-US" w:eastAsia="zh-CN"/>
        </w:rPr>
        <w:t>项目工作经费</w:t>
      </w:r>
      <w:r>
        <w:rPr>
          <w:rFonts w:ascii="方正小标宋简体" w:hAnsi="宋体" w:eastAsia="方正小标宋简体"/>
          <w:color w:val="000000"/>
          <w:kern w:val="0"/>
          <w:sz w:val="44"/>
          <w:szCs w:val="44"/>
        </w:rPr>
        <w:t>202</w:t>
      </w:r>
      <w:r>
        <w:rPr>
          <w:rFonts w:hint="eastAsia" w:ascii="方正小标宋简体" w:hAnsi="宋体" w:eastAsia="方正小标宋简体"/>
          <w:color w:val="000000"/>
          <w:kern w:val="0"/>
          <w:sz w:val="44"/>
          <w:szCs w:val="44"/>
          <w:lang w:val="en-US" w:eastAsia="zh-CN"/>
        </w:rPr>
        <w:t>1</w:t>
      </w:r>
      <w:r>
        <w:rPr>
          <w:rFonts w:hint="eastAsia" w:ascii="方正小标宋简体" w:hAnsi="宋体" w:eastAsia="方正小标宋简体"/>
          <w:color w:val="000000"/>
          <w:kern w:val="0"/>
          <w:sz w:val="44"/>
          <w:szCs w:val="44"/>
        </w:rPr>
        <w:t>年</w:t>
      </w:r>
      <w:r>
        <w:rPr>
          <w:rFonts w:hint="eastAsia" w:ascii="方正小标宋简体" w:hAnsi="宋体" w:eastAsia="方正小标宋简体"/>
          <w:color w:val="000000"/>
          <w:kern w:val="0"/>
          <w:sz w:val="44"/>
          <w:szCs w:val="44"/>
          <w:lang w:val="zh-CN"/>
        </w:rPr>
        <w:t>绩效评价报告</w:t>
      </w:r>
    </w:p>
    <w:p>
      <w:pPr>
        <w:spacing w:line="600" w:lineRule="exact"/>
        <w:rPr>
          <w:rFonts w:ascii="宋体"/>
          <w:sz w:val="32"/>
          <w:szCs w:val="32"/>
          <w:lang w:val="zh-CN"/>
        </w:rPr>
      </w:pPr>
    </w:p>
    <w:p>
      <w:pPr>
        <w:adjustRightInd w:val="0"/>
        <w:snapToGrid w:val="0"/>
        <w:spacing w:line="580" w:lineRule="exact"/>
        <w:ind w:firstLine="640" w:firstLineChars="20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580" w:lineRule="exact"/>
        <w:ind w:firstLine="640" w:firstLineChars="200"/>
        <w:rPr>
          <w:rFonts w:hint="eastAsia" w:ascii="楷体_GB2312" w:hAnsi="宋体" w:eastAsia="楷体_GB2312"/>
          <w:b w:val="0"/>
          <w:bCs/>
          <w:sz w:val="32"/>
          <w:szCs w:val="32"/>
          <w:lang w:val="zh-CN"/>
        </w:rPr>
      </w:pPr>
      <w:r>
        <w:rPr>
          <w:rFonts w:hint="eastAsia" w:ascii="楷体_GB2312" w:hAnsi="宋体" w:eastAsia="楷体_GB2312"/>
          <w:b w:val="0"/>
          <w:bCs/>
          <w:sz w:val="32"/>
          <w:szCs w:val="32"/>
          <w:lang w:val="zh-CN"/>
        </w:rPr>
        <w:t>（一）项目基本情况</w:t>
      </w:r>
    </w:p>
    <w:p>
      <w:pPr>
        <w:adjustRightInd w:val="0"/>
        <w:snapToGrid w:val="0"/>
        <w:spacing w:line="580" w:lineRule="exact"/>
        <w:ind w:firstLine="640" w:firstLineChars="200"/>
        <w:rPr>
          <w:rFonts w:hint="eastAsia" w:ascii="仿宋_GB2312" w:hAnsi="宋体" w:eastAsia="仿宋_GB2312"/>
          <w:sz w:val="32"/>
          <w:szCs w:val="32"/>
          <w:lang w:val="zh-CN"/>
        </w:rPr>
      </w:pPr>
      <w:r>
        <w:rPr>
          <w:rFonts w:ascii="仿宋_GB2312" w:hAnsi="宋体" w:eastAsia="仿宋_GB2312"/>
          <w:sz w:val="32"/>
          <w:szCs w:val="32"/>
          <w:lang w:val="zh-CN"/>
        </w:rPr>
        <w:t>1</w:t>
      </w:r>
      <w:r>
        <w:rPr>
          <w:rFonts w:hint="eastAsia" w:ascii="仿宋_GB2312" w:hAnsi="宋体" w:eastAsia="仿宋_GB2312"/>
          <w:sz w:val="32"/>
          <w:szCs w:val="32"/>
          <w:lang w:val="zh-CN"/>
        </w:rPr>
        <w:t>．职能职责</w:t>
      </w:r>
    </w:p>
    <w:p>
      <w:pPr>
        <w:pageBreakBefore w:val="0"/>
        <w:widowControl w:val="0"/>
        <w:kinsoku/>
        <w:wordWrap/>
        <w:overflowPunct/>
        <w:topLinePunct w:val="0"/>
        <w:autoSpaceDE/>
        <w:autoSpaceDN/>
        <w:bidi w:val="0"/>
        <w:spacing w:line="576" w:lineRule="exact"/>
        <w:ind w:left="0" w:leftChars="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推动全市自然资源领域科技发展和对外合作。制定并实施全市自然资源领域科技创新发展和人才培养规划、计划。组织实施重大科技专项及创新能力建设，推进自然资源信息化和信息资料的公共服务。组织开展全市自然资源系统对外交流合作。</w:t>
      </w:r>
    </w:p>
    <w:p>
      <w:pPr>
        <w:spacing w:line="58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配合国家对县区政府落实党中央、国务院关于自然资源和国土空间规划的重大方针政策、决策部署及法律法规执行情况进行督察。按照市委、市政府安排，组织实施自然资源督查相关工作。查处全市自然资源开发利用、国土空间规划等领域重大违法案件。指导县区有关行政执法工作。</w:t>
      </w:r>
    </w:p>
    <w:p>
      <w:pPr>
        <w:numPr>
          <w:ilvl w:val="0"/>
          <w:numId w:val="10"/>
        </w:numPr>
        <w:adjustRightInd w:val="0"/>
        <w:snapToGrid w:val="0"/>
        <w:spacing w:line="580" w:lineRule="exact"/>
        <w:ind w:firstLine="640" w:firstLineChars="200"/>
        <w:rPr>
          <w:rFonts w:hint="eastAsia" w:ascii="仿宋_GB2312" w:hAnsi="宋体" w:eastAsia="仿宋_GB2312"/>
          <w:sz w:val="32"/>
          <w:szCs w:val="32"/>
          <w:lang w:val="zh-CN"/>
        </w:rPr>
      </w:pPr>
      <w:r>
        <w:rPr>
          <w:rFonts w:hint="eastAsia" w:ascii="仿宋_GB2312" w:hAnsi="宋体" w:eastAsia="仿宋_GB2312"/>
          <w:sz w:val="32"/>
          <w:szCs w:val="32"/>
          <w:lang w:val="zh-CN"/>
        </w:rPr>
        <w:t>项目立项、资金申报的依据。</w:t>
      </w:r>
    </w:p>
    <w:p>
      <w:pPr>
        <w:adjustRightInd w:val="0"/>
        <w:snapToGrid w:val="0"/>
        <w:spacing w:line="580" w:lineRule="exact"/>
        <w:ind w:firstLine="640" w:firstLineChars="200"/>
        <w:rPr>
          <w:rFonts w:hint="eastAsia" w:ascii="仿宋_GB2312" w:hAnsi="宋体" w:eastAsia="仿宋_GB2312"/>
          <w:sz w:val="32"/>
          <w:szCs w:val="32"/>
          <w:lang w:val="zh-CN"/>
        </w:rPr>
      </w:pPr>
      <w:r>
        <w:rPr>
          <w:rFonts w:hint="eastAsia" w:ascii="仿宋_GB2312" w:hAnsi="宋体" w:eastAsia="仿宋_GB2312"/>
          <w:sz w:val="32"/>
          <w:szCs w:val="32"/>
          <w:lang w:val="zh-CN"/>
        </w:rPr>
        <w:t>根据政府下达的目标任务及经济建设和项目投资“大比武”战略，积极向上争取资金约2.9亿元。通过积极争取中央和省级专项资金及土地增减挂钩结余指表流转，达到增加政府收益，促进我市的经济建设和自然资源各项管理工作。</w:t>
      </w:r>
    </w:p>
    <w:p>
      <w:pPr>
        <w:numPr>
          <w:ilvl w:val="0"/>
          <w:numId w:val="10"/>
        </w:numPr>
        <w:adjustRightInd w:val="0"/>
        <w:snapToGrid w:val="0"/>
        <w:spacing w:line="580" w:lineRule="exact"/>
        <w:ind w:firstLine="640" w:firstLineChars="200"/>
        <w:rPr>
          <w:rFonts w:hint="eastAsia" w:ascii="仿宋_GB2312" w:hAnsi="宋体" w:eastAsia="仿宋_GB2312"/>
          <w:sz w:val="32"/>
          <w:szCs w:val="32"/>
          <w:lang w:val="zh-CN"/>
        </w:rPr>
      </w:pPr>
      <w:r>
        <w:rPr>
          <w:rFonts w:hint="eastAsia" w:ascii="仿宋_GB2312" w:hAnsi="宋体" w:eastAsia="仿宋_GB2312"/>
          <w:sz w:val="32"/>
          <w:szCs w:val="32"/>
          <w:lang w:val="zh-CN"/>
        </w:rPr>
        <w:t>资金管理办法制定情况，资金支持具体项目的条件、范围与支持方式概况。</w:t>
      </w:r>
    </w:p>
    <w:p>
      <w:pPr>
        <w:adjustRightInd w:val="0"/>
        <w:snapToGrid w:val="0"/>
        <w:spacing w:line="580" w:lineRule="exact"/>
        <w:ind w:firstLine="640" w:firstLineChars="200"/>
        <w:rPr>
          <w:rFonts w:hint="eastAsia" w:ascii="仿宋_GB2312" w:hAnsi="宋体" w:eastAsia="仿宋_GB2312"/>
          <w:sz w:val="32"/>
          <w:szCs w:val="32"/>
          <w:lang w:val="zh-CN"/>
        </w:rPr>
      </w:pPr>
      <w:r>
        <w:rPr>
          <w:rFonts w:hint="eastAsia" w:ascii="仿宋_GB2312" w:hAnsi="宋体" w:eastAsia="仿宋_GB2312"/>
          <w:sz w:val="32"/>
          <w:szCs w:val="32"/>
          <w:lang w:val="zh-CN"/>
        </w:rPr>
        <w:t>我局制定了《三重一大制度》，《财务管理制度》和《项目管理制度》，支付时严格按照相关制度执行，项目资金专款专用。</w:t>
      </w:r>
    </w:p>
    <w:p>
      <w:pPr>
        <w:numPr>
          <w:ilvl w:val="0"/>
          <w:numId w:val="10"/>
        </w:numPr>
        <w:adjustRightInd w:val="0"/>
        <w:snapToGrid w:val="0"/>
        <w:spacing w:line="580" w:lineRule="exact"/>
        <w:ind w:firstLine="640" w:firstLineChars="200"/>
        <w:rPr>
          <w:rFonts w:hint="eastAsia" w:ascii="仿宋_GB2312" w:hAnsi="宋体" w:eastAsia="仿宋_GB2312"/>
          <w:sz w:val="32"/>
          <w:szCs w:val="32"/>
          <w:lang w:val="zh-CN"/>
        </w:rPr>
      </w:pPr>
      <w:r>
        <w:rPr>
          <w:rFonts w:hint="eastAsia" w:ascii="仿宋_GB2312" w:hAnsi="宋体" w:eastAsia="仿宋_GB2312"/>
          <w:sz w:val="32"/>
          <w:szCs w:val="32"/>
          <w:lang w:val="zh-CN"/>
        </w:rPr>
        <w:t>资金分配的原则及考虑因素。</w:t>
      </w:r>
    </w:p>
    <w:p>
      <w:pPr>
        <w:adjustRightInd w:val="0"/>
        <w:snapToGrid w:val="0"/>
        <w:spacing w:line="580" w:lineRule="exact"/>
        <w:ind w:firstLine="640" w:firstLineChars="200"/>
        <w:rPr>
          <w:rFonts w:hint="eastAsia" w:ascii="仿宋_GB2312" w:hAnsi="宋体" w:eastAsia="仿宋_GB2312"/>
          <w:sz w:val="32"/>
          <w:szCs w:val="32"/>
          <w:lang w:val="zh-CN"/>
        </w:rPr>
      </w:pPr>
      <w:r>
        <w:rPr>
          <w:rFonts w:hint="eastAsia" w:ascii="仿宋_GB2312" w:hAnsi="宋体" w:eastAsia="仿宋_GB2312"/>
          <w:sz w:val="32"/>
          <w:szCs w:val="32"/>
          <w:lang w:val="zh-CN"/>
        </w:rPr>
        <w:t>此项目是一项财政一般公共预算的常规性项目，只是日常的工作经费，财政根据我局年初编报的项目绩效目标和通过市人大的审核后直接下达指标。</w:t>
      </w:r>
    </w:p>
    <w:p>
      <w:pPr>
        <w:adjustRightInd w:val="0"/>
        <w:snapToGrid w:val="0"/>
        <w:spacing w:line="580" w:lineRule="exact"/>
        <w:ind w:firstLine="640" w:firstLineChars="200"/>
        <w:rPr>
          <w:rFonts w:hint="eastAsia" w:ascii="楷体_GB2312" w:hAnsi="宋体" w:eastAsia="楷体_GB2312"/>
          <w:b w:val="0"/>
          <w:bCs/>
          <w:sz w:val="32"/>
          <w:szCs w:val="32"/>
          <w:lang w:val="zh-CN"/>
        </w:rPr>
      </w:pPr>
      <w:r>
        <w:rPr>
          <w:rFonts w:hint="eastAsia" w:ascii="楷体_GB2312" w:hAnsi="宋体" w:eastAsia="楷体_GB2312"/>
          <w:b w:val="0"/>
          <w:bCs/>
          <w:sz w:val="32"/>
          <w:szCs w:val="32"/>
          <w:lang w:val="zh-CN"/>
        </w:rPr>
        <w:t>（二）项目绩效目标</w:t>
      </w:r>
    </w:p>
    <w:p>
      <w:pPr>
        <w:adjustRightInd w:val="0"/>
        <w:snapToGrid w:val="0"/>
        <w:spacing w:line="580" w:lineRule="exact"/>
        <w:ind w:firstLine="640" w:firstLineChars="200"/>
        <w:rPr>
          <w:rFonts w:hint="eastAsia" w:ascii="仿宋_GB2312" w:hAnsi="宋体" w:eastAsia="仿宋_GB2312"/>
          <w:sz w:val="32"/>
          <w:szCs w:val="32"/>
          <w:lang w:val="zh-CN"/>
        </w:rPr>
      </w:pPr>
      <w:r>
        <w:rPr>
          <w:rFonts w:ascii="仿宋_GB2312" w:hAnsi="宋体" w:eastAsia="仿宋_GB2312"/>
          <w:sz w:val="32"/>
          <w:szCs w:val="32"/>
          <w:lang w:val="zh-CN"/>
        </w:rPr>
        <w:t>1</w:t>
      </w:r>
      <w:r>
        <w:rPr>
          <w:rFonts w:hint="eastAsia" w:ascii="仿宋_GB2312" w:hAnsi="宋体" w:eastAsia="仿宋_GB2312"/>
          <w:sz w:val="32"/>
          <w:szCs w:val="32"/>
          <w:lang w:val="zh-CN"/>
        </w:rPr>
        <w:t>．项目主要内容。</w:t>
      </w:r>
    </w:p>
    <w:p>
      <w:pPr>
        <w:numPr>
          <w:ilvl w:val="0"/>
          <w:numId w:val="0"/>
        </w:numPr>
        <w:adjustRightInd w:val="0"/>
        <w:snapToGrid w:val="0"/>
        <w:spacing w:line="580" w:lineRule="exact"/>
        <w:rPr>
          <w:rFonts w:hint="eastAsia" w:ascii="仿宋_GB2312" w:hAnsi="宋体" w:eastAsia="仿宋_GB2312"/>
          <w:sz w:val="32"/>
          <w:szCs w:val="32"/>
          <w:lang w:val="zh-CN"/>
        </w:rPr>
      </w:pPr>
      <w:r>
        <w:rPr>
          <w:rFonts w:hint="eastAsia" w:ascii="仿宋_GB2312" w:hAnsi="宋体" w:eastAsia="仿宋_GB2312"/>
          <w:sz w:val="32"/>
          <w:szCs w:val="32"/>
          <w:lang w:val="zh-CN"/>
        </w:rPr>
        <w:t>根据政府下达的目标任务及经济建设和项目投资“大比武”战略，积极向上争取资金约2.9亿元。通过积极争取中央和省级专项资金及土地增减挂钩结余指表流转，达到增加政府收益，促进我市的经济建设和自然资源各项管理工作。项目应实现的具体绩效目标，包括目标的量化、细化情况以及项目实施进度计划等。</w:t>
      </w:r>
    </w:p>
    <w:p>
      <w:pPr>
        <w:adjustRightInd w:val="0"/>
        <w:snapToGrid w:val="0"/>
        <w:spacing w:line="580" w:lineRule="exact"/>
        <w:ind w:firstLine="640" w:firstLineChars="200"/>
        <w:rPr>
          <w:rFonts w:hint="eastAsia" w:ascii="仿宋_GB2312" w:hAnsi="宋体" w:eastAsia="仿宋_GB2312"/>
          <w:sz w:val="32"/>
          <w:szCs w:val="32"/>
          <w:lang w:val="zh-CN"/>
        </w:rPr>
      </w:pPr>
    </w:p>
    <w:p>
      <w:pPr>
        <w:numPr>
          <w:ilvl w:val="0"/>
          <w:numId w:val="0"/>
        </w:numPr>
        <w:adjustRightInd w:val="0"/>
        <w:snapToGrid w:val="0"/>
        <w:spacing w:line="580" w:lineRule="exact"/>
        <w:ind w:firstLine="640" w:firstLineChars="200"/>
        <w:rPr>
          <w:rFonts w:hint="eastAsia" w:ascii="仿宋_GB2312" w:hAnsi="宋体" w:eastAsia="仿宋_GB2312"/>
          <w:sz w:val="32"/>
          <w:szCs w:val="32"/>
          <w:lang w:val="zh-CN"/>
        </w:rPr>
      </w:pPr>
      <w:r>
        <w:rPr>
          <w:rFonts w:hint="eastAsia" w:ascii="仿宋_GB2312" w:hAnsi="宋体" w:eastAsia="仿宋_GB2312"/>
          <w:sz w:val="32"/>
          <w:szCs w:val="32"/>
          <w:lang w:val="en-US" w:eastAsia="zh-CN"/>
        </w:rPr>
        <w:t>2.</w:t>
      </w:r>
      <w:r>
        <w:rPr>
          <w:rFonts w:hint="eastAsia" w:ascii="仿宋_GB2312" w:hAnsi="宋体" w:eastAsia="仿宋_GB2312"/>
          <w:sz w:val="32"/>
          <w:szCs w:val="32"/>
          <w:lang w:val="zh-CN"/>
        </w:rPr>
        <w:t>分析评价申报内容是否与实际相符，申报目标是否合理可行。</w:t>
      </w:r>
    </w:p>
    <w:p>
      <w:pPr>
        <w:adjustRightInd w:val="0"/>
        <w:snapToGrid w:val="0"/>
        <w:spacing w:line="580" w:lineRule="exact"/>
        <w:ind w:firstLine="640" w:firstLineChars="200"/>
        <w:rPr>
          <w:rFonts w:hint="eastAsia" w:ascii="仿宋_GB2312" w:hAnsi="宋体" w:eastAsia="仿宋_GB2312"/>
          <w:sz w:val="32"/>
          <w:szCs w:val="32"/>
          <w:lang w:val="zh-CN"/>
        </w:rPr>
      </w:pPr>
      <w:r>
        <w:rPr>
          <w:rFonts w:hint="eastAsia" w:ascii="仿宋_GB2312" w:hAnsi="宋体" w:eastAsia="仿宋_GB2312"/>
          <w:sz w:val="32"/>
          <w:szCs w:val="32"/>
          <w:lang w:val="zh-CN"/>
        </w:rPr>
        <w:t>申报内容与实际相符，申报目标合理可行。</w:t>
      </w:r>
    </w:p>
    <w:p>
      <w:pPr>
        <w:adjustRightInd w:val="0"/>
        <w:snapToGrid w:val="0"/>
        <w:spacing w:line="580" w:lineRule="exact"/>
        <w:ind w:firstLine="640" w:firstLineChars="200"/>
        <w:rPr>
          <w:rFonts w:hint="eastAsia" w:ascii="楷体_GB2312" w:hAnsi="宋体" w:eastAsia="楷体_GB2312"/>
          <w:b w:val="0"/>
          <w:bCs/>
          <w:sz w:val="32"/>
          <w:szCs w:val="32"/>
          <w:lang w:val="zh-CN"/>
        </w:rPr>
      </w:pPr>
      <w:r>
        <w:rPr>
          <w:rFonts w:hint="eastAsia" w:ascii="楷体_GB2312" w:hAnsi="宋体" w:eastAsia="楷体_GB2312"/>
          <w:b w:val="0"/>
          <w:bCs/>
          <w:sz w:val="32"/>
          <w:szCs w:val="32"/>
          <w:lang w:val="zh-CN"/>
        </w:rPr>
        <w:t>（三）项目自评步骤及方法</w:t>
      </w:r>
    </w:p>
    <w:p>
      <w:pPr>
        <w:adjustRightInd w:val="0"/>
        <w:snapToGrid w:val="0"/>
        <w:spacing w:line="58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年末通过数量指标、质量指标及产生的社会效益和政府满意度来自评项目绩效完成情况。</w:t>
      </w:r>
    </w:p>
    <w:p>
      <w:pPr>
        <w:adjustRightInd w:val="0"/>
        <w:snapToGrid w:val="0"/>
        <w:spacing w:line="580" w:lineRule="exact"/>
        <w:ind w:firstLine="640" w:firstLineChars="20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580" w:lineRule="exact"/>
        <w:ind w:firstLine="640" w:firstLineChars="200"/>
        <w:rPr>
          <w:rFonts w:hint="eastAsia" w:ascii="楷体_GB2312" w:hAnsi="宋体" w:eastAsia="楷体_GB2312"/>
          <w:b w:val="0"/>
          <w:bCs/>
          <w:sz w:val="32"/>
          <w:szCs w:val="32"/>
          <w:lang w:val="zh-CN"/>
        </w:rPr>
      </w:pPr>
      <w:r>
        <w:rPr>
          <w:rFonts w:hint="eastAsia" w:ascii="楷体_GB2312" w:hAnsi="宋体" w:eastAsia="楷体_GB2312"/>
          <w:b w:val="0"/>
          <w:bCs/>
          <w:sz w:val="32"/>
          <w:szCs w:val="32"/>
          <w:lang w:val="zh-CN"/>
        </w:rPr>
        <w:t>（一）项目资金申报及批复情况</w:t>
      </w:r>
    </w:p>
    <w:p>
      <w:pPr>
        <w:adjustRightInd w:val="0"/>
        <w:snapToGrid w:val="0"/>
        <w:spacing w:line="58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lang w:val="zh-CN"/>
        </w:rPr>
        <w:t>年初我局申报项目工作经费</w:t>
      </w:r>
      <w:r>
        <w:rPr>
          <w:rFonts w:hint="eastAsia" w:ascii="仿宋_GB2312" w:hAnsi="宋体" w:eastAsia="仿宋_GB2312"/>
          <w:sz w:val="32"/>
          <w:szCs w:val="32"/>
          <w:lang w:val="en-US" w:eastAsia="zh-CN"/>
        </w:rPr>
        <w:t>20</w:t>
      </w:r>
      <w:r>
        <w:rPr>
          <w:rFonts w:hint="eastAsia" w:ascii="仿宋_GB2312" w:hAnsi="宋体" w:eastAsia="仿宋_GB2312"/>
          <w:sz w:val="32"/>
          <w:szCs w:val="32"/>
        </w:rPr>
        <w:t>万元，财政批复</w:t>
      </w:r>
      <w:r>
        <w:rPr>
          <w:rFonts w:hint="eastAsia" w:ascii="仿宋_GB2312" w:hAnsi="宋体" w:eastAsia="仿宋_GB2312"/>
          <w:sz w:val="32"/>
          <w:szCs w:val="32"/>
          <w:lang w:val="en-US" w:eastAsia="zh-CN"/>
        </w:rPr>
        <w:t>15</w:t>
      </w:r>
      <w:r>
        <w:rPr>
          <w:rFonts w:hint="eastAsia" w:ascii="仿宋_GB2312" w:hAnsi="宋体" w:eastAsia="仿宋_GB2312"/>
          <w:sz w:val="32"/>
          <w:szCs w:val="32"/>
        </w:rPr>
        <w:t>万元。</w:t>
      </w:r>
    </w:p>
    <w:p>
      <w:pPr>
        <w:adjustRightInd w:val="0"/>
        <w:snapToGrid w:val="0"/>
        <w:spacing w:line="580" w:lineRule="exact"/>
        <w:ind w:firstLine="640" w:firstLineChars="200"/>
        <w:rPr>
          <w:rFonts w:hint="eastAsia" w:ascii="楷体_GB2312" w:hAnsi="宋体" w:eastAsia="楷体_GB2312"/>
          <w:b w:val="0"/>
          <w:bCs/>
          <w:sz w:val="32"/>
          <w:szCs w:val="32"/>
          <w:lang w:val="zh-CN"/>
        </w:rPr>
      </w:pPr>
      <w:r>
        <w:rPr>
          <w:rFonts w:hint="eastAsia" w:ascii="楷体_GB2312" w:hAnsi="宋体" w:eastAsia="楷体_GB2312"/>
          <w:b w:val="0"/>
          <w:bCs/>
          <w:sz w:val="32"/>
          <w:szCs w:val="32"/>
          <w:lang w:val="zh-CN"/>
        </w:rPr>
        <w:t>（二）资金计划、到位及使用情况</w:t>
      </w:r>
    </w:p>
    <w:p>
      <w:pPr>
        <w:adjustRightInd w:val="0"/>
        <w:snapToGrid w:val="0"/>
        <w:spacing w:line="580" w:lineRule="exact"/>
        <w:ind w:firstLine="640" w:firstLineChars="200"/>
        <w:rPr>
          <w:rFonts w:hint="eastAsia" w:ascii="楷体_GB2312" w:hAnsi="宋体" w:eastAsia="楷体_GB2312"/>
          <w:sz w:val="32"/>
          <w:szCs w:val="32"/>
          <w:lang w:val="zh-CN"/>
        </w:rPr>
      </w:pPr>
      <w:r>
        <w:rPr>
          <w:rFonts w:ascii="楷体_GB2312" w:hAnsi="宋体" w:eastAsia="楷体_GB2312"/>
          <w:sz w:val="32"/>
          <w:szCs w:val="32"/>
          <w:lang w:val="zh-CN"/>
        </w:rPr>
        <w:t>1</w:t>
      </w:r>
      <w:r>
        <w:rPr>
          <w:rFonts w:hint="eastAsia" w:ascii="楷体_GB2312" w:hAnsi="宋体" w:eastAsia="楷体_GB2312"/>
          <w:sz w:val="32"/>
          <w:szCs w:val="32"/>
          <w:lang w:val="zh-CN"/>
        </w:rPr>
        <w:t>．资金计划。</w:t>
      </w:r>
    </w:p>
    <w:p>
      <w:pPr>
        <w:adjustRightInd w:val="0"/>
        <w:snapToGrid w:val="0"/>
        <w:spacing w:line="580" w:lineRule="exact"/>
        <w:ind w:firstLine="640" w:firstLineChars="200"/>
        <w:rPr>
          <w:rFonts w:ascii="仿宋_GB2312" w:hAnsi="宋体" w:eastAsia="仿宋_GB2312"/>
          <w:sz w:val="32"/>
          <w:szCs w:val="32"/>
          <w:lang w:val="zh-CN"/>
        </w:rPr>
      </w:pPr>
      <w:r>
        <w:rPr>
          <w:rFonts w:hint="eastAsia" w:ascii="楷体_GB2312" w:hAnsi="宋体" w:eastAsia="楷体_GB2312"/>
          <w:sz w:val="32"/>
          <w:szCs w:val="32"/>
          <w:lang w:val="zh-CN"/>
        </w:rPr>
        <w:t>此项目属于常规性工作经费项目，财政用一般公共预算资金安排资金</w:t>
      </w:r>
      <w:r>
        <w:rPr>
          <w:rFonts w:hint="eastAsia" w:ascii="楷体_GB2312" w:hAnsi="宋体" w:eastAsia="楷体_GB2312"/>
          <w:sz w:val="32"/>
          <w:szCs w:val="32"/>
          <w:lang w:val="en-US" w:eastAsia="zh-CN"/>
        </w:rPr>
        <w:t>15</w:t>
      </w:r>
      <w:r>
        <w:rPr>
          <w:rFonts w:hint="eastAsia" w:ascii="楷体_GB2312" w:hAnsi="宋体" w:eastAsia="楷体_GB2312"/>
          <w:sz w:val="32"/>
          <w:szCs w:val="32"/>
        </w:rPr>
        <w:t>万元</w:t>
      </w:r>
      <w:r>
        <w:rPr>
          <w:rFonts w:hint="eastAsia" w:ascii="仿宋_GB2312" w:hAnsi="宋体" w:eastAsia="仿宋_GB2312"/>
          <w:sz w:val="32"/>
          <w:szCs w:val="32"/>
          <w:lang w:val="zh-CN"/>
        </w:rPr>
        <w:t>。</w:t>
      </w:r>
    </w:p>
    <w:p>
      <w:pPr>
        <w:numPr>
          <w:ilvl w:val="0"/>
          <w:numId w:val="12"/>
        </w:numPr>
        <w:adjustRightInd w:val="0"/>
        <w:snapToGrid w:val="0"/>
        <w:spacing w:line="580" w:lineRule="exact"/>
        <w:ind w:firstLine="640" w:firstLineChars="200"/>
        <w:rPr>
          <w:rFonts w:hint="eastAsia" w:ascii="楷体_GB2312" w:hAnsi="宋体" w:eastAsia="楷体_GB2312"/>
          <w:sz w:val="32"/>
          <w:szCs w:val="32"/>
        </w:rPr>
      </w:pPr>
      <w:r>
        <w:rPr>
          <w:rFonts w:hint="eastAsia" w:ascii="楷体_GB2312" w:hAnsi="宋体" w:eastAsia="楷体_GB2312"/>
          <w:sz w:val="32"/>
          <w:szCs w:val="32"/>
          <w:lang w:val="zh-CN"/>
        </w:rPr>
        <w:t>资金到位。</w:t>
      </w:r>
      <w:r>
        <w:rPr>
          <w:rFonts w:hint="eastAsia" w:ascii="楷体_GB2312" w:hAnsi="宋体" w:eastAsia="楷体_GB2312"/>
          <w:sz w:val="32"/>
          <w:szCs w:val="32"/>
        </w:rPr>
        <w:t>截止202</w:t>
      </w:r>
      <w:r>
        <w:rPr>
          <w:rFonts w:hint="eastAsia" w:ascii="楷体_GB2312" w:hAnsi="宋体" w:eastAsia="楷体_GB2312"/>
          <w:sz w:val="32"/>
          <w:szCs w:val="32"/>
          <w:lang w:val="en-US" w:eastAsia="zh-CN"/>
        </w:rPr>
        <w:t>1</w:t>
      </w:r>
      <w:r>
        <w:rPr>
          <w:rFonts w:hint="eastAsia" w:ascii="楷体_GB2312" w:hAnsi="宋体" w:eastAsia="楷体_GB2312"/>
          <w:sz w:val="32"/>
          <w:szCs w:val="32"/>
        </w:rPr>
        <w:t>年12月31日，财政拨付一般公共预算项目资金</w:t>
      </w:r>
      <w:r>
        <w:rPr>
          <w:rFonts w:hint="eastAsia" w:ascii="楷体_GB2312" w:hAnsi="宋体" w:eastAsia="楷体_GB2312"/>
          <w:sz w:val="32"/>
          <w:szCs w:val="32"/>
          <w:lang w:val="en-US" w:eastAsia="zh-CN"/>
        </w:rPr>
        <w:t>15</w:t>
      </w:r>
      <w:r>
        <w:rPr>
          <w:rFonts w:hint="eastAsia" w:ascii="楷体_GB2312" w:hAnsi="宋体" w:eastAsia="楷体_GB2312"/>
          <w:sz w:val="32"/>
          <w:szCs w:val="32"/>
        </w:rPr>
        <w:t>万元。</w:t>
      </w:r>
    </w:p>
    <w:p>
      <w:pPr>
        <w:adjustRightInd w:val="0"/>
        <w:snapToGrid w:val="0"/>
        <w:spacing w:line="580" w:lineRule="exact"/>
        <w:ind w:firstLine="640" w:firstLineChars="200"/>
        <w:rPr>
          <w:rFonts w:ascii="仿宋_GB2312" w:hAnsi="宋体" w:eastAsia="仿宋_GB2312"/>
          <w:sz w:val="32"/>
          <w:szCs w:val="32"/>
          <w:lang w:val="zh-CN"/>
        </w:rPr>
      </w:pPr>
      <w:r>
        <w:rPr>
          <w:rFonts w:ascii="楷体_GB2312" w:hAnsi="宋体" w:eastAsia="楷体_GB2312"/>
          <w:sz w:val="32"/>
          <w:szCs w:val="32"/>
          <w:lang w:val="zh-CN"/>
        </w:rPr>
        <w:t>3</w:t>
      </w:r>
      <w:r>
        <w:rPr>
          <w:rFonts w:hint="eastAsia" w:ascii="楷体_GB2312" w:hAnsi="宋体" w:eastAsia="楷体_GB2312"/>
          <w:sz w:val="32"/>
          <w:szCs w:val="32"/>
          <w:lang w:val="zh-CN"/>
        </w:rPr>
        <w:t>．资金使用。</w:t>
      </w:r>
      <w:r>
        <w:rPr>
          <w:rFonts w:hint="eastAsia" w:ascii="仿宋_GB2312" w:hAnsi="宋体" w:eastAsia="仿宋_GB2312"/>
          <w:sz w:val="32"/>
          <w:szCs w:val="32"/>
          <w:lang w:val="zh-CN"/>
        </w:rPr>
        <w:t>全年</w:t>
      </w:r>
      <w:r>
        <w:rPr>
          <w:rFonts w:hint="eastAsia" w:ascii="仿宋_GB2312" w:hAnsi="宋体" w:eastAsia="仿宋_GB2312"/>
          <w:sz w:val="32"/>
          <w:szCs w:val="32"/>
          <w:lang w:val="en-US" w:eastAsia="zh-CN"/>
        </w:rPr>
        <w:t>支付向上争取项目资金</w:t>
      </w:r>
      <w:r>
        <w:rPr>
          <w:rFonts w:hint="eastAsia" w:ascii="仿宋_GB2312" w:hAnsi="宋体" w:eastAsia="仿宋_GB2312"/>
          <w:sz w:val="32"/>
          <w:szCs w:val="32"/>
        </w:rPr>
        <w:t>的差旅费、打印费、</w:t>
      </w:r>
      <w:r>
        <w:rPr>
          <w:rFonts w:hint="eastAsia" w:ascii="仿宋_GB2312" w:hAnsi="宋体" w:eastAsia="仿宋_GB2312"/>
          <w:sz w:val="32"/>
          <w:szCs w:val="32"/>
          <w:lang w:val="en-US" w:eastAsia="zh-CN"/>
        </w:rPr>
        <w:t>办公费、租车费、</w:t>
      </w:r>
      <w:r>
        <w:rPr>
          <w:rFonts w:hint="eastAsia" w:ascii="仿宋_GB2312" w:hAnsi="宋体" w:eastAsia="仿宋_GB2312"/>
          <w:sz w:val="32"/>
          <w:szCs w:val="32"/>
        </w:rPr>
        <w:t>宣传费等费用。</w:t>
      </w:r>
    </w:p>
    <w:p>
      <w:pPr>
        <w:adjustRightInd w:val="0"/>
        <w:snapToGrid w:val="0"/>
        <w:spacing w:line="580" w:lineRule="exact"/>
        <w:ind w:firstLine="640" w:firstLineChars="200"/>
        <w:rPr>
          <w:rFonts w:hint="eastAsia" w:ascii="楷体_GB2312" w:hAnsi="宋体" w:eastAsia="楷体_GB2312"/>
          <w:b w:val="0"/>
          <w:bCs/>
          <w:sz w:val="32"/>
          <w:szCs w:val="32"/>
          <w:lang w:val="zh-CN"/>
        </w:rPr>
      </w:pPr>
      <w:r>
        <w:rPr>
          <w:rFonts w:hint="eastAsia" w:ascii="楷体_GB2312" w:hAnsi="宋体" w:eastAsia="楷体_GB2312"/>
          <w:b w:val="0"/>
          <w:bCs/>
          <w:sz w:val="32"/>
          <w:szCs w:val="32"/>
          <w:lang w:val="zh-CN"/>
        </w:rPr>
        <w:t>（三）项目财务管理情况</w:t>
      </w:r>
    </w:p>
    <w:p>
      <w:pPr>
        <w:adjustRightInd w:val="0"/>
        <w:snapToGrid w:val="0"/>
        <w:spacing w:line="580" w:lineRule="exact"/>
        <w:ind w:firstLine="640" w:firstLineChars="200"/>
        <w:rPr>
          <w:rFonts w:hint="eastAsia" w:ascii="楷体_GB2312" w:hAnsi="宋体" w:eastAsia="楷体_GB2312"/>
          <w:bCs/>
          <w:sz w:val="32"/>
          <w:szCs w:val="32"/>
        </w:rPr>
      </w:pPr>
      <w:r>
        <w:rPr>
          <w:rFonts w:hint="eastAsia" w:ascii="楷体_GB2312" w:hAnsi="宋体" w:eastAsia="楷体_GB2312"/>
          <w:bCs/>
          <w:sz w:val="32"/>
          <w:szCs w:val="32"/>
        </w:rPr>
        <w:t>我局制度了《财务管理制度》和《专项资金管理制度》，项目支付过程中严格执行相关制度，专款专用，无截留，无挪用的现象。</w:t>
      </w:r>
    </w:p>
    <w:p>
      <w:pPr>
        <w:adjustRightInd w:val="0"/>
        <w:snapToGrid w:val="0"/>
        <w:spacing w:line="580" w:lineRule="exact"/>
        <w:ind w:firstLine="640" w:firstLineChars="200"/>
        <w:rPr>
          <w:rFonts w:ascii="黑体" w:hAnsi="宋体" w:eastAsia="黑体"/>
          <w:sz w:val="32"/>
          <w:szCs w:val="32"/>
        </w:rPr>
      </w:pPr>
      <w:r>
        <w:rPr>
          <w:rFonts w:hint="eastAsia" w:ascii="黑体" w:hAnsi="宋体" w:eastAsia="黑体"/>
          <w:sz w:val="32"/>
          <w:szCs w:val="32"/>
        </w:rPr>
        <w:t>三、项目实施及管理情况</w:t>
      </w:r>
    </w:p>
    <w:p>
      <w:pPr>
        <w:adjustRightInd w:val="0"/>
        <w:snapToGrid w:val="0"/>
        <w:spacing w:line="58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en-US" w:eastAsia="zh-CN"/>
        </w:rPr>
        <w:t>项目</w:t>
      </w:r>
      <w:r>
        <w:rPr>
          <w:rFonts w:hint="eastAsia" w:ascii="仿宋_GB2312" w:hAnsi="宋体" w:eastAsia="仿宋_GB2312"/>
          <w:sz w:val="32"/>
          <w:szCs w:val="32"/>
          <w:lang w:val="zh-CN"/>
        </w:rPr>
        <w:t>工作经费属于财政下达的常规性一般公共项目，都是工作经费，专门用于</w:t>
      </w:r>
      <w:r>
        <w:rPr>
          <w:rFonts w:hint="eastAsia" w:ascii="仿宋_GB2312" w:hAnsi="宋体" w:eastAsia="仿宋_GB2312"/>
          <w:sz w:val="32"/>
          <w:szCs w:val="32"/>
          <w:lang w:val="en-US" w:eastAsia="zh-CN"/>
        </w:rPr>
        <w:t>向上争取项目资金</w:t>
      </w:r>
      <w:r>
        <w:rPr>
          <w:rFonts w:hint="eastAsia" w:ascii="仿宋_GB2312" w:hAnsi="宋体" w:eastAsia="仿宋_GB2312"/>
          <w:sz w:val="32"/>
          <w:szCs w:val="32"/>
        </w:rPr>
        <w:t>的差旅费、打印费、宣传费等费用，</w:t>
      </w:r>
      <w:r>
        <w:rPr>
          <w:rFonts w:hint="eastAsia" w:ascii="仿宋_GB2312" w:hAnsi="宋体" w:eastAsia="仿宋_GB2312"/>
          <w:sz w:val="32"/>
          <w:szCs w:val="32"/>
          <w:lang w:val="zh-CN"/>
        </w:rPr>
        <w:t>资金使用坚持专款专用，完成预期计划。</w:t>
      </w:r>
    </w:p>
    <w:p>
      <w:pPr>
        <w:adjustRightInd w:val="0"/>
        <w:snapToGrid w:val="0"/>
        <w:spacing w:line="580" w:lineRule="exact"/>
        <w:ind w:firstLine="640" w:firstLineChars="200"/>
        <w:rPr>
          <w:rFonts w:ascii="仿宋_GB2312" w:hAnsi="宋体" w:eastAsia="仿宋_GB2312"/>
          <w:sz w:val="32"/>
          <w:szCs w:val="32"/>
          <w:lang w:val="zh-CN"/>
        </w:rPr>
      </w:pPr>
      <w:r>
        <w:rPr>
          <w:rFonts w:hint="eastAsia" w:ascii="黑体" w:hAnsi="宋体" w:eastAsia="黑体"/>
          <w:sz w:val="32"/>
          <w:szCs w:val="32"/>
        </w:rPr>
        <w:t>四、项目绩效情况</w:t>
      </w:r>
      <w:r>
        <w:rPr>
          <w:rFonts w:ascii="仿宋_GB2312" w:hAnsi="宋体" w:eastAsia="仿宋_GB2312"/>
          <w:sz w:val="32"/>
          <w:szCs w:val="32"/>
          <w:lang w:val="zh-CN"/>
        </w:rPr>
        <w:tab/>
      </w:r>
    </w:p>
    <w:p>
      <w:pPr>
        <w:adjustRightInd w:val="0"/>
        <w:snapToGrid w:val="0"/>
        <w:spacing w:line="580" w:lineRule="exact"/>
        <w:ind w:firstLine="640" w:firstLineChars="200"/>
        <w:rPr>
          <w:rFonts w:hint="eastAsia" w:ascii="楷体_GB2312" w:hAnsi="宋体" w:eastAsia="楷体_GB2312"/>
          <w:b w:val="0"/>
          <w:bCs/>
          <w:sz w:val="32"/>
          <w:szCs w:val="32"/>
          <w:lang w:val="zh-CN"/>
        </w:rPr>
      </w:pPr>
      <w:r>
        <w:rPr>
          <w:rFonts w:hint="eastAsia" w:ascii="楷体_GB2312" w:hAnsi="宋体" w:eastAsia="楷体_GB2312"/>
          <w:b w:val="0"/>
          <w:bCs/>
          <w:sz w:val="32"/>
          <w:szCs w:val="32"/>
          <w:lang w:val="zh-CN"/>
        </w:rPr>
        <w:t>（一）项目完成情况</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全年完成向上争取资金3亿元，超额完成政府下达的目标任务。其中：实现城乡增减挂钩指标流转到账金额1.5亿元，土地整理项目资金、省级地灾专项资金、生态修复治理资金合计1.5亿元。通过项目的实施，增加政府收益，促进广元的经济发展和自然资源各项管理工作。</w:t>
      </w:r>
    </w:p>
    <w:p>
      <w:pPr>
        <w:adjustRightInd w:val="0"/>
        <w:snapToGrid w:val="0"/>
        <w:spacing w:line="580" w:lineRule="exact"/>
        <w:ind w:firstLine="640" w:firstLineChars="200"/>
        <w:rPr>
          <w:rFonts w:hint="eastAsia" w:ascii="楷体_GB2312" w:hAnsi="宋体" w:eastAsia="楷体_GB2312"/>
          <w:b w:val="0"/>
          <w:bCs/>
          <w:sz w:val="32"/>
          <w:szCs w:val="32"/>
          <w:lang w:val="zh-CN"/>
        </w:rPr>
      </w:pPr>
      <w:r>
        <w:rPr>
          <w:rFonts w:hint="eastAsia" w:ascii="楷体_GB2312" w:hAnsi="宋体" w:eastAsia="楷体_GB2312"/>
          <w:b w:val="0"/>
          <w:bCs/>
          <w:sz w:val="32"/>
          <w:szCs w:val="32"/>
          <w:lang w:val="zh-CN"/>
        </w:rPr>
        <w:t>（二）项目效益情况。</w:t>
      </w:r>
    </w:p>
    <w:p>
      <w:pPr>
        <w:pStyle w:val="2"/>
        <w:rPr>
          <w:rFonts w:hint="eastAsia"/>
        </w:rPr>
      </w:pPr>
    </w:p>
    <w:p>
      <w:pPr>
        <w:adjustRightInd w:val="0"/>
        <w:snapToGrid w:val="0"/>
        <w:spacing w:line="58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1.经济效益：</w:t>
      </w:r>
      <w:r>
        <w:rPr>
          <w:rFonts w:hint="eastAsia" w:ascii="仿宋_GB2312" w:eastAsia="仿宋_GB2312"/>
          <w:sz w:val="32"/>
          <w:szCs w:val="32"/>
        </w:rPr>
        <w:t>通过项目的实施，增加政府收益，促进广元的经济发展和自然资源各项管理工作。</w:t>
      </w:r>
    </w:p>
    <w:p>
      <w:pPr>
        <w:adjustRightInd w:val="0"/>
        <w:snapToGrid w:val="0"/>
        <w:spacing w:line="580" w:lineRule="exact"/>
        <w:ind w:firstLine="640" w:firstLineChars="200"/>
        <w:rPr>
          <w:rFonts w:hint="default" w:ascii="仿宋_GB2312" w:hAnsi="宋体" w:eastAsia="仿宋_GB2312"/>
          <w:sz w:val="32"/>
          <w:szCs w:val="32"/>
          <w:lang w:val="en-US" w:eastAsia="zh-CN"/>
        </w:rPr>
      </w:pPr>
      <w:r>
        <w:rPr>
          <w:rFonts w:hint="eastAsia" w:ascii="仿宋_GB2312" w:hAnsi="宋体" w:eastAsia="仿宋_GB2312"/>
          <w:sz w:val="32"/>
          <w:szCs w:val="32"/>
        </w:rPr>
        <w:t>2.可持续指标</w:t>
      </w:r>
      <w:r>
        <w:rPr>
          <w:rFonts w:hint="eastAsia" w:ascii="仿宋_GB2312" w:hAnsi="宋体" w:eastAsia="仿宋_GB2312"/>
          <w:sz w:val="32"/>
          <w:szCs w:val="32"/>
          <w:lang w:val="en-US" w:eastAsia="zh-CN"/>
        </w:rPr>
        <w:t>;每年开展的工作，极大推动了我市经济建设和自然资源的各项管理工作。</w:t>
      </w:r>
    </w:p>
    <w:p>
      <w:pPr>
        <w:adjustRightInd w:val="0"/>
        <w:snapToGrid w:val="0"/>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3.对象满意度：上级主管部门100%满意。</w:t>
      </w:r>
    </w:p>
    <w:p>
      <w:pPr>
        <w:adjustRightInd w:val="0"/>
        <w:snapToGrid w:val="0"/>
        <w:spacing w:line="580" w:lineRule="exact"/>
        <w:ind w:firstLine="640" w:firstLineChars="200"/>
        <w:rPr>
          <w:rFonts w:ascii="黑体" w:hAnsi="宋体" w:eastAsia="黑体"/>
          <w:sz w:val="32"/>
          <w:szCs w:val="32"/>
        </w:rPr>
      </w:pPr>
      <w:r>
        <w:rPr>
          <w:rFonts w:hint="eastAsia" w:ascii="黑体" w:hAnsi="宋体" w:eastAsia="黑体"/>
          <w:sz w:val="32"/>
          <w:szCs w:val="32"/>
        </w:rPr>
        <w:t>五、评价结论及建议</w:t>
      </w:r>
    </w:p>
    <w:p>
      <w:pPr>
        <w:adjustRightInd w:val="0"/>
        <w:snapToGrid w:val="0"/>
        <w:spacing w:line="580" w:lineRule="exact"/>
        <w:ind w:firstLine="640" w:firstLineChars="200"/>
        <w:rPr>
          <w:rFonts w:hint="eastAsia" w:ascii="楷体_GB2312" w:hAnsi="宋体" w:eastAsia="楷体_GB2312"/>
          <w:b w:val="0"/>
          <w:bCs/>
          <w:sz w:val="32"/>
          <w:szCs w:val="32"/>
          <w:lang w:val="zh-CN"/>
        </w:rPr>
      </w:pPr>
      <w:r>
        <w:rPr>
          <w:rFonts w:hint="eastAsia" w:ascii="楷体_GB2312" w:hAnsi="宋体" w:eastAsia="楷体_GB2312"/>
          <w:b w:val="0"/>
          <w:bCs/>
          <w:sz w:val="32"/>
          <w:szCs w:val="32"/>
          <w:lang w:val="zh-CN"/>
        </w:rPr>
        <w:t>（一）评价结论</w:t>
      </w:r>
    </w:p>
    <w:p>
      <w:pPr>
        <w:adjustRightInd w:val="0"/>
        <w:snapToGrid w:val="0"/>
        <w:spacing w:line="580" w:lineRule="exact"/>
        <w:ind w:firstLine="640" w:firstLineChars="200"/>
        <w:rPr>
          <w:rFonts w:ascii="仿宋_GB2312" w:hAnsi="宋体" w:eastAsia="仿宋_GB2312"/>
          <w:sz w:val="32"/>
          <w:szCs w:val="32"/>
          <w:bdr w:val="single" w:color="auto" w:sz="4" w:space="0"/>
          <w:lang w:val="zh-CN"/>
        </w:rPr>
      </w:pPr>
      <w:r>
        <w:rPr>
          <w:rFonts w:hint="eastAsia" w:ascii="仿宋_GB2312" w:hAnsi="宋体" w:eastAsia="仿宋_GB2312"/>
          <w:sz w:val="32"/>
          <w:szCs w:val="32"/>
          <w:lang w:val="zh-CN"/>
        </w:rPr>
        <w:t>通过自评，自评得分</w:t>
      </w:r>
      <w:r>
        <w:rPr>
          <w:rFonts w:hint="eastAsia" w:ascii="仿宋_GB2312" w:hAnsi="宋体" w:eastAsia="仿宋_GB2312"/>
          <w:sz w:val="32"/>
          <w:szCs w:val="32"/>
        </w:rPr>
        <w:t>100分。</w:t>
      </w:r>
    </w:p>
    <w:p>
      <w:pPr>
        <w:adjustRightInd w:val="0"/>
        <w:snapToGrid w:val="0"/>
        <w:spacing w:line="580" w:lineRule="exact"/>
        <w:ind w:firstLine="640" w:firstLineChars="200"/>
        <w:rPr>
          <w:rFonts w:hint="eastAsia" w:ascii="楷体_GB2312" w:hAnsi="宋体" w:eastAsia="楷体_GB2312"/>
          <w:b w:val="0"/>
          <w:bCs/>
          <w:sz w:val="32"/>
          <w:szCs w:val="32"/>
          <w:lang w:val="zh-CN"/>
        </w:rPr>
      </w:pPr>
      <w:r>
        <w:rPr>
          <w:rFonts w:hint="eastAsia" w:ascii="楷体_GB2312" w:hAnsi="宋体" w:eastAsia="楷体_GB2312"/>
          <w:b w:val="0"/>
          <w:bCs/>
          <w:sz w:val="32"/>
          <w:szCs w:val="32"/>
          <w:lang w:val="zh-CN"/>
        </w:rPr>
        <w:t>（二）存在的问题</w:t>
      </w:r>
    </w:p>
    <w:p>
      <w:pPr>
        <w:adjustRightInd w:val="0"/>
        <w:snapToGrid w:val="0"/>
        <w:spacing w:line="580" w:lineRule="exact"/>
        <w:ind w:firstLine="640" w:firstLineChars="200"/>
        <w:rPr>
          <w:rFonts w:hint="default" w:ascii="仿宋_GB2312" w:hAnsi="宋体" w:eastAsia="仿宋_GB2312"/>
          <w:sz w:val="32"/>
          <w:szCs w:val="32"/>
          <w:lang w:val="en-US"/>
        </w:rPr>
      </w:pPr>
      <w:r>
        <w:rPr>
          <w:rFonts w:hint="eastAsia" w:ascii="仿宋_GB2312" w:hAnsi="宋体" w:eastAsia="仿宋_GB2312" w:cs="Times New Roman"/>
          <w:sz w:val="32"/>
          <w:szCs w:val="32"/>
          <w:lang w:val="zh-CN" w:eastAsia="zh-CN"/>
        </w:rPr>
        <w:t>在自评过程和结果发现，该项目预算绩效目标指标还需精细化。</w:t>
      </w:r>
    </w:p>
    <w:p>
      <w:pPr>
        <w:adjustRightInd w:val="0"/>
        <w:snapToGrid w:val="0"/>
        <w:spacing w:line="580" w:lineRule="exact"/>
        <w:ind w:firstLine="640" w:firstLineChars="200"/>
        <w:rPr>
          <w:rFonts w:hint="eastAsia" w:ascii="楷体_GB2312" w:hAnsi="宋体" w:eastAsia="楷体_GB2312"/>
          <w:b w:val="0"/>
          <w:bCs/>
          <w:sz w:val="32"/>
          <w:szCs w:val="32"/>
          <w:lang w:val="zh-CN"/>
        </w:rPr>
      </w:pPr>
      <w:r>
        <w:rPr>
          <w:rFonts w:hint="eastAsia" w:ascii="楷体_GB2312" w:hAnsi="宋体" w:eastAsia="楷体_GB2312"/>
          <w:b w:val="0"/>
          <w:bCs/>
          <w:sz w:val="32"/>
          <w:szCs w:val="32"/>
          <w:lang w:val="zh-CN"/>
        </w:rPr>
        <w:t>（三）相关建议</w:t>
      </w:r>
    </w:p>
    <w:p>
      <w:pPr>
        <w:adjustRightInd w:val="0"/>
        <w:snapToGrid w:val="0"/>
        <w:spacing w:line="580" w:lineRule="exact"/>
        <w:ind w:firstLine="640" w:firstLineChars="200"/>
        <w:rPr>
          <w:rFonts w:hint="eastAsia" w:ascii="仿宋_GB2312" w:hAnsi="宋体" w:eastAsia="仿宋_GB2312"/>
          <w:sz w:val="32"/>
          <w:szCs w:val="32"/>
          <w:lang w:val="zh-CN"/>
        </w:rPr>
      </w:pPr>
      <w:r>
        <w:rPr>
          <w:rFonts w:hint="eastAsia" w:ascii="仿宋_GB2312" w:hAnsi="宋体" w:eastAsia="仿宋_GB2312"/>
          <w:sz w:val="32"/>
          <w:szCs w:val="32"/>
          <w:lang w:val="zh-CN"/>
        </w:rPr>
        <w:t>一是完善内控制度，简化流程，促进项目及时开展。二是引进预算编制系统，进行预算指标细化分解。</w:t>
      </w:r>
    </w:p>
    <w:p>
      <w:pPr>
        <w:pStyle w:val="2"/>
        <w:rPr>
          <w:rFonts w:hint="eastAsia" w:ascii="仿宋_GB2312" w:hAnsi="仿宋_GB2312" w:eastAsia="仿宋_GB2312" w:cs="仿宋_GB2312"/>
          <w:sz w:val="32"/>
          <w:szCs w:val="32"/>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i w:val="0"/>
          <w:iCs w:val="0"/>
          <w:color w:val="000000"/>
          <w:kern w:val="0"/>
          <w:sz w:val="44"/>
          <w:szCs w:val="44"/>
          <w:u w:val="none"/>
          <w:lang w:val="en-US" w:eastAsia="zh-CN" w:bidi="ar"/>
        </w:rPr>
      </w:pPr>
      <w:r>
        <w:rPr>
          <w:rFonts w:hint="eastAsia" w:ascii="方正小标宋_GBK" w:hAnsi="方正小标宋_GBK" w:eastAsia="方正小标宋_GBK" w:cs="方正小标宋_GBK"/>
          <w:i w:val="0"/>
          <w:iCs w:val="0"/>
          <w:color w:val="000000"/>
          <w:kern w:val="0"/>
          <w:sz w:val="44"/>
          <w:szCs w:val="44"/>
          <w:u w:val="none"/>
          <w:lang w:val="en-US" w:eastAsia="zh-CN" w:bidi="ar"/>
        </w:rPr>
        <w:t>项目支出绩效目标自评表</w:t>
      </w:r>
    </w:p>
    <w:p>
      <w:pPr>
        <w:pStyle w:val="2"/>
        <w:jc w:val="center"/>
        <w:rPr>
          <w:rFonts w:hint="eastAsia" w:ascii="楷体_GB2312" w:hAnsi="楷体_GB2312" w:eastAsia="楷体_GB2312" w:cs="楷体_GB2312"/>
          <w:sz w:val="32"/>
          <w:szCs w:val="32"/>
        </w:rPr>
      </w:pPr>
      <w:r>
        <w:rPr>
          <w:rFonts w:hint="eastAsia" w:ascii="楷体_GB2312" w:hAnsi="楷体_GB2312" w:eastAsia="楷体_GB2312" w:cs="楷体_GB2312"/>
          <w:i w:val="0"/>
          <w:iCs w:val="0"/>
          <w:color w:val="000000"/>
          <w:kern w:val="0"/>
          <w:sz w:val="32"/>
          <w:szCs w:val="32"/>
          <w:u w:val="none"/>
          <w:lang w:val="en-US" w:eastAsia="zh-CN" w:bidi="ar"/>
        </w:rPr>
        <w:t>(2021年度)</w:t>
      </w:r>
    </w:p>
    <w:tbl>
      <w:tblPr>
        <w:tblStyle w:val="12"/>
        <w:tblW w:w="8939"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0"/>
        <w:gridCol w:w="904"/>
        <w:gridCol w:w="1286"/>
        <w:gridCol w:w="2237"/>
        <w:gridCol w:w="1890"/>
        <w:gridCol w:w="593"/>
        <w:gridCol w:w="1297"/>
        <w:gridCol w:w="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7" w:hRule="atLeast"/>
        </w:trPr>
        <w:tc>
          <w:tcPr>
            <w:tcW w:w="29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项目名称</w:t>
            </w:r>
          </w:p>
        </w:tc>
        <w:tc>
          <w:tcPr>
            <w:tcW w:w="60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项目工作经费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5" w:hRule="atLeast"/>
        </w:trPr>
        <w:tc>
          <w:tcPr>
            <w:tcW w:w="29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预算单位</w:t>
            </w:r>
          </w:p>
        </w:tc>
        <w:tc>
          <w:tcPr>
            <w:tcW w:w="60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广元市自然资源局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4" w:hRule="atLeast"/>
        </w:trPr>
        <w:tc>
          <w:tcPr>
            <w:tcW w:w="73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预算执行情况(万元)</w:t>
            </w:r>
          </w:p>
        </w:tc>
        <w:tc>
          <w:tcPr>
            <w:tcW w:w="21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预算数:</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15</w:t>
            </w:r>
          </w:p>
        </w:tc>
        <w:tc>
          <w:tcPr>
            <w:tcW w:w="24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执行数:</w:t>
            </w:r>
          </w:p>
        </w:tc>
        <w:tc>
          <w:tcPr>
            <w:tcW w:w="12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2" w:hRule="atLeast"/>
        </w:trPr>
        <w:tc>
          <w:tcPr>
            <w:tcW w:w="730"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iCs w:val="0"/>
                <w:color w:val="000000"/>
                <w:sz w:val="24"/>
                <w:szCs w:val="24"/>
                <w:u w:val="none"/>
              </w:rPr>
            </w:pPr>
          </w:p>
        </w:tc>
        <w:tc>
          <w:tcPr>
            <w:tcW w:w="21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其中-财政拨款:</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15</w:t>
            </w:r>
          </w:p>
        </w:tc>
        <w:tc>
          <w:tcPr>
            <w:tcW w:w="24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其中-财政拨款:</w:t>
            </w:r>
          </w:p>
        </w:tc>
        <w:tc>
          <w:tcPr>
            <w:tcW w:w="12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1" w:hRule="atLeast"/>
        </w:trPr>
        <w:tc>
          <w:tcPr>
            <w:tcW w:w="73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iCs w:val="0"/>
                <w:color w:val="000000"/>
                <w:sz w:val="24"/>
                <w:szCs w:val="24"/>
                <w:u w:val="none"/>
              </w:rPr>
            </w:pPr>
          </w:p>
        </w:tc>
        <w:tc>
          <w:tcPr>
            <w:tcW w:w="21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其它资金:</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24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其它资金:</w:t>
            </w:r>
          </w:p>
        </w:tc>
        <w:tc>
          <w:tcPr>
            <w:tcW w:w="12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7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年度目标完成情况</w:t>
            </w:r>
          </w:p>
        </w:tc>
        <w:tc>
          <w:tcPr>
            <w:tcW w:w="44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预期目标</w:t>
            </w:r>
          </w:p>
        </w:tc>
        <w:tc>
          <w:tcPr>
            <w:tcW w:w="37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实际完成目标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2" w:hRule="atLeast"/>
        </w:trPr>
        <w:tc>
          <w:tcPr>
            <w:tcW w:w="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iCs w:val="0"/>
                <w:color w:val="000000"/>
                <w:sz w:val="24"/>
                <w:szCs w:val="24"/>
                <w:u w:val="none"/>
              </w:rPr>
            </w:pPr>
          </w:p>
        </w:tc>
        <w:tc>
          <w:tcPr>
            <w:tcW w:w="4427" w:type="dxa"/>
            <w:gridSpan w:val="3"/>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根据政府下达的目标任务及经济建设和项目投资“大比武”战略，积极向上争取资金约2.9亿元。通过积极争取中央和省级专项资金及土地增减挂钩结余指表流转，达到增加政府收益，促进我市的经济建设和自然资源各项管理工作。</w:t>
            </w:r>
          </w:p>
        </w:tc>
        <w:tc>
          <w:tcPr>
            <w:tcW w:w="37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全年完成向上争取资金3亿元，超额完成政府下达的目标任务。其中：实现城乡增减挂钩指标流转到账金额1.5亿元，土地整理项目资金、省级地灾专项资金、生态修复治理资金合计1.5亿元。通过项目的实施，增加政府收益，促进广元的经济发展和自然资源各项管理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465" w:hRule="atLeast"/>
        </w:trPr>
        <w:tc>
          <w:tcPr>
            <w:tcW w:w="7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年度绩效指标完成情况</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一级指标</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二级指标</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三级指标</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预期指标值(包含数字及文字描述)</w:t>
            </w:r>
          </w:p>
        </w:tc>
        <w:tc>
          <w:tcPr>
            <w:tcW w:w="18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实际完成指标值(包含数字及文字描述)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dxa"/>
          <w:trHeight w:val="580" w:hRule="atLeast"/>
        </w:trPr>
        <w:tc>
          <w:tcPr>
            <w:tcW w:w="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iCs w:val="0"/>
                <w:color w:val="000000"/>
                <w:sz w:val="24"/>
                <w:szCs w:val="24"/>
                <w:u w:val="none"/>
              </w:rPr>
            </w:pPr>
          </w:p>
        </w:tc>
        <w:tc>
          <w:tcPr>
            <w:tcW w:w="9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项目完成指标</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数量指标</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中央和省级财政专项资金（地灾补助、土地整理项目、生态修复资金）</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1.4亿元</w:t>
            </w:r>
          </w:p>
        </w:tc>
        <w:tc>
          <w:tcPr>
            <w:tcW w:w="18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1.5亿元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395" w:hRule="atLeast"/>
        </w:trPr>
        <w:tc>
          <w:tcPr>
            <w:tcW w:w="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iCs w:val="0"/>
                <w:color w:val="000000"/>
                <w:sz w:val="24"/>
                <w:szCs w:val="24"/>
                <w:u w:val="none"/>
              </w:rPr>
            </w:pPr>
          </w:p>
        </w:tc>
        <w:tc>
          <w:tcPr>
            <w:tcW w:w="9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iCs w:val="0"/>
                <w:color w:val="000000"/>
                <w:sz w:val="24"/>
                <w:szCs w:val="24"/>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数量指标</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增减挂钩结余指标流转资金</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1.5亿元</w:t>
            </w:r>
          </w:p>
        </w:tc>
        <w:tc>
          <w:tcPr>
            <w:tcW w:w="18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1.5亿元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377" w:hRule="atLeast"/>
        </w:trPr>
        <w:tc>
          <w:tcPr>
            <w:tcW w:w="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iCs w:val="0"/>
                <w:color w:val="000000"/>
                <w:sz w:val="24"/>
                <w:szCs w:val="24"/>
                <w:u w:val="none"/>
              </w:rPr>
            </w:pPr>
          </w:p>
        </w:tc>
        <w:tc>
          <w:tcPr>
            <w:tcW w:w="9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iCs w:val="0"/>
                <w:color w:val="000000"/>
                <w:sz w:val="24"/>
                <w:szCs w:val="24"/>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成本指标</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向上争取资金工作经费</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15万元</w:t>
            </w:r>
          </w:p>
        </w:tc>
        <w:tc>
          <w:tcPr>
            <w:tcW w:w="18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312" w:hRule="atLeast"/>
        </w:trPr>
        <w:tc>
          <w:tcPr>
            <w:tcW w:w="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iCs w:val="0"/>
                <w:color w:val="000000"/>
                <w:sz w:val="24"/>
                <w:szCs w:val="24"/>
                <w:u w:val="none"/>
              </w:rPr>
            </w:pPr>
          </w:p>
        </w:tc>
        <w:tc>
          <w:tcPr>
            <w:tcW w:w="9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项目效果指标</w:t>
            </w:r>
          </w:p>
        </w:tc>
        <w:tc>
          <w:tcPr>
            <w:tcW w:w="12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经济效益</w:t>
            </w:r>
          </w:p>
        </w:tc>
        <w:tc>
          <w:tcPr>
            <w:tcW w:w="22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增加政府收益</w:t>
            </w:r>
          </w:p>
        </w:tc>
        <w:tc>
          <w:tcPr>
            <w:tcW w:w="18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2.9亿元</w:t>
            </w:r>
          </w:p>
        </w:tc>
        <w:tc>
          <w:tcPr>
            <w:tcW w:w="189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3亿元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312" w:hRule="atLeast"/>
        </w:trPr>
        <w:tc>
          <w:tcPr>
            <w:tcW w:w="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iCs w:val="0"/>
                <w:color w:val="000000"/>
                <w:sz w:val="24"/>
                <w:szCs w:val="24"/>
                <w:u w:val="none"/>
              </w:rPr>
            </w:pPr>
          </w:p>
        </w:tc>
        <w:tc>
          <w:tcPr>
            <w:tcW w:w="9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iCs w:val="0"/>
                <w:color w:val="000000"/>
                <w:sz w:val="24"/>
                <w:szCs w:val="24"/>
                <w:u w:val="none"/>
              </w:rPr>
            </w:pPr>
          </w:p>
        </w:tc>
        <w:tc>
          <w:tcPr>
            <w:tcW w:w="12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iCs w:val="0"/>
                <w:color w:val="000000"/>
                <w:sz w:val="24"/>
                <w:szCs w:val="24"/>
                <w:u w:val="none"/>
              </w:rPr>
            </w:pPr>
          </w:p>
        </w:tc>
        <w:tc>
          <w:tcPr>
            <w:tcW w:w="22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iCs w:val="0"/>
                <w:color w:val="000000"/>
                <w:sz w:val="24"/>
                <w:szCs w:val="24"/>
                <w:u w:val="none"/>
              </w:rPr>
            </w:pPr>
          </w:p>
        </w:tc>
        <w:tc>
          <w:tcPr>
            <w:tcW w:w="1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iCs w:val="0"/>
                <w:color w:val="000000"/>
                <w:sz w:val="24"/>
                <w:szCs w:val="24"/>
                <w:u w:val="none"/>
              </w:rPr>
            </w:pPr>
          </w:p>
        </w:tc>
        <w:tc>
          <w:tcPr>
            <w:tcW w:w="189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312" w:hRule="atLeast"/>
        </w:trPr>
        <w:tc>
          <w:tcPr>
            <w:tcW w:w="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iCs w:val="0"/>
                <w:color w:val="000000"/>
                <w:sz w:val="24"/>
                <w:szCs w:val="24"/>
                <w:u w:val="none"/>
              </w:rPr>
            </w:pPr>
          </w:p>
        </w:tc>
        <w:tc>
          <w:tcPr>
            <w:tcW w:w="9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iCs w:val="0"/>
                <w:color w:val="000000"/>
                <w:sz w:val="24"/>
                <w:szCs w:val="24"/>
                <w:u w:val="none"/>
              </w:rPr>
            </w:pPr>
          </w:p>
        </w:tc>
        <w:tc>
          <w:tcPr>
            <w:tcW w:w="12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可持续指标</w:t>
            </w:r>
          </w:p>
        </w:tc>
        <w:tc>
          <w:tcPr>
            <w:tcW w:w="22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常年开展的工作</w:t>
            </w:r>
          </w:p>
        </w:tc>
        <w:tc>
          <w:tcPr>
            <w:tcW w:w="18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极大推动了我市经济建设</w:t>
            </w:r>
          </w:p>
        </w:tc>
        <w:tc>
          <w:tcPr>
            <w:tcW w:w="189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极大推动了我市经济建设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312" w:hRule="atLeast"/>
        </w:trPr>
        <w:tc>
          <w:tcPr>
            <w:tcW w:w="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iCs w:val="0"/>
                <w:color w:val="000000"/>
                <w:sz w:val="24"/>
                <w:szCs w:val="24"/>
                <w:u w:val="none"/>
              </w:rPr>
            </w:pPr>
          </w:p>
        </w:tc>
        <w:tc>
          <w:tcPr>
            <w:tcW w:w="9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iCs w:val="0"/>
                <w:color w:val="000000"/>
                <w:sz w:val="24"/>
                <w:szCs w:val="24"/>
                <w:u w:val="none"/>
              </w:rPr>
            </w:pPr>
          </w:p>
        </w:tc>
        <w:tc>
          <w:tcPr>
            <w:tcW w:w="12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iCs w:val="0"/>
                <w:color w:val="000000"/>
                <w:sz w:val="24"/>
                <w:szCs w:val="24"/>
                <w:u w:val="none"/>
              </w:rPr>
            </w:pPr>
          </w:p>
        </w:tc>
        <w:tc>
          <w:tcPr>
            <w:tcW w:w="22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iCs w:val="0"/>
                <w:color w:val="000000"/>
                <w:sz w:val="24"/>
                <w:szCs w:val="24"/>
                <w:u w:val="none"/>
              </w:rPr>
            </w:pPr>
          </w:p>
        </w:tc>
        <w:tc>
          <w:tcPr>
            <w:tcW w:w="1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iCs w:val="0"/>
                <w:color w:val="000000"/>
                <w:sz w:val="24"/>
                <w:szCs w:val="24"/>
                <w:u w:val="none"/>
              </w:rPr>
            </w:pPr>
          </w:p>
        </w:tc>
        <w:tc>
          <w:tcPr>
            <w:tcW w:w="189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312" w:hRule="atLeast"/>
        </w:trPr>
        <w:tc>
          <w:tcPr>
            <w:tcW w:w="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iCs w:val="0"/>
                <w:color w:val="000000"/>
                <w:sz w:val="24"/>
                <w:szCs w:val="24"/>
                <w:u w:val="none"/>
              </w:rPr>
            </w:pP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满意度指标</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满意度</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指标</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政府满意度</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95%</w:t>
            </w:r>
          </w:p>
        </w:tc>
        <w:tc>
          <w:tcPr>
            <w:tcW w:w="18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100%</w:t>
            </w:r>
          </w:p>
        </w:tc>
      </w:tr>
    </w:tbl>
    <w:p>
      <w:pPr>
        <w:pStyle w:val="2"/>
        <w:rPr>
          <w:rStyle w:val="24"/>
          <w:rFonts w:ascii="黑体" w:hAnsi="黑体" w:eastAsia="黑体"/>
          <w:b w:val="0"/>
          <w:color w:val="auto"/>
          <w:highlight w:val="none"/>
        </w:rPr>
      </w:pPr>
    </w:p>
    <w:p>
      <w:pPr>
        <w:widowControl/>
        <w:jc w:val="left"/>
        <w:rPr>
          <w:rStyle w:val="24"/>
          <w:rFonts w:ascii="黑体" w:hAnsi="黑体" w:eastAsia="黑体"/>
          <w:b w:val="0"/>
          <w:color w:val="auto"/>
          <w:highlight w:val="none"/>
        </w:rPr>
      </w:pPr>
      <w:r>
        <w:rPr>
          <w:rStyle w:val="24"/>
          <w:rFonts w:ascii="黑体" w:hAnsi="黑体" w:eastAsia="黑体"/>
          <w:b w:val="0"/>
          <w:color w:val="auto"/>
          <w:highlight w:val="none"/>
        </w:rPr>
        <w:br w:type="page"/>
      </w:r>
    </w:p>
    <w:p>
      <w:pPr>
        <w:spacing w:line="600" w:lineRule="exact"/>
        <w:jc w:val="center"/>
        <w:outlineLvl w:val="0"/>
        <w:rPr>
          <w:rFonts w:hint="eastAsia" w:ascii="仿宋" w:hAnsi="仿宋" w:eastAsia="仿宋"/>
          <w:b w:val="0"/>
          <w:color w:val="auto"/>
          <w:highlight w:val="none"/>
        </w:rPr>
      </w:pPr>
      <w:bookmarkStart w:id="61" w:name="_Toc15396618"/>
      <w:r>
        <w:rPr>
          <w:rFonts w:hint="eastAsia" w:ascii="黑体" w:hAnsi="黑体" w:eastAsia="黑体"/>
          <w:color w:val="auto"/>
          <w:sz w:val="44"/>
          <w:szCs w:val="44"/>
          <w:highlight w:val="none"/>
        </w:rPr>
        <w:t>第</w:t>
      </w:r>
      <w:r>
        <w:rPr>
          <w:rStyle w:val="24"/>
          <w:rFonts w:hint="eastAsia" w:ascii="黑体" w:hAnsi="黑体" w:eastAsia="黑体"/>
          <w:b w:val="0"/>
          <w:color w:val="auto"/>
          <w:highlight w:val="none"/>
        </w:rPr>
        <w:t>五部分附表</w:t>
      </w:r>
      <w:bookmarkEnd w:id="60"/>
      <w:bookmarkEnd w:id="61"/>
      <w:bookmarkStart w:id="62" w:name="_Toc15396619"/>
    </w:p>
    <w:p>
      <w:pPr>
        <w:pStyle w:val="4"/>
        <w:pageBreakBefore w:val="0"/>
        <w:widowControl w:val="0"/>
        <w:kinsoku/>
        <w:wordWrap/>
        <w:overflowPunct/>
        <w:topLinePunct w:val="0"/>
        <w:autoSpaceDE/>
        <w:autoSpaceDN/>
        <w:bidi w:val="0"/>
        <w:adjustRightInd/>
        <w:snapToGrid/>
        <w:spacing w:before="0" w:after="0" w:line="576" w:lineRule="exact"/>
        <w:textAlignment w:val="auto"/>
        <w:rPr>
          <w:rFonts w:ascii="仿宋" w:hAnsi="仿宋" w:eastAsia="仿宋"/>
          <w:color w:val="auto"/>
          <w:highlight w:val="none"/>
        </w:rPr>
      </w:pPr>
      <w:r>
        <w:rPr>
          <w:rFonts w:hint="eastAsia" w:ascii="仿宋" w:hAnsi="仿宋" w:eastAsia="仿宋"/>
          <w:b w:val="0"/>
          <w:color w:val="auto"/>
          <w:highlight w:val="none"/>
        </w:rPr>
        <w:t>一、收</w:t>
      </w:r>
      <w:r>
        <w:rPr>
          <w:rStyle w:val="25"/>
          <w:rFonts w:hint="eastAsia" w:ascii="仿宋" w:hAnsi="仿宋" w:eastAsia="仿宋"/>
          <w:b w:val="0"/>
          <w:bCs w:val="0"/>
          <w:color w:val="auto"/>
          <w:highlight w:val="none"/>
        </w:rPr>
        <w:t>入支出决算总表</w:t>
      </w:r>
      <w:bookmarkEnd w:id="62"/>
    </w:p>
    <w:p>
      <w:pPr>
        <w:pStyle w:val="4"/>
        <w:pageBreakBefore w:val="0"/>
        <w:widowControl w:val="0"/>
        <w:kinsoku/>
        <w:wordWrap/>
        <w:overflowPunct/>
        <w:topLinePunct w:val="0"/>
        <w:autoSpaceDE/>
        <w:autoSpaceDN/>
        <w:bidi w:val="0"/>
        <w:adjustRightInd/>
        <w:snapToGrid/>
        <w:spacing w:before="0" w:after="0" w:line="576" w:lineRule="exact"/>
        <w:textAlignment w:val="auto"/>
        <w:rPr>
          <w:rFonts w:ascii="仿宋" w:hAnsi="仿宋" w:eastAsia="仿宋"/>
          <w:color w:val="auto"/>
          <w:highlight w:val="none"/>
        </w:rPr>
      </w:pPr>
      <w:bookmarkStart w:id="63" w:name="_Toc15396620"/>
      <w:r>
        <w:rPr>
          <w:rFonts w:hint="eastAsia" w:ascii="仿宋" w:hAnsi="仿宋" w:eastAsia="仿宋"/>
          <w:b w:val="0"/>
          <w:color w:val="auto"/>
          <w:highlight w:val="none"/>
        </w:rPr>
        <w:t>二、收</w:t>
      </w:r>
      <w:r>
        <w:rPr>
          <w:rStyle w:val="25"/>
          <w:rFonts w:hint="eastAsia" w:ascii="仿宋" w:hAnsi="仿宋" w:eastAsia="仿宋"/>
          <w:b w:val="0"/>
          <w:bCs w:val="0"/>
          <w:color w:val="auto"/>
          <w:highlight w:val="none"/>
        </w:rPr>
        <w:t>入决算表</w:t>
      </w:r>
      <w:bookmarkEnd w:id="63"/>
    </w:p>
    <w:p>
      <w:pPr>
        <w:pStyle w:val="4"/>
        <w:pageBreakBefore w:val="0"/>
        <w:widowControl w:val="0"/>
        <w:kinsoku/>
        <w:wordWrap/>
        <w:overflowPunct/>
        <w:topLinePunct w:val="0"/>
        <w:autoSpaceDE/>
        <w:autoSpaceDN/>
        <w:bidi w:val="0"/>
        <w:adjustRightInd/>
        <w:snapToGrid/>
        <w:spacing w:before="0" w:after="0" w:line="576" w:lineRule="exact"/>
        <w:textAlignment w:val="auto"/>
        <w:rPr>
          <w:rFonts w:ascii="仿宋" w:hAnsi="仿宋" w:eastAsia="仿宋"/>
          <w:color w:val="auto"/>
          <w:highlight w:val="none"/>
        </w:rPr>
      </w:pPr>
      <w:bookmarkStart w:id="64" w:name="_Toc15396621"/>
      <w:r>
        <w:rPr>
          <w:rStyle w:val="25"/>
          <w:rFonts w:hint="eastAsia" w:ascii="仿宋" w:hAnsi="仿宋" w:eastAsia="仿宋"/>
          <w:b w:val="0"/>
          <w:bCs w:val="0"/>
          <w:color w:val="auto"/>
          <w:highlight w:val="none"/>
        </w:rPr>
        <w:t>三、</w:t>
      </w:r>
      <w:r>
        <w:rPr>
          <w:rFonts w:hint="eastAsia" w:ascii="仿宋" w:hAnsi="仿宋" w:eastAsia="仿宋"/>
          <w:b w:val="0"/>
          <w:color w:val="auto"/>
          <w:highlight w:val="none"/>
        </w:rPr>
        <w:t>支</w:t>
      </w:r>
      <w:r>
        <w:rPr>
          <w:rStyle w:val="25"/>
          <w:rFonts w:hint="eastAsia" w:ascii="仿宋" w:hAnsi="仿宋" w:eastAsia="仿宋"/>
          <w:b w:val="0"/>
          <w:bCs w:val="0"/>
          <w:color w:val="auto"/>
          <w:highlight w:val="none"/>
        </w:rPr>
        <w:t>出决算表</w:t>
      </w:r>
      <w:bookmarkEnd w:id="64"/>
    </w:p>
    <w:p>
      <w:pPr>
        <w:pStyle w:val="4"/>
        <w:pageBreakBefore w:val="0"/>
        <w:widowControl w:val="0"/>
        <w:kinsoku/>
        <w:wordWrap/>
        <w:overflowPunct/>
        <w:topLinePunct w:val="0"/>
        <w:autoSpaceDE/>
        <w:autoSpaceDN/>
        <w:bidi w:val="0"/>
        <w:adjustRightInd/>
        <w:snapToGrid/>
        <w:spacing w:before="0" w:after="0" w:line="576" w:lineRule="exact"/>
        <w:textAlignment w:val="auto"/>
        <w:rPr>
          <w:rFonts w:ascii="仿宋" w:hAnsi="仿宋" w:eastAsia="仿宋"/>
          <w:b w:val="0"/>
          <w:color w:val="auto"/>
          <w:highlight w:val="none"/>
        </w:rPr>
      </w:pPr>
      <w:bookmarkStart w:id="65" w:name="_Toc15396622"/>
      <w:r>
        <w:rPr>
          <w:rStyle w:val="25"/>
          <w:rFonts w:hint="eastAsia" w:ascii="仿宋" w:hAnsi="仿宋" w:eastAsia="仿宋"/>
          <w:b w:val="0"/>
          <w:bCs w:val="0"/>
          <w:color w:val="auto"/>
          <w:highlight w:val="none"/>
        </w:rPr>
        <w:t>四、</w:t>
      </w:r>
      <w:r>
        <w:rPr>
          <w:rFonts w:hint="eastAsia" w:ascii="仿宋" w:hAnsi="仿宋" w:eastAsia="仿宋"/>
          <w:b w:val="0"/>
          <w:color w:val="auto"/>
          <w:highlight w:val="none"/>
        </w:rPr>
        <w:t>财</w:t>
      </w:r>
      <w:r>
        <w:rPr>
          <w:rStyle w:val="25"/>
          <w:rFonts w:hint="eastAsia" w:ascii="仿宋" w:hAnsi="仿宋" w:eastAsia="仿宋"/>
          <w:b w:val="0"/>
          <w:bCs w:val="0"/>
          <w:color w:val="auto"/>
          <w:highlight w:val="none"/>
        </w:rPr>
        <w:t>政拨款收入支出决算总表</w:t>
      </w:r>
      <w:bookmarkEnd w:id="65"/>
    </w:p>
    <w:p>
      <w:pPr>
        <w:pStyle w:val="4"/>
        <w:pageBreakBefore w:val="0"/>
        <w:widowControl w:val="0"/>
        <w:kinsoku/>
        <w:wordWrap/>
        <w:overflowPunct/>
        <w:topLinePunct w:val="0"/>
        <w:autoSpaceDE/>
        <w:autoSpaceDN/>
        <w:bidi w:val="0"/>
        <w:adjustRightInd/>
        <w:snapToGrid/>
        <w:spacing w:before="0" w:after="0" w:line="576" w:lineRule="exact"/>
        <w:textAlignment w:val="auto"/>
        <w:rPr>
          <w:rStyle w:val="25"/>
          <w:rFonts w:ascii="仿宋" w:hAnsi="仿宋" w:eastAsia="仿宋"/>
          <w:b w:val="0"/>
          <w:bCs w:val="0"/>
          <w:color w:val="auto"/>
          <w:highlight w:val="none"/>
        </w:rPr>
      </w:pPr>
      <w:bookmarkStart w:id="66" w:name="_Toc15396623"/>
      <w:r>
        <w:rPr>
          <w:rStyle w:val="25"/>
          <w:rFonts w:hint="eastAsia" w:ascii="仿宋" w:hAnsi="仿宋" w:eastAsia="仿宋"/>
          <w:b w:val="0"/>
          <w:bCs w:val="0"/>
          <w:color w:val="auto"/>
          <w:highlight w:val="none"/>
        </w:rPr>
        <w:t>五、</w:t>
      </w:r>
      <w:r>
        <w:rPr>
          <w:rFonts w:hint="eastAsia" w:ascii="仿宋" w:hAnsi="仿宋" w:eastAsia="仿宋"/>
          <w:b w:val="0"/>
          <w:color w:val="auto"/>
          <w:highlight w:val="none"/>
        </w:rPr>
        <w:t>财</w:t>
      </w:r>
      <w:r>
        <w:rPr>
          <w:rStyle w:val="25"/>
          <w:rFonts w:hint="eastAsia" w:ascii="仿宋" w:hAnsi="仿宋" w:eastAsia="仿宋"/>
          <w:b w:val="0"/>
          <w:bCs w:val="0"/>
          <w:color w:val="auto"/>
          <w:highlight w:val="none"/>
        </w:rPr>
        <w:t>政拨款支出决算明细表</w:t>
      </w:r>
      <w:bookmarkEnd w:id="66"/>
      <w:bookmarkStart w:id="67" w:name="_Toc15396624"/>
    </w:p>
    <w:p>
      <w:pPr>
        <w:pStyle w:val="4"/>
        <w:pageBreakBefore w:val="0"/>
        <w:widowControl w:val="0"/>
        <w:kinsoku/>
        <w:wordWrap/>
        <w:overflowPunct/>
        <w:topLinePunct w:val="0"/>
        <w:autoSpaceDE/>
        <w:autoSpaceDN/>
        <w:bidi w:val="0"/>
        <w:adjustRightInd/>
        <w:snapToGrid/>
        <w:spacing w:before="0" w:after="0" w:line="576" w:lineRule="exact"/>
        <w:textAlignment w:val="auto"/>
        <w:rPr>
          <w:rFonts w:ascii="仿宋" w:hAnsi="仿宋" w:eastAsia="仿宋"/>
          <w:color w:val="auto"/>
          <w:highlight w:val="none"/>
        </w:rPr>
      </w:pPr>
      <w:r>
        <w:rPr>
          <w:rStyle w:val="25"/>
          <w:rFonts w:hint="eastAsia" w:ascii="仿宋" w:hAnsi="仿宋" w:eastAsia="仿宋"/>
          <w:b w:val="0"/>
          <w:bCs w:val="0"/>
          <w:color w:val="auto"/>
          <w:highlight w:val="none"/>
        </w:rPr>
        <w:t>六、</w:t>
      </w:r>
      <w:r>
        <w:rPr>
          <w:rFonts w:hint="eastAsia" w:ascii="仿宋" w:hAnsi="仿宋" w:eastAsia="仿宋"/>
          <w:b w:val="0"/>
          <w:color w:val="auto"/>
          <w:highlight w:val="none"/>
        </w:rPr>
        <w:t>一</w:t>
      </w:r>
      <w:r>
        <w:rPr>
          <w:rStyle w:val="25"/>
          <w:rFonts w:hint="eastAsia" w:ascii="仿宋" w:hAnsi="仿宋" w:eastAsia="仿宋"/>
          <w:b w:val="0"/>
          <w:bCs w:val="0"/>
          <w:color w:val="auto"/>
          <w:highlight w:val="none"/>
        </w:rPr>
        <w:t>般公共预算财政拨款支出决算表</w:t>
      </w:r>
      <w:bookmarkEnd w:id="67"/>
    </w:p>
    <w:p>
      <w:pPr>
        <w:pStyle w:val="4"/>
        <w:pageBreakBefore w:val="0"/>
        <w:widowControl w:val="0"/>
        <w:kinsoku/>
        <w:wordWrap/>
        <w:overflowPunct/>
        <w:topLinePunct w:val="0"/>
        <w:autoSpaceDE/>
        <w:autoSpaceDN/>
        <w:bidi w:val="0"/>
        <w:adjustRightInd/>
        <w:snapToGrid/>
        <w:spacing w:before="0" w:after="0" w:line="576" w:lineRule="exact"/>
        <w:textAlignment w:val="auto"/>
        <w:rPr>
          <w:rFonts w:ascii="仿宋" w:hAnsi="仿宋" w:eastAsia="仿宋"/>
          <w:color w:val="auto"/>
          <w:highlight w:val="none"/>
        </w:rPr>
      </w:pPr>
      <w:bookmarkStart w:id="68" w:name="_Toc15396625"/>
      <w:r>
        <w:rPr>
          <w:rStyle w:val="25"/>
          <w:rFonts w:hint="eastAsia" w:ascii="仿宋" w:hAnsi="仿宋" w:eastAsia="仿宋"/>
          <w:b w:val="0"/>
          <w:bCs w:val="0"/>
          <w:color w:val="auto"/>
          <w:highlight w:val="none"/>
        </w:rPr>
        <w:t>七、</w:t>
      </w:r>
      <w:r>
        <w:rPr>
          <w:rFonts w:hint="eastAsia" w:ascii="仿宋" w:hAnsi="仿宋" w:eastAsia="仿宋"/>
          <w:b w:val="0"/>
          <w:color w:val="auto"/>
          <w:highlight w:val="none"/>
        </w:rPr>
        <w:t>一</w:t>
      </w:r>
      <w:r>
        <w:rPr>
          <w:rStyle w:val="25"/>
          <w:rFonts w:hint="eastAsia" w:ascii="仿宋" w:hAnsi="仿宋" w:eastAsia="仿宋"/>
          <w:b w:val="0"/>
          <w:bCs w:val="0"/>
          <w:color w:val="auto"/>
          <w:highlight w:val="none"/>
        </w:rPr>
        <w:t>般公共预算财政拨款支出决算明细表</w:t>
      </w:r>
      <w:bookmarkEnd w:id="68"/>
    </w:p>
    <w:p>
      <w:pPr>
        <w:pStyle w:val="4"/>
        <w:pageBreakBefore w:val="0"/>
        <w:widowControl w:val="0"/>
        <w:kinsoku/>
        <w:wordWrap/>
        <w:overflowPunct/>
        <w:topLinePunct w:val="0"/>
        <w:autoSpaceDE/>
        <w:autoSpaceDN/>
        <w:bidi w:val="0"/>
        <w:adjustRightInd/>
        <w:snapToGrid/>
        <w:spacing w:before="0" w:after="0" w:line="576" w:lineRule="exact"/>
        <w:textAlignment w:val="auto"/>
        <w:rPr>
          <w:rFonts w:ascii="仿宋" w:hAnsi="仿宋" w:eastAsia="仿宋"/>
          <w:color w:val="auto"/>
          <w:highlight w:val="none"/>
        </w:rPr>
      </w:pPr>
      <w:bookmarkStart w:id="69" w:name="_Toc15396626"/>
      <w:r>
        <w:rPr>
          <w:rStyle w:val="25"/>
          <w:rFonts w:hint="eastAsia" w:ascii="仿宋" w:hAnsi="仿宋" w:eastAsia="仿宋"/>
          <w:b w:val="0"/>
          <w:bCs w:val="0"/>
          <w:color w:val="auto"/>
          <w:highlight w:val="none"/>
        </w:rPr>
        <w:t>八、</w:t>
      </w:r>
      <w:r>
        <w:rPr>
          <w:rFonts w:hint="eastAsia" w:ascii="仿宋" w:hAnsi="仿宋" w:eastAsia="仿宋"/>
          <w:b w:val="0"/>
          <w:color w:val="auto"/>
          <w:highlight w:val="none"/>
        </w:rPr>
        <w:t>一</w:t>
      </w:r>
      <w:r>
        <w:rPr>
          <w:rStyle w:val="25"/>
          <w:rFonts w:hint="eastAsia" w:ascii="仿宋" w:hAnsi="仿宋" w:eastAsia="仿宋"/>
          <w:b w:val="0"/>
          <w:bCs w:val="0"/>
          <w:color w:val="auto"/>
          <w:highlight w:val="none"/>
        </w:rPr>
        <w:t>般公共预算财政拨款基本支出决算表</w:t>
      </w:r>
      <w:bookmarkEnd w:id="69"/>
    </w:p>
    <w:p>
      <w:pPr>
        <w:pStyle w:val="4"/>
        <w:pageBreakBefore w:val="0"/>
        <w:widowControl w:val="0"/>
        <w:kinsoku/>
        <w:wordWrap/>
        <w:overflowPunct/>
        <w:topLinePunct w:val="0"/>
        <w:autoSpaceDE/>
        <w:autoSpaceDN/>
        <w:bidi w:val="0"/>
        <w:adjustRightInd/>
        <w:snapToGrid/>
        <w:spacing w:before="0" w:after="0" w:line="576" w:lineRule="exact"/>
        <w:textAlignment w:val="auto"/>
        <w:rPr>
          <w:rFonts w:ascii="仿宋" w:hAnsi="仿宋" w:eastAsia="仿宋"/>
          <w:color w:val="auto"/>
          <w:highlight w:val="none"/>
        </w:rPr>
      </w:pPr>
      <w:bookmarkStart w:id="70" w:name="_Toc15396627"/>
      <w:r>
        <w:rPr>
          <w:rStyle w:val="25"/>
          <w:rFonts w:hint="eastAsia" w:ascii="仿宋" w:hAnsi="仿宋" w:eastAsia="仿宋"/>
          <w:b w:val="0"/>
          <w:bCs w:val="0"/>
          <w:color w:val="auto"/>
          <w:highlight w:val="none"/>
        </w:rPr>
        <w:t>九、</w:t>
      </w:r>
      <w:r>
        <w:rPr>
          <w:rFonts w:hint="eastAsia" w:ascii="仿宋" w:hAnsi="仿宋" w:eastAsia="仿宋"/>
          <w:b w:val="0"/>
          <w:color w:val="auto"/>
          <w:highlight w:val="none"/>
        </w:rPr>
        <w:t>一</w:t>
      </w:r>
      <w:r>
        <w:rPr>
          <w:rStyle w:val="25"/>
          <w:rFonts w:hint="eastAsia" w:ascii="仿宋" w:hAnsi="仿宋" w:eastAsia="仿宋"/>
          <w:b w:val="0"/>
          <w:bCs w:val="0"/>
          <w:color w:val="auto"/>
          <w:highlight w:val="none"/>
        </w:rPr>
        <w:t>般公共预算财政拨款项目支出决算表</w:t>
      </w:r>
      <w:bookmarkEnd w:id="70"/>
    </w:p>
    <w:p>
      <w:pPr>
        <w:pStyle w:val="4"/>
        <w:pageBreakBefore w:val="0"/>
        <w:widowControl w:val="0"/>
        <w:kinsoku/>
        <w:wordWrap/>
        <w:overflowPunct/>
        <w:topLinePunct w:val="0"/>
        <w:autoSpaceDE/>
        <w:autoSpaceDN/>
        <w:bidi w:val="0"/>
        <w:adjustRightInd/>
        <w:snapToGrid/>
        <w:spacing w:before="0" w:after="0" w:line="576" w:lineRule="exact"/>
        <w:textAlignment w:val="auto"/>
        <w:rPr>
          <w:rFonts w:ascii="仿宋" w:hAnsi="仿宋" w:eastAsia="仿宋"/>
          <w:color w:val="auto"/>
          <w:highlight w:val="none"/>
        </w:rPr>
      </w:pPr>
      <w:bookmarkStart w:id="71" w:name="_Toc15396628"/>
      <w:r>
        <w:rPr>
          <w:rStyle w:val="25"/>
          <w:rFonts w:hint="eastAsia" w:ascii="仿宋" w:hAnsi="仿宋" w:eastAsia="仿宋"/>
          <w:b w:val="0"/>
          <w:bCs w:val="0"/>
          <w:color w:val="auto"/>
          <w:highlight w:val="none"/>
        </w:rPr>
        <w:t>十、</w:t>
      </w:r>
      <w:r>
        <w:rPr>
          <w:rFonts w:hint="eastAsia" w:ascii="仿宋" w:hAnsi="仿宋" w:eastAsia="仿宋"/>
          <w:b w:val="0"/>
          <w:color w:val="auto"/>
          <w:highlight w:val="none"/>
        </w:rPr>
        <w:t>一</w:t>
      </w:r>
      <w:r>
        <w:rPr>
          <w:rStyle w:val="25"/>
          <w:rFonts w:hint="eastAsia" w:ascii="仿宋" w:hAnsi="仿宋" w:eastAsia="仿宋"/>
          <w:b w:val="0"/>
          <w:bCs w:val="0"/>
          <w:color w:val="auto"/>
          <w:highlight w:val="none"/>
        </w:rPr>
        <w:t>般公共预算财政拨款“三公”经费支出决算表</w:t>
      </w:r>
      <w:bookmarkEnd w:id="71"/>
    </w:p>
    <w:p>
      <w:pPr>
        <w:pStyle w:val="4"/>
        <w:pageBreakBefore w:val="0"/>
        <w:widowControl w:val="0"/>
        <w:kinsoku/>
        <w:wordWrap/>
        <w:overflowPunct/>
        <w:topLinePunct w:val="0"/>
        <w:autoSpaceDE/>
        <w:autoSpaceDN/>
        <w:bidi w:val="0"/>
        <w:adjustRightInd/>
        <w:snapToGrid/>
        <w:spacing w:before="0" w:after="0" w:line="576" w:lineRule="exact"/>
        <w:textAlignment w:val="auto"/>
        <w:rPr>
          <w:rFonts w:ascii="仿宋" w:hAnsi="仿宋" w:eastAsia="仿宋"/>
          <w:color w:val="auto"/>
          <w:highlight w:val="none"/>
        </w:rPr>
      </w:pPr>
      <w:bookmarkStart w:id="72" w:name="_Toc15396629"/>
      <w:r>
        <w:rPr>
          <w:rStyle w:val="25"/>
          <w:rFonts w:hint="eastAsia" w:ascii="仿宋" w:hAnsi="仿宋" w:eastAsia="仿宋"/>
          <w:b w:val="0"/>
          <w:bCs w:val="0"/>
          <w:color w:val="auto"/>
          <w:highlight w:val="none"/>
        </w:rPr>
        <w:t>十一、</w:t>
      </w:r>
      <w:r>
        <w:rPr>
          <w:rFonts w:hint="eastAsia" w:ascii="仿宋" w:hAnsi="仿宋" w:eastAsia="仿宋"/>
          <w:b w:val="0"/>
          <w:color w:val="auto"/>
          <w:highlight w:val="none"/>
        </w:rPr>
        <w:t>政</w:t>
      </w:r>
      <w:r>
        <w:rPr>
          <w:rStyle w:val="25"/>
          <w:rFonts w:hint="eastAsia" w:ascii="仿宋" w:hAnsi="仿宋" w:eastAsia="仿宋"/>
          <w:b w:val="0"/>
          <w:bCs w:val="0"/>
          <w:color w:val="auto"/>
          <w:highlight w:val="none"/>
        </w:rPr>
        <w:t>府性基金预算财政拨款收入支出决算表</w:t>
      </w:r>
      <w:bookmarkEnd w:id="72"/>
    </w:p>
    <w:p>
      <w:pPr>
        <w:pStyle w:val="4"/>
        <w:pageBreakBefore w:val="0"/>
        <w:widowControl w:val="0"/>
        <w:kinsoku/>
        <w:wordWrap/>
        <w:overflowPunct/>
        <w:topLinePunct w:val="0"/>
        <w:autoSpaceDE/>
        <w:autoSpaceDN/>
        <w:bidi w:val="0"/>
        <w:adjustRightInd/>
        <w:snapToGrid/>
        <w:spacing w:before="0" w:after="0" w:line="576" w:lineRule="exact"/>
        <w:textAlignment w:val="auto"/>
        <w:rPr>
          <w:rFonts w:ascii="仿宋" w:hAnsi="仿宋" w:eastAsia="仿宋"/>
          <w:color w:val="auto"/>
          <w:highlight w:val="none"/>
        </w:rPr>
      </w:pPr>
      <w:bookmarkStart w:id="73" w:name="_Toc15396630"/>
      <w:r>
        <w:rPr>
          <w:rStyle w:val="25"/>
          <w:rFonts w:hint="eastAsia" w:ascii="仿宋" w:hAnsi="仿宋" w:eastAsia="仿宋"/>
          <w:b w:val="0"/>
          <w:bCs w:val="0"/>
          <w:color w:val="auto"/>
          <w:highlight w:val="none"/>
        </w:rPr>
        <w:t>十二、</w:t>
      </w:r>
      <w:r>
        <w:rPr>
          <w:rFonts w:hint="eastAsia" w:ascii="仿宋" w:hAnsi="仿宋" w:eastAsia="仿宋"/>
          <w:b w:val="0"/>
          <w:color w:val="auto"/>
          <w:highlight w:val="none"/>
        </w:rPr>
        <w:t>政</w:t>
      </w:r>
      <w:r>
        <w:rPr>
          <w:rStyle w:val="25"/>
          <w:rFonts w:hint="eastAsia" w:ascii="仿宋" w:hAnsi="仿宋" w:eastAsia="仿宋"/>
          <w:b w:val="0"/>
          <w:bCs w:val="0"/>
          <w:color w:val="auto"/>
          <w:highlight w:val="none"/>
        </w:rPr>
        <w:t>府性基金预算财政拨款“三公”经费支出决算表</w:t>
      </w:r>
      <w:bookmarkEnd w:id="73"/>
    </w:p>
    <w:p>
      <w:pPr>
        <w:pStyle w:val="4"/>
        <w:pageBreakBefore w:val="0"/>
        <w:widowControl w:val="0"/>
        <w:kinsoku/>
        <w:wordWrap/>
        <w:overflowPunct/>
        <w:topLinePunct w:val="0"/>
        <w:autoSpaceDE/>
        <w:autoSpaceDN/>
        <w:bidi w:val="0"/>
        <w:adjustRightInd/>
        <w:snapToGrid/>
        <w:spacing w:before="0" w:after="0" w:line="576" w:lineRule="exact"/>
        <w:textAlignment w:val="auto"/>
        <w:rPr>
          <w:rStyle w:val="25"/>
          <w:rFonts w:hint="eastAsia" w:ascii="仿宋" w:hAnsi="仿宋" w:eastAsia="仿宋"/>
          <w:b w:val="0"/>
          <w:bCs w:val="0"/>
          <w:color w:val="auto"/>
          <w:highlight w:val="none"/>
        </w:rPr>
      </w:pPr>
      <w:bookmarkStart w:id="74" w:name="_Toc15396631"/>
      <w:r>
        <w:rPr>
          <w:rStyle w:val="25"/>
          <w:rFonts w:hint="eastAsia" w:ascii="仿宋" w:hAnsi="仿宋" w:eastAsia="仿宋"/>
          <w:b w:val="0"/>
          <w:bCs w:val="0"/>
          <w:color w:val="auto"/>
          <w:highlight w:val="none"/>
        </w:rPr>
        <w:t>十三、</w:t>
      </w:r>
      <w:r>
        <w:rPr>
          <w:rFonts w:hint="eastAsia" w:ascii="仿宋" w:hAnsi="仿宋" w:eastAsia="仿宋"/>
          <w:b w:val="0"/>
          <w:color w:val="auto"/>
          <w:highlight w:val="none"/>
        </w:rPr>
        <w:t>国</w:t>
      </w:r>
      <w:r>
        <w:rPr>
          <w:rStyle w:val="25"/>
          <w:rFonts w:hint="eastAsia" w:ascii="仿宋" w:hAnsi="仿宋" w:eastAsia="仿宋"/>
          <w:b w:val="0"/>
          <w:bCs w:val="0"/>
          <w:color w:val="auto"/>
          <w:highlight w:val="none"/>
        </w:rPr>
        <w:t>有资本经营预算</w:t>
      </w:r>
      <w:r>
        <w:rPr>
          <w:rStyle w:val="25"/>
          <w:rFonts w:hint="eastAsia" w:ascii="仿宋" w:hAnsi="仿宋" w:eastAsia="仿宋"/>
          <w:b w:val="0"/>
          <w:bCs w:val="0"/>
          <w:color w:val="auto"/>
          <w:highlight w:val="none"/>
          <w:lang w:eastAsia="zh-CN"/>
        </w:rPr>
        <w:t>财政拨款收入</w:t>
      </w:r>
      <w:r>
        <w:rPr>
          <w:rStyle w:val="25"/>
          <w:rFonts w:hint="eastAsia" w:ascii="仿宋" w:hAnsi="仿宋" w:eastAsia="仿宋"/>
          <w:b w:val="0"/>
          <w:bCs w:val="0"/>
          <w:color w:val="auto"/>
          <w:highlight w:val="none"/>
        </w:rPr>
        <w:t>支出决算表</w:t>
      </w:r>
      <w:bookmarkEnd w:id="74"/>
    </w:p>
    <w:p>
      <w:pPr>
        <w:pageBreakBefore w:val="0"/>
        <w:widowControl w:val="0"/>
        <w:kinsoku/>
        <w:wordWrap/>
        <w:overflowPunct/>
        <w:topLinePunct w:val="0"/>
        <w:autoSpaceDE/>
        <w:autoSpaceDN/>
        <w:bidi w:val="0"/>
        <w:adjustRightInd/>
        <w:snapToGrid/>
        <w:spacing w:line="576" w:lineRule="exact"/>
        <w:textAlignment w:val="auto"/>
        <w:rPr>
          <w:rFonts w:hint="eastAsia" w:eastAsia="仿宋"/>
          <w:color w:val="auto"/>
          <w:highlight w:val="none"/>
          <w:lang w:eastAsia="zh-CN"/>
        </w:rPr>
      </w:pPr>
      <w:r>
        <w:rPr>
          <w:rStyle w:val="25"/>
          <w:rFonts w:hint="eastAsia" w:ascii="仿宋" w:hAnsi="仿宋" w:eastAsia="仿宋"/>
          <w:b w:val="0"/>
          <w:bCs w:val="0"/>
          <w:color w:val="auto"/>
          <w:highlight w:val="none"/>
          <w:lang w:eastAsia="zh-CN"/>
        </w:rPr>
        <w:t>十四、国有资本经营预算财政拨款支出决算表</w:t>
      </w:r>
    </w:p>
    <w:sectPr>
      <w:footerReference r:id="rId6" w:type="first"/>
      <w:footerReference r:id="rId5" w:type="default"/>
      <w:pgSz w:w="11906" w:h="16838"/>
      <w:pgMar w:top="2098" w:right="1474" w:bottom="1984" w:left="1587" w:header="851" w:footer="1559"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2010601030101010101"/>
    <w:charset w:val="86"/>
    <w:family w:val="script"/>
    <w:pitch w:val="default"/>
    <w:sig w:usb0="00000000" w:usb1="00000000" w:usb2="00000000" w:usb3="00000000" w:csb0="00040000" w:csb1="00000000"/>
  </w:font>
  <w:font w:name="方正小标宋_GBK">
    <w:altName w:val="Arial Unicode MS"/>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40ABC6"/>
    <w:multiLevelType w:val="singleLevel"/>
    <w:tmpl w:val="8340ABC6"/>
    <w:lvl w:ilvl="0" w:tentative="0">
      <w:start w:val="2"/>
      <w:numFmt w:val="decimal"/>
      <w:suff w:val="nothing"/>
      <w:lvlText w:val="%1．"/>
      <w:lvlJc w:val="left"/>
    </w:lvl>
  </w:abstractNum>
  <w:abstractNum w:abstractNumId="1">
    <w:nsid w:val="87B89245"/>
    <w:multiLevelType w:val="singleLevel"/>
    <w:tmpl w:val="87B89245"/>
    <w:lvl w:ilvl="0" w:tentative="0">
      <w:start w:val="2"/>
      <w:numFmt w:val="decimal"/>
      <w:suff w:val="nothing"/>
      <w:lvlText w:val="%1．"/>
      <w:lvlJc w:val="left"/>
    </w:lvl>
  </w:abstractNum>
  <w:abstractNum w:abstractNumId="2">
    <w:nsid w:val="9DF97ADA"/>
    <w:multiLevelType w:val="singleLevel"/>
    <w:tmpl w:val="9DF97ADA"/>
    <w:lvl w:ilvl="0" w:tentative="0">
      <w:start w:val="2"/>
      <w:numFmt w:val="decimal"/>
      <w:suff w:val="nothing"/>
      <w:lvlText w:val="%1．"/>
      <w:lvlJc w:val="left"/>
    </w:lvl>
  </w:abstractNum>
  <w:abstractNum w:abstractNumId="3">
    <w:nsid w:val="A4040266"/>
    <w:multiLevelType w:val="singleLevel"/>
    <w:tmpl w:val="A4040266"/>
    <w:lvl w:ilvl="0" w:tentative="0">
      <w:start w:val="2"/>
      <w:numFmt w:val="decimal"/>
      <w:suff w:val="nothing"/>
      <w:lvlText w:val="%1．"/>
      <w:lvlJc w:val="left"/>
    </w:lvl>
  </w:abstractNum>
  <w:abstractNum w:abstractNumId="4">
    <w:nsid w:val="BDA1E998"/>
    <w:multiLevelType w:val="singleLevel"/>
    <w:tmpl w:val="BDA1E998"/>
    <w:lvl w:ilvl="0" w:tentative="0">
      <w:start w:val="2"/>
      <w:numFmt w:val="decimal"/>
      <w:suff w:val="nothing"/>
      <w:lvlText w:val="%1．"/>
      <w:lvlJc w:val="left"/>
    </w:lvl>
  </w:abstractNum>
  <w:abstractNum w:abstractNumId="5">
    <w:nsid w:val="CF652CEC"/>
    <w:multiLevelType w:val="singleLevel"/>
    <w:tmpl w:val="CF652CEC"/>
    <w:lvl w:ilvl="0" w:tentative="0">
      <w:start w:val="9"/>
      <w:numFmt w:val="chineseCounting"/>
      <w:suff w:val="nothing"/>
      <w:lvlText w:val="%1、"/>
      <w:lvlJc w:val="left"/>
      <w:rPr>
        <w:rFonts w:hint="eastAsia"/>
      </w:rPr>
    </w:lvl>
  </w:abstractNum>
  <w:abstractNum w:abstractNumId="6">
    <w:nsid w:val="E2FA047D"/>
    <w:multiLevelType w:val="singleLevel"/>
    <w:tmpl w:val="E2FA047D"/>
    <w:lvl w:ilvl="0" w:tentative="0">
      <w:start w:val="3"/>
      <w:numFmt w:val="chineseCounting"/>
      <w:suff w:val="space"/>
      <w:lvlText w:val="第%1部分"/>
      <w:lvlJc w:val="left"/>
      <w:rPr>
        <w:rFonts w:hint="eastAsia"/>
      </w:rPr>
    </w:lvl>
  </w:abstractNum>
  <w:abstractNum w:abstractNumId="7">
    <w:nsid w:val="E943F072"/>
    <w:multiLevelType w:val="singleLevel"/>
    <w:tmpl w:val="E943F072"/>
    <w:lvl w:ilvl="0" w:tentative="0">
      <w:start w:val="2"/>
      <w:numFmt w:val="decimal"/>
      <w:suff w:val="nothing"/>
      <w:lvlText w:val="%1．"/>
      <w:lvlJc w:val="left"/>
    </w:lvl>
  </w:abstractNum>
  <w:abstractNum w:abstractNumId="8">
    <w:nsid w:val="EACDA710"/>
    <w:multiLevelType w:val="singleLevel"/>
    <w:tmpl w:val="EACDA710"/>
    <w:lvl w:ilvl="0" w:tentative="0">
      <w:start w:val="2"/>
      <w:numFmt w:val="decimal"/>
      <w:suff w:val="nothing"/>
      <w:lvlText w:val="%1．"/>
      <w:lvlJc w:val="left"/>
    </w:lvl>
  </w:abstractNum>
  <w:abstractNum w:abstractNumId="9">
    <w:nsid w:val="21BE1798"/>
    <w:multiLevelType w:val="singleLevel"/>
    <w:tmpl w:val="21BE1798"/>
    <w:lvl w:ilvl="0" w:tentative="0">
      <w:start w:val="2"/>
      <w:numFmt w:val="decimal"/>
      <w:suff w:val="nothing"/>
      <w:lvlText w:val="%1．"/>
      <w:lvlJc w:val="left"/>
    </w:lvl>
  </w:abstractNum>
  <w:abstractNum w:abstractNumId="10">
    <w:nsid w:val="6413E882"/>
    <w:multiLevelType w:val="singleLevel"/>
    <w:tmpl w:val="6413E882"/>
    <w:lvl w:ilvl="0" w:tentative="0">
      <w:start w:val="2"/>
      <w:numFmt w:val="decimal"/>
      <w:suff w:val="nothing"/>
      <w:lvlText w:val="%1．"/>
      <w:lvlJc w:val="left"/>
    </w:lvl>
  </w:abstractNum>
  <w:abstractNum w:abstractNumId="11">
    <w:nsid w:val="73C9D8B0"/>
    <w:multiLevelType w:val="singleLevel"/>
    <w:tmpl w:val="73C9D8B0"/>
    <w:lvl w:ilvl="0" w:tentative="0">
      <w:start w:val="2"/>
      <w:numFmt w:val="decimal"/>
      <w:suff w:val="nothing"/>
      <w:lvlText w:val="%1．"/>
      <w:lvlJc w:val="left"/>
    </w:lvl>
  </w:abstractNum>
  <w:num w:numId="1">
    <w:abstractNumId w:val="5"/>
  </w:num>
  <w:num w:numId="2">
    <w:abstractNumId w:val="6"/>
  </w:num>
  <w:num w:numId="3">
    <w:abstractNumId w:val="1"/>
  </w:num>
  <w:num w:numId="4">
    <w:abstractNumId w:val="9"/>
  </w:num>
  <w:num w:numId="5">
    <w:abstractNumId w:val="10"/>
  </w:num>
  <w:num w:numId="6">
    <w:abstractNumId w:val="0"/>
  </w:num>
  <w:num w:numId="7">
    <w:abstractNumId w:val="2"/>
  </w:num>
  <w:num w:numId="8">
    <w:abstractNumId w:val="7"/>
  </w:num>
  <w:num w:numId="9">
    <w:abstractNumId w:val="3"/>
  </w:num>
  <w:num w:numId="10">
    <w:abstractNumId w:val="11"/>
  </w:num>
  <w:num w:numId="11">
    <w:abstractNumId w:val="4"/>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1ZWZiMGQ3NTg1YmJjMGY1MmZlMmYwNjQ0Nzk3NTM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5D71"/>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23C6D"/>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935A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1377"/>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0F371D"/>
    <w:rsid w:val="011D2710"/>
    <w:rsid w:val="012B7E14"/>
    <w:rsid w:val="012D77E5"/>
    <w:rsid w:val="01527EDF"/>
    <w:rsid w:val="01803C25"/>
    <w:rsid w:val="01854B64"/>
    <w:rsid w:val="019127B6"/>
    <w:rsid w:val="01AA7A1A"/>
    <w:rsid w:val="01D152A8"/>
    <w:rsid w:val="026223A4"/>
    <w:rsid w:val="02661E94"/>
    <w:rsid w:val="02722DCC"/>
    <w:rsid w:val="029D33DC"/>
    <w:rsid w:val="02A429BD"/>
    <w:rsid w:val="02B926FC"/>
    <w:rsid w:val="02BC1AB4"/>
    <w:rsid w:val="02BD5EFC"/>
    <w:rsid w:val="033A0C2B"/>
    <w:rsid w:val="03AF0451"/>
    <w:rsid w:val="03C86237"/>
    <w:rsid w:val="03F1578E"/>
    <w:rsid w:val="04142512"/>
    <w:rsid w:val="04333FF8"/>
    <w:rsid w:val="0442248D"/>
    <w:rsid w:val="04567128"/>
    <w:rsid w:val="04610B65"/>
    <w:rsid w:val="046F1EFE"/>
    <w:rsid w:val="049251C3"/>
    <w:rsid w:val="04AD230E"/>
    <w:rsid w:val="04DE727E"/>
    <w:rsid w:val="04FC6AE0"/>
    <w:rsid w:val="053E0222"/>
    <w:rsid w:val="056D353A"/>
    <w:rsid w:val="05E355AA"/>
    <w:rsid w:val="05E549E5"/>
    <w:rsid w:val="06463F87"/>
    <w:rsid w:val="06514C09"/>
    <w:rsid w:val="066E0107"/>
    <w:rsid w:val="066F239D"/>
    <w:rsid w:val="06887AAA"/>
    <w:rsid w:val="06B331CE"/>
    <w:rsid w:val="070C28DE"/>
    <w:rsid w:val="07177C01"/>
    <w:rsid w:val="0721638A"/>
    <w:rsid w:val="078C3715"/>
    <w:rsid w:val="07996F6E"/>
    <w:rsid w:val="07C17B6D"/>
    <w:rsid w:val="07E52071"/>
    <w:rsid w:val="082F4AD6"/>
    <w:rsid w:val="08354E1D"/>
    <w:rsid w:val="083E11BD"/>
    <w:rsid w:val="086C7545"/>
    <w:rsid w:val="086E1AA3"/>
    <w:rsid w:val="08DC4C5E"/>
    <w:rsid w:val="08EC2023"/>
    <w:rsid w:val="091F0FEF"/>
    <w:rsid w:val="09397950"/>
    <w:rsid w:val="0992531D"/>
    <w:rsid w:val="09946486"/>
    <w:rsid w:val="09A35E54"/>
    <w:rsid w:val="09D148E8"/>
    <w:rsid w:val="09E322CB"/>
    <w:rsid w:val="0A0A75A9"/>
    <w:rsid w:val="0A0F2E11"/>
    <w:rsid w:val="0A1B5312"/>
    <w:rsid w:val="0A2032A3"/>
    <w:rsid w:val="0A494B99"/>
    <w:rsid w:val="0A544CC8"/>
    <w:rsid w:val="0AF56431"/>
    <w:rsid w:val="0AFC2274"/>
    <w:rsid w:val="0B061558"/>
    <w:rsid w:val="0B143EFA"/>
    <w:rsid w:val="0B1759B0"/>
    <w:rsid w:val="0B266665"/>
    <w:rsid w:val="0B3D461F"/>
    <w:rsid w:val="0B5D195B"/>
    <w:rsid w:val="0B9510F4"/>
    <w:rsid w:val="0BCD05CB"/>
    <w:rsid w:val="0C18333A"/>
    <w:rsid w:val="0C280580"/>
    <w:rsid w:val="0C775E1A"/>
    <w:rsid w:val="0C802607"/>
    <w:rsid w:val="0C992E66"/>
    <w:rsid w:val="0CEB5F40"/>
    <w:rsid w:val="0D265701"/>
    <w:rsid w:val="0D5648B3"/>
    <w:rsid w:val="0D5D3E94"/>
    <w:rsid w:val="0D9D4820"/>
    <w:rsid w:val="0DC161D1"/>
    <w:rsid w:val="0E056A05"/>
    <w:rsid w:val="0E6843EE"/>
    <w:rsid w:val="0E7F4A9C"/>
    <w:rsid w:val="0E8D3867"/>
    <w:rsid w:val="0E8F314D"/>
    <w:rsid w:val="0E9E5EC5"/>
    <w:rsid w:val="0EA93670"/>
    <w:rsid w:val="0EB52101"/>
    <w:rsid w:val="0F205179"/>
    <w:rsid w:val="0F474DFC"/>
    <w:rsid w:val="0F583E54"/>
    <w:rsid w:val="0F5F2145"/>
    <w:rsid w:val="0F6626CE"/>
    <w:rsid w:val="0FB029A1"/>
    <w:rsid w:val="0FBC7598"/>
    <w:rsid w:val="0FD068F7"/>
    <w:rsid w:val="0FF22FB9"/>
    <w:rsid w:val="101860EC"/>
    <w:rsid w:val="101F58FA"/>
    <w:rsid w:val="103709CC"/>
    <w:rsid w:val="10675755"/>
    <w:rsid w:val="106D6730"/>
    <w:rsid w:val="10C055FF"/>
    <w:rsid w:val="10D03F68"/>
    <w:rsid w:val="10EC7A09"/>
    <w:rsid w:val="10F22B45"/>
    <w:rsid w:val="10F93ED3"/>
    <w:rsid w:val="118107EC"/>
    <w:rsid w:val="11A71B81"/>
    <w:rsid w:val="11AF094B"/>
    <w:rsid w:val="11C8033D"/>
    <w:rsid w:val="11F528ED"/>
    <w:rsid w:val="11FC011F"/>
    <w:rsid w:val="12346E88"/>
    <w:rsid w:val="12557610"/>
    <w:rsid w:val="125F2B4D"/>
    <w:rsid w:val="12D56414"/>
    <w:rsid w:val="130B4727"/>
    <w:rsid w:val="13401565"/>
    <w:rsid w:val="13C82402"/>
    <w:rsid w:val="13D03611"/>
    <w:rsid w:val="13D50BC4"/>
    <w:rsid w:val="13D80718"/>
    <w:rsid w:val="141C6857"/>
    <w:rsid w:val="144E2788"/>
    <w:rsid w:val="149E726C"/>
    <w:rsid w:val="14E530ED"/>
    <w:rsid w:val="15233C15"/>
    <w:rsid w:val="1525173B"/>
    <w:rsid w:val="154716B1"/>
    <w:rsid w:val="156F29B6"/>
    <w:rsid w:val="15793835"/>
    <w:rsid w:val="15CA4090"/>
    <w:rsid w:val="16273291"/>
    <w:rsid w:val="168B7CC4"/>
    <w:rsid w:val="168E3F56"/>
    <w:rsid w:val="16BB723D"/>
    <w:rsid w:val="16F5338F"/>
    <w:rsid w:val="17084E70"/>
    <w:rsid w:val="175D205E"/>
    <w:rsid w:val="17614581"/>
    <w:rsid w:val="17952D8A"/>
    <w:rsid w:val="17D15BAA"/>
    <w:rsid w:val="17E646B4"/>
    <w:rsid w:val="1861354D"/>
    <w:rsid w:val="18CB69C6"/>
    <w:rsid w:val="18CD3B7B"/>
    <w:rsid w:val="18FF1D76"/>
    <w:rsid w:val="19670574"/>
    <w:rsid w:val="198C1D89"/>
    <w:rsid w:val="198D78AF"/>
    <w:rsid w:val="1A353C5E"/>
    <w:rsid w:val="1A8E38DF"/>
    <w:rsid w:val="1BE8440E"/>
    <w:rsid w:val="1C010327"/>
    <w:rsid w:val="1C90210E"/>
    <w:rsid w:val="1CE4012E"/>
    <w:rsid w:val="1D155CEE"/>
    <w:rsid w:val="1D320475"/>
    <w:rsid w:val="1D352737"/>
    <w:rsid w:val="1D5232E9"/>
    <w:rsid w:val="1D5968D7"/>
    <w:rsid w:val="1D71791A"/>
    <w:rsid w:val="1DC1221D"/>
    <w:rsid w:val="1DDD5C48"/>
    <w:rsid w:val="1DE1641B"/>
    <w:rsid w:val="1E13698D"/>
    <w:rsid w:val="1E607BCE"/>
    <w:rsid w:val="1E9777B7"/>
    <w:rsid w:val="1EF043C6"/>
    <w:rsid w:val="1F1D0AC1"/>
    <w:rsid w:val="1F374545"/>
    <w:rsid w:val="1F5866E8"/>
    <w:rsid w:val="1F7C289F"/>
    <w:rsid w:val="1F7E6617"/>
    <w:rsid w:val="1FCF7439"/>
    <w:rsid w:val="1FFB1A16"/>
    <w:rsid w:val="205E01F7"/>
    <w:rsid w:val="20684BD2"/>
    <w:rsid w:val="209503A6"/>
    <w:rsid w:val="20D12777"/>
    <w:rsid w:val="20D54EBB"/>
    <w:rsid w:val="20E34258"/>
    <w:rsid w:val="20FE6750"/>
    <w:rsid w:val="21013250"/>
    <w:rsid w:val="216169B0"/>
    <w:rsid w:val="216E446A"/>
    <w:rsid w:val="21C5052E"/>
    <w:rsid w:val="21CD1190"/>
    <w:rsid w:val="22055EDA"/>
    <w:rsid w:val="22E71947"/>
    <w:rsid w:val="22ED7AA6"/>
    <w:rsid w:val="22FD552C"/>
    <w:rsid w:val="236C49D9"/>
    <w:rsid w:val="23860B96"/>
    <w:rsid w:val="239570C5"/>
    <w:rsid w:val="23BB64CE"/>
    <w:rsid w:val="23C71FE8"/>
    <w:rsid w:val="23C95987"/>
    <w:rsid w:val="23D26F32"/>
    <w:rsid w:val="23FB5AE3"/>
    <w:rsid w:val="240371BF"/>
    <w:rsid w:val="240B41F2"/>
    <w:rsid w:val="24457704"/>
    <w:rsid w:val="24A361D8"/>
    <w:rsid w:val="24AE27A9"/>
    <w:rsid w:val="24E925E2"/>
    <w:rsid w:val="24F3486D"/>
    <w:rsid w:val="25537BFE"/>
    <w:rsid w:val="256E2C8A"/>
    <w:rsid w:val="25886595"/>
    <w:rsid w:val="25BD776E"/>
    <w:rsid w:val="25DC76DB"/>
    <w:rsid w:val="260871FC"/>
    <w:rsid w:val="265A2982"/>
    <w:rsid w:val="26713556"/>
    <w:rsid w:val="26C012C4"/>
    <w:rsid w:val="26CC5EBA"/>
    <w:rsid w:val="26DE7A3A"/>
    <w:rsid w:val="27823335"/>
    <w:rsid w:val="27A209C9"/>
    <w:rsid w:val="27E115FA"/>
    <w:rsid w:val="2810627B"/>
    <w:rsid w:val="283261F1"/>
    <w:rsid w:val="28A013AD"/>
    <w:rsid w:val="28D36B6E"/>
    <w:rsid w:val="28E82D54"/>
    <w:rsid w:val="2905044A"/>
    <w:rsid w:val="291639C2"/>
    <w:rsid w:val="291678C1"/>
    <w:rsid w:val="2927387C"/>
    <w:rsid w:val="29296853"/>
    <w:rsid w:val="295D441B"/>
    <w:rsid w:val="29673AD5"/>
    <w:rsid w:val="29A50C45"/>
    <w:rsid w:val="29C5616A"/>
    <w:rsid w:val="29D95866"/>
    <w:rsid w:val="29FD04D3"/>
    <w:rsid w:val="2A080FA5"/>
    <w:rsid w:val="2A0D690A"/>
    <w:rsid w:val="2A7C7FEA"/>
    <w:rsid w:val="2AAC347C"/>
    <w:rsid w:val="2ADE201C"/>
    <w:rsid w:val="2AE632C3"/>
    <w:rsid w:val="2B400742"/>
    <w:rsid w:val="2B6477C6"/>
    <w:rsid w:val="2BCC4267"/>
    <w:rsid w:val="2C1A6BF6"/>
    <w:rsid w:val="2C574478"/>
    <w:rsid w:val="2C8A61B5"/>
    <w:rsid w:val="2CA74639"/>
    <w:rsid w:val="2D037C66"/>
    <w:rsid w:val="2D151C3D"/>
    <w:rsid w:val="2D5C786C"/>
    <w:rsid w:val="2D7C1CBC"/>
    <w:rsid w:val="2DCE741F"/>
    <w:rsid w:val="2DEC6DA9"/>
    <w:rsid w:val="2DF04E50"/>
    <w:rsid w:val="2E1B5870"/>
    <w:rsid w:val="2E7B1F74"/>
    <w:rsid w:val="2E9B6172"/>
    <w:rsid w:val="2ECB6A58"/>
    <w:rsid w:val="2F173D0A"/>
    <w:rsid w:val="2F2F348A"/>
    <w:rsid w:val="2F713AA3"/>
    <w:rsid w:val="2F835584"/>
    <w:rsid w:val="2FAA48BF"/>
    <w:rsid w:val="30274161"/>
    <w:rsid w:val="30446AC1"/>
    <w:rsid w:val="30977539"/>
    <w:rsid w:val="30AE03DF"/>
    <w:rsid w:val="31456F95"/>
    <w:rsid w:val="319F7F4E"/>
    <w:rsid w:val="31A11CF2"/>
    <w:rsid w:val="31C33F8D"/>
    <w:rsid w:val="3222053A"/>
    <w:rsid w:val="3259205E"/>
    <w:rsid w:val="32C71C2C"/>
    <w:rsid w:val="32E8331A"/>
    <w:rsid w:val="33093FF2"/>
    <w:rsid w:val="331B7930"/>
    <w:rsid w:val="3330332D"/>
    <w:rsid w:val="333460D2"/>
    <w:rsid w:val="33831F7C"/>
    <w:rsid w:val="33D103C1"/>
    <w:rsid w:val="33ED4B94"/>
    <w:rsid w:val="34556809"/>
    <w:rsid w:val="345B087E"/>
    <w:rsid w:val="348924A4"/>
    <w:rsid w:val="34D16D92"/>
    <w:rsid w:val="34E22D4D"/>
    <w:rsid w:val="34EB3110"/>
    <w:rsid w:val="353B4BF7"/>
    <w:rsid w:val="35714216"/>
    <w:rsid w:val="358108B6"/>
    <w:rsid w:val="35831E3A"/>
    <w:rsid w:val="359027A9"/>
    <w:rsid w:val="359F7AA1"/>
    <w:rsid w:val="35C12962"/>
    <w:rsid w:val="35EB565F"/>
    <w:rsid w:val="3656750B"/>
    <w:rsid w:val="368220F2"/>
    <w:rsid w:val="36981915"/>
    <w:rsid w:val="36AA5135"/>
    <w:rsid w:val="377E2F64"/>
    <w:rsid w:val="37B1722C"/>
    <w:rsid w:val="37B22EAA"/>
    <w:rsid w:val="37D270A9"/>
    <w:rsid w:val="37E16F03"/>
    <w:rsid w:val="381274A5"/>
    <w:rsid w:val="38342737"/>
    <w:rsid w:val="38431D54"/>
    <w:rsid w:val="385C4476"/>
    <w:rsid w:val="38834608"/>
    <w:rsid w:val="38B04056"/>
    <w:rsid w:val="38C70290"/>
    <w:rsid w:val="39184F8F"/>
    <w:rsid w:val="394E6C03"/>
    <w:rsid w:val="39974106"/>
    <w:rsid w:val="399C731A"/>
    <w:rsid w:val="39A63F7D"/>
    <w:rsid w:val="39DE0EC7"/>
    <w:rsid w:val="3A3851BE"/>
    <w:rsid w:val="3A5C534F"/>
    <w:rsid w:val="3A8A1990"/>
    <w:rsid w:val="3AAD7959"/>
    <w:rsid w:val="3AB63EE5"/>
    <w:rsid w:val="3AEF0A57"/>
    <w:rsid w:val="3B7D37CF"/>
    <w:rsid w:val="3B9F54F4"/>
    <w:rsid w:val="3BE41B48"/>
    <w:rsid w:val="3C2123AD"/>
    <w:rsid w:val="3C3420E0"/>
    <w:rsid w:val="3C477198"/>
    <w:rsid w:val="3D6C7658"/>
    <w:rsid w:val="3D7B75D2"/>
    <w:rsid w:val="3D98207C"/>
    <w:rsid w:val="3DAB11BF"/>
    <w:rsid w:val="3E3F6B1A"/>
    <w:rsid w:val="3E6E3DD3"/>
    <w:rsid w:val="3E7E7642"/>
    <w:rsid w:val="3ED6747E"/>
    <w:rsid w:val="3ED96F6F"/>
    <w:rsid w:val="3F051B12"/>
    <w:rsid w:val="3F2B09AF"/>
    <w:rsid w:val="3F825CCD"/>
    <w:rsid w:val="3F8C50E7"/>
    <w:rsid w:val="40552625"/>
    <w:rsid w:val="4061546E"/>
    <w:rsid w:val="4081373D"/>
    <w:rsid w:val="40980764"/>
    <w:rsid w:val="40B2553A"/>
    <w:rsid w:val="40CD7205"/>
    <w:rsid w:val="413640CF"/>
    <w:rsid w:val="419D24D5"/>
    <w:rsid w:val="41D103D1"/>
    <w:rsid w:val="420C765B"/>
    <w:rsid w:val="42181B5C"/>
    <w:rsid w:val="421A58D4"/>
    <w:rsid w:val="42476FAE"/>
    <w:rsid w:val="42513BA8"/>
    <w:rsid w:val="427271B5"/>
    <w:rsid w:val="42784CF1"/>
    <w:rsid w:val="42B256B0"/>
    <w:rsid w:val="42C85330"/>
    <w:rsid w:val="43170066"/>
    <w:rsid w:val="43187E67"/>
    <w:rsid w:val="43923CA1"/>
    <w:rsid w:val="43994F1E"/>
    <w:rsid w:val="43F07682"/>
    <w:rsid w:val="44020D16"/>
    <w:rsid w:val="44242A3A"/>
    <w:rsid w:val="442E1752"/>
    <w:rsid w:val="443C5BC9"/>
    <w:rsid w:val="44486426"/>
    <w:rsid w:val="447361F2"/>
    <w:rsid w:val="44911A6B"/>
    <w:rsid w:val="44AD0C81"/>
    <w:rsid w:val="44B30262"/>
    <w:rsid w:val="44E268DA"/>
    <w:rsid w:val="44F20D8A"/>
    <w:rsid w:val="44F92119"/>
    <w:rsid w:val="450E7246"/>
    <w:rsid w:val="45114BB3"/>
    <w:rsid w:val="451E392D"/>
    <w:rsid w:val="45467F62"/>
    <w:rsid w:val="456D21BF"/>
    <w:rsid w:val="459E761B"/>
    <w:rsid w:val="45B47DEE"/>
    <w:rsid w:val="46916381"/>
    <w:rsid w:val="47661423"/>
    <w:rsid w:val="476F070E"/>
    <w:rsid w:val="47811F51"/>
    <w:rsid w:val="47C86E37"/>
    <w:rsid w:val="47C87B80"/>
    <w:rsid w:val="47E0311C"/>
    <w:rsid w:val="47EA5D49"/>
    <w:rsid w:val="47EF15B1"/>
    <w:rsid w:val="481D4BC7"/>
    <w:rsid w:val="484A67E7"/>
    <w:rsid w:val="48843A03"/>
    <w:rsid w:val="489F2FD7"/>
    <w:rsid w:val="48CA48BA"/>
    <w:rsid w:val="48D80297"/>
    <w:rsid w:val="492257BF"/>
    <w:rsid w:val="495A3F62"/>
    <w:rsid w:val="497C6E74"/>
    <w:rsid w:val="499A60AC"/>
    <w:rsid w:val="499B5FB0"/>
    <w:rsid w:val="49B605D8"/>
    <w:rsid w:val="49BE123B"/>
    <w:rsid w:val="49C75EDA"/>
    <w:rsid w:val="49D44288"/>
    <w:rsid w:val="4A0468B5"/>
    <w:rsid w:val="4A0A26D2"/>
    <w:rsid w:val="4A3812C5"/>
    <w:rsid w:val="4A5F69CD"/>
    <w:rsid w:val="4A6242BC"/>
    <w:rsid w:val="4A627F82"/>
    <w:rsid w:val="4A7933B4"/>
    <w:rsid w:val="4A833C14"/>
    <w:rsid w:val="4AE86BD6"/>
    <w:rsid w:val="4AF57E89"/>
    <w:rsid w:val="4AFF6764"/>
    <w:rsid w:val="4B0E7FA0"/>
    <w:rsid w:val="4B267596"/>
    <w:rsid w:val="4B4F25DA"/>
    <w:rsid w:val="4BAE4815"/>
    <w:rsid w:val="4BD41705"/>
    <w:rsid w:val="4BE068DB"/>
    <w:rsid w:val="4BF51E47"/>
    <w:rsid w:val="4C885B30"/>
    <w:rsid w:val="4CAA1F4A"/>
    <w:rsid w:val="4CBE1C24"/>
    <w:rsid w:val="4CC2421E"/>
    <w:rsid w:val="4CD520AB"/>
    <w:rsid w:val="4D2770F7"/>
    <w:rsid w:val="4D577224"/>
    <w:rsid w:val="4D8B58D8"/>
    <w:rsid w:val="4DAE228C"/>
    <w:rsid w:val="4E050362"/>
    <w:rsid w:val="4E0631B0"/>
    <w:rsid w:val="4E0D09E3"/>
    <w:rsid w:val="4E2062BB"/>
    <w:rsid w:val="4E2F4887"/>
    <w:rsid w:val="4E612ADD"/>
    <w:rsid w:val="4E816CDB"/>
    <w:rsid w:val="4EA56E6D"/>
    <w:rsid w:val="4EAB630A"/>
    <w:rsid w:val="4ECE2238"/>
    <w:rsid w:val="4EFB083B"/>
    <w:rsid w:val="4EFB22D4"/>
    <w:rsid w:val="4EFB24A3"/>
    <w:rsid w:val="4F2204BE"/>
    <w:rsid w:val="4F2E4127"/>
    <w:rsid w:val="50306F92"/>
    <w:rsid w:val="5060129E"/>
    <w:rsid w:val="50715259"/>
    <w:rsid w:val="50772144"/>
    <w:rsid w:val="50B155D8"/>
    <w:rsid w:val="50CD6246"/>
    <w:rsid w:val="50CF155F"/>
    <w:rsid w:val="50DE3F85"/>
    <w:rsid w:val="5102369A"/>
    <w:rsid w:val="51A24FFA"/>
    <w:rsid w:val="51B01DB1"/>
    <w:rsid w:val="51C21D07"/>
    <w:rsid w:val="51FD2B1C"/>
    <w:rsid w:val="52132340"/>
    <w:rsid w:val="52306A4E"/>
    <w:rsid w:val="523E6CBE"/>
    <w:rsid w:val="52FD2299"/>
    <w:rsid w:val="536A5F90"/>
    <w:rsid w:val="53794425"/>
    <w:rsid w:val="53B271C1"/>
    <w:rsid w:val="53C41B44"/>
    <w:rsid w:val="53E43F94"/>
    <w:rsid w:val="543C792C"/>
    <w:rsid w:val="5454111A"/>
    <w:rsid w:val="545E2186"/>
    <w:rsid w:val="552F4B9D"/>
    <w:rsid w:val="553B7BE4"/>
    <w:rsid w:val="55794BB0"/>
    <w:rsid w:val="55C447FE"/>
    <w:rsid w:val="567D5FDA"/>
    <w:rsid w:val="56811F6E"/>
    <w:rsid w:val="5697353F"/>
    <w:rsid w:val="56C33DF7"/>
    <w:rsid w:val="56EB388B"/>
    <w:rsid w:val="570867FA"/>
    <w:rsid w:val="57106E4E"/>
    <w:rsid w:val="572F19CA"/>
    <w:rsid w:val="57325A3B"/>
    <w:rsid w:val="57435475"/>
    <w:rsid w:val="576D42A0"/>
    <w:rsid w:val="57961A49"/>
    <w:rsid w:val="57B63E99"/>
    <w:rsid w:val="57DB023E"/>
    <w:rsid w:val="57E5315C"/>
    <w:rsid w:val="58CD149A"/>
    <w:rsid w:val="59594DF9"/>
    <w:rsid w:val="59623267"/>
    <w:rsid w:val="59851D75"/>
    <w:rsid w:val="59A541C5"/>
    <w:rsid w:val="5A3B2502"/>
    <w:rsid w:val="5A7163E2"/>
    <w:rsid w:val="5A7871E4"/>
    <w:rsid w:val="5AD308BE"/>
    <w:rsid w:val="5AF56C56"/>
    <w:rsid w:val="5AF92295"/>
    <w:rsid w:val="5B0957E4"/>
    <w:rsid w:val="5B464AF4"/>
    <w:rsid w:val="5B943D29"/>
    <w:rsid w:val="5C191AE4"/>
    <w:rsid w:val="5C276B6D"/>
    <w:rsid w:val="5C8B76A2"/>
    <w:rsid w:val="5C8D34B1"/>
    <w:rsid w:val="5C9B0C9D"/>
    <w:rsid w:val="5CBC3CC2"/>
    <w:rsid w:val="5CD06725"/>
    <w:rsid w:val="5CD71FC4"/>
    <w:rsid w:val="5CD86660"/>
    <w:rsid w:val="5CE90889"/>
    <w:rsid w:val="5CF5105E"/>
    <w:rsid w:val="5D042FB1"/>
    <w:rsid w:val="5D212940"/>
    <w:rsid w:val="5D5B3EC6"/>
    <w:rsid w:val="5DA30A1C"/>
    <w:rsid w:val="5DCD7847"/>
    <w:rsid w:val="5DDD2180"/>
    <w:rsid w:val="5E1770DF"/>
    <w:rsid w:val="5E512226"/>
    <w:rsid w:val="5E580DF8"/>
    <w:rsid w:val="5E622841"/>
    <w:rsid w:val="5EB01642"/>
    <w:rsid w:val="5ECC3FA2"/>
    <w:rsid w:val="5EE906B0"/>
    <w:rsid w:val="5EEA66C9"/>
    <w:rsid w:val="5EFD3CC2"/>
    <w:rsid w:val="5F2345A8"/>
    <w:rsid w:val="5F304531"/>
    <w:rsid w:val="5F3E6C4E"/>
    <w:rsid w:val="5F93686E"/>
    <w:rsid w:val="5FAB07DA"/>
    <w:rsid w:val="5FFE36C4"/>
    <w:rsid w:val="600A59B6"/>
    <w:rsid w:val="601D3D0F"/>
    <w:rsid w:val="603409BC"/>
    <w:rsid w:val="603513F0"/>
    <w:rsid w:val="604632C7"/>
    <w:rsid w:val="60B42F40"/>
    <w:rsid w:val="60BF4711"/>
    <w:rsid w:val="60F82E2D"/>
    <w:rsid w:val="61135EB8"/>
    <w:rsid w:val="615A10A4"/>
    <w:rsid w:val="61720E31"/>
    <w:rsid w:val="618C0652"/>
    <w:rsid w:val="61E810F3"/>
    <w:rsid w:val="624B51DE"/>
    <w:rsid w:val="62737194"/>
    <w:rsid w:val="63870498"/>
    <w:rsid w:val="63D23E09"/>
    <w:rsid w:val="63EB0C9B"/>
    <w:rsid w:val="63F64CE2"/>
    <w:rsid w:val="64AF5EF8"/>
    <w:rsid w:val="65982E30"/>
    <w:rsid w:val="65C37EAD"/>
    <w:rsid w:val="65FC2358"/>
    <w:rsid w:val="660047AC"/>
    <w:rsid w:val="66041825"/>
    <w:rsid w:val="66376316"/>
    <w:rsid w:val="663A5C95"/>
    <w:rsid w:val="66C67529"/>
    <w:rsid w:val="66D5058F"/>
    <w:rsid w:val="670D5158"/>
    <w:rsid w:val="67857527"/>
    <w:rsid w:val="678B49FB"/>
    <w:rsid w:val="679775DB"/>
    <w:rsid w:val="67AC0D63"/>
    <w:rsid w:val="684F5B5E"/>
    <w:rsid w:val="689E2F34"/>
    <w:rsid w:val="68A613C0"/>
    <w:rsid w:val="691E3EB9"/>
    <w:rsid w:val="691F746E"/>
    <w:rsid w:val="693007D9"/>
    <w:rsid w:val="69674FF3"/>
    <w:rsid w:val="6978073E"/>
    <w:rsid w:val="6980435E"/>
    <w:rsid w:val="69F13925"/>
    <w:rsid w:val="6A0C16F7"/>
    <w:rsid w:val="6A31115D"/>
    <w:rsid w:val="6A4E5433"/>
    <w:rsid w:val="6A8F43E4"/>
    <w:rsid w:val="6AAC083E"/>
    <w:rsid w:val="6AB82DB9"/>
    <w:rsid w:val="6AFE7291"/>
    <w:rsid w:val="6B3F6EC7"/>
    <w:rsid w:val="6B572E46"/>
    <w:rsid w:val="6B9F20D5"/>
    <w:rsid w:val="6BBD0EFB"/>
    <w:rsid w:val="6BBF3130"/>
    <w:rsid w:val="6C4A05C8"/>
    <w:rsid w:val="6CAA5543"/>
    <w:rsid w:val="6CCF20FC"/>
    <w:rsid w:val="6CF7043C"/>
    <w:rsid w:val="6D042B59"/>
    <w:rsid w:val="6D5A6BDF"/>
    <w:rsid w:val="6D6142C0"/>
    <w:rsid w:val="6D741836"/>
    <w:rsid w:val="6DC01176"/>
    <w:rsid w:val="6E370799"/>
    <w:rsid w:val="6E492F1A"/>
    <w:rsid w:val="6E7E3605"/>
    <w:rsid w:val="6E9106AB"/>
    <w:rsid w:val="6EB12057"/>
    <w:rsid w:val="6EBD5BFE"/>
    <w:rsid w:val="6F5E5FF6"/>
    <w:rsid w:val="6F637CC1"/>
    <w:rsid w:val="6FE74438"/>
    <w:rsid w:val="6FF5CC65"/>
    <w:rsid w:val="701C7B9B"/>
    <w:rsid w:val="70394FD3"/>
    <w:rsid w:val="707A560C"/>
    <w:rsid w:val="70F73101"/>
    <w:rsid w:val="714F4CEB"/>
    <w:rsid w:val="715C0E4B"/>
    <w:rsid w:val="717249A1"/>
    <w:rsid w:val="71940950"/>
    <w:rsid w:val="71BB2380"/>
    <w:rsid w:val="71F96A05"/>
    <w:rsid w:val="720E0702"/>
    <w:rsid w:val="7218332F"/>
    <w:rsid w:val="721D5DCD"/>
    <w:rsid w:val="722E2B52"/>
    <w:rsid w:val="72347A3D"/>
    <w:rsid w:val="725620A9"/>
    <w:rsid w:val="72734D90"/>
    <w:rsid w:val="72C26D78"/>
    <w:rsid w:val="733A3F3A"/>
    <w:rsid w:val="736954C0"/>
    <w:rsid w:val="736E6F7E"/>
    <w:rsid w:val="7394240D"/>
    <w:rsid w:val="73AD73D5"/>
    <w:rsid w:val="73B6EB34"/>
    <w:rsid w:val="73F937B8"/>
    <w:rsid w:val="74115083"/>
    <w:rsid w:val="74234BAE"/>
    <w:rsid w:val="74387033"/>
    <w:rsid w:val="744D3038"/>
    <w:rsid w:val="745C066F"/>
    <w:rsid w:val="74887696"/>
    <w:rsid w:val="74AA5FEA"/>
    <w:rsid w:val="74CD278B"/>
    <w:rsid w:val="74E92D60"/>
    <w:rsid w:val="74F179CF"/>
    <w:rsid w:val="74FC6F38"/>
    <w:rsid w:val="757E52DA"/>
    <w:rsid w:val="75D304D0"/>
    <w:rsid w:val="75D3632B"/>
    <w:rsid w:val="75E83018"/>
    <w:rsid w:val="760851EF"/>
    <w:rsid w:val="761D2C10"/>
    <w:rsid w:val="7621477C"/>
    <w:rsid w:val="76377AFB"/>
    <w:rsid w:val="76A72ED3"/>
    <w:rsid w:val="76CE66B2"/>
    <w:rsid w:val="76D411C8"/>
    <w:rsid w:val="76FB7956"/>
    <w:rsid w:val="772F3D97"/>
    <w:rsid w:val="775F730A"/>
    <w:rsid w:val="7763329E"/>
    <w:rsid w:val="77C35AEB"/>
    <w:rsid w:val="77FA34D6"/>
    <w:rsid w:val="780E632E"/>
    <w:rsid w:val="78101BE7"/>
    <w:rsid w:val="785D08CE"/>
    <w:rsid w:val="78915BE9"/>
    <w:rsid w:val="789F45BB"/>
    <w:rsid w:val="78C65FEB"/>
    <w:rsid w:val="791B1AEC"/>
    <w:rsid w:val="791C386B"/>
    <w:rsid w:val="792F71B0"/>
    <w:rsid w:val="794401B0"/>
    <w:rsid w:val="79504234"/>
    <w:rsid w:val="79AB2CDA"/>
    <w:rsid w:val="79BC6C95"/>
    <w:rsid w:val="79C30024"/>
    <w:rsid w:val="79C97604"/>
    <w:rsid w:val="79E85CDC"/>
    <w:rsid w:val="79E93803"/>
    <w:rsid w:val="79ED6E4F"/>
    <w:rsid w:val="79EE5BA4"/>
    <w:rsid w:val="79F006ED"/>
    <w:rsid w:val="79FF6B82"/>
    <w:rsid w:val="7A4F26D7"/>
    <w:rsid w:val="7A70182E"/>
    <w:rsid w:val="7A7B08FF"/>
    <w:rsid w:val="7A7C6425"/>
    <w:rsid w:val="7A862E00"/>
    <w:rsid w:val="7A894339"/>
    <w:rsid w:val="7ABB0CFB"/>
    <w:rsid w:val="7AD41DBD"/>
    <w:rsid w:val="7AF95CC7"/>
    <w:rsid w:val="7B0614CE"/>
    <w:rsid w:val="7B294867"/>
    <w:rsid w:val="7B3E36DA"/>
    <w:rsid w:val="7B971768"/>
    <w:rsid w:val="7C4D6839"/>
    <w:rsid w:val="7C52568F"/>
    <w:rsid w:val="7C570EF7"/>
    <w:rsid w:val="7CC663F8"/>
    <w:rsid w:val="7CE34539"/>
    <w:rsid w:val="7D180687"/>
    <w:rsid w:val="7D292D32"/>
    <w:rsid w:val="7D297F29"/>
    <w:rsid w:val="7D34301D"/>
    <w:rsid w:val="7D5176F5"/>
    <w:rsid w:val="7DA168CE"/>
    <w:rsid w:val="7DB67EA0"/>
    <w:rsid w:val="7DF82A04"/>
    <w:rsid w:val="7E15297A"/>
    <w:rsid w:val="7E2A79ED"/>
    <w:rsid w:val="7E3E411D"/>
    <w:rsid w:val="7E991353"/>
    <w:rsid w:val="7EEF11D3"/>
    <w:rsid w:val="7EFC5D86"/>
    <w:rsid w:val="7F460DAF"/>
    <w:rsid w:val="7F7E69BB"/>
    <w:rsid w:val="7F9D30C5"/>
    <w:rsid w:val="7FA13EF4"/>
    <w:rsid w:val="7FA30C79"/>
    <w:rsid w:val="7FC96657"/>
    <w:rsid w:val="7FFE0205"/>
    <w:rsid w:val="D8D6DB89"/>
    <w:rsid w:val="DB6F4CAB"/>
    <w:rsid w:val="DF6F978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6">
    <w:name w:val="Body Text"/>
    <w:basedOn w:val="1"/>
    <w:link w:val="21"/>
    <w:qFormat/>
    <w:uiPriority w:val="99"/>
    <w:pPr>
      <w:spacing w:beforeLines="30"/>
    </w:pPr>
    <w:rPr>
      <w:rFonts w:ascii="仿宋_GB2312" w:eastAsia="仿宋_GB2312"/>
      <w:kern w:val="0"/>
      <w:sz w:val="30"/>
    </w:r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27"/>
    <w:semiHidden/>
    <w:unhideWhenUsed/>
    <w:qFormat/>
    <w:uiPriority w:val="99"/>
    <w:rPr>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2"/>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6"/>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link w:val="3"/>
    <w:qFormat/>
    <w:uiPriority w:val="9"/>
    <w:rPr>
      <w:rFonts w:ascii="Times New Roman" w:hAnsi="Times New Roman"/>
      <w:b/>
      <w:bCs/>
      <w:kern w:val="44"/>
      <w:sz w:val="44"/>
      <w:szCs w:val="44"/>
    </w:rPr>
  </w:style>
  <w:style w:type="character" w:customStyle="1" w:styleId="25">
    <w:name w:val="标题 2 Char"/>
    <w:basedOn w:val="13"/>
    <w:link w:val="4"/>
    <w:qFormat/>
    <w:uiPriority w:val="9"/>
    <w:rPr>
      <w:rFonts w:asciiTheme="majorHAnsi" w:hAnsiTheme="majorHAnsi" w:eastAsiaTheme="majorEastAsia" w:cstheme="majorBidi"/>
      <w:b/>
      <w:bCs/>
      <w:kern w:val="2"/>
      <w:sz w:val="32"/>
      <w:szCs w:val="32"/>
    </w:rPr>
  </w:style>
  <w:style w:type="paragraph" w:customStyle="1" w:styleId="26">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7">
    <w:name w:val="批注框文本 Char"/>
    <w:basedOn w:val="13"/>
    <w:link w:val="8"/>
    <w:semiHidden/>
    <w:qFormat/>
    <w:uiPriority w:val="99"/>
    <w:rPr>
      <w:rFonts w:ascii="Times New Roman" w:hAnsi="Times New Roman"/>
      <w:kern w:val="2"/>
      <w:sz w:val="18"/>
      <w:szCs w:val="18"/>
    </w:rPr>
  </w:style>
  <w:style w:type="character" w:customStyle="1" w:styleId="28">
    <w:name w:val="标题 3 Char"/>
    <w:basedOn w:val="13"/>
    <w:link w:val="5"/>
    <w:qFormat/>
    <w:uiPriority w:val="9"/>
    <w:rPr>
      <w:rFonts w:ascii="Times New Roman" w:hAnsi="Times New Roman"/>
      <w:b/>
      <w:bCs/>
      <w:kern w:val="2"/>
      <w:sz w:val="32"/>
      <w:szCs w:val="32"/>
    </w:rPr>
  </w:style>
  <w:style w:type="paragraph" w:customStyle="1" w:styleId="29">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0">
    <w:name w:val="font21"/>
    <w:basedOn w:val="13"/>
    <w:qFormat/>
    <w:uiPriority w:val="0"/>
    <w:rPr>
      <w:rFonts w:hint="eastAsia" w:ascii="宋体" w:hAnsi="宋体" w:eastAsia="宋体" w:cs="宋体"/>
      <w:color w:val="000000"/>
      <w:sz w:val="20"/>
      <w:szCs w:val="20"/>
      <w:u w:val="none"/>
    </w:rPr>
  </w:style>
  <w:style w:type="character" w:customStyle="1" w:styleId="31">
    <w:name w:val="font31"/>
    <w:basedOn w:val="13"/>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1.emf"/><Relationship Id="rId8" Type="http://schemas.openxmlformats.org/officeDocument/2006/relationships/chart" Target="charts/chart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4.emf"/><Relationship Id="rId13" Type="http://schemas.openxmlformats.org/officeDocument/2006/relationships/image" Target="media/image3.emf"/><Relationship Id="rId12" Type="http://schemas.openxmlformats.org/officeDocument/2006/relationships/chart" Target="charts/chart3.xml"/><Relationship Id="rId11" Type="http://schemas.openxmlformats.org/officeDocument/2006/relationships/chart" Target="charts/chart2.xml"/><Relationship Id="rId10" Type="http://schemas.openxmlformats.org/officeDocument/2006/relationships/image" Target="media/image2.emf"/><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24037;&#20316;&#31807;1"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24037;&#20316;&#31807;1"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24037;&#20316;&#31807;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9751806226093"/>
          <c:y val="0.156932773109244"/>
          <c:w val="0.80558081852005"/>
          <c:h val="0.481408557364635"/>
        </c:manualLayout>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multiLvlStrRef>
              <c:f>[工作簿1]Sheet1!$A$10:$B$12</c:f>
              <c:multiLvlStrCache>
                <c:ptCount val="2"/>
                <c:lvl>
                  <c:pt idx="0">
                    <c:v>2020年</c:v>
                  </c:pt>
                  <c:pt idx="1">
                    <c:v>2021年</c:v>
                  </c:pt>
                </c:lvl>
                <c:lvl>
                  <c:pt idx="0">
                    <c:v>单位：万元</c:v>
                  </c:pt>
                </c:lvl>
                <c:lvl>
                  <c:pt idx="0">
                    <c:v>收、支决算总计变动情况图</c:v>
                  </c:pt>
                </c:lvl>
              </c:multiLvlStrCache>
            </c:multiLvlStrRef>
          </c:cat>
          <c:val>
            <c:numRef>
              <c:f>[工作簿1]Sheet1!$A$13:$B$13</c:f>
              <c:numCache>
                <c:formatCode>General</c:formatCode>
                <c:ptCount val="2"/>
                <c:pt idx="0">
                  <c:v>13872.59</c:v>
                </c:pt>
                <c:pt idx="1">
                  <c:v>13742.23</c:v>
                </c:pt>
              </c:numCache>
            </c:numRef>
          </c:val>
        </c:ser>
        <c:dLbls>
          <c:showLegendKey val="0"/>
          <c:showVal val="1"/>
          <c:showCatName val="0"/>
          <c:showSerName val="0"/>
          <c:showPercent val="0"/>
          <c:showBubbleSize val="0"/>
        </c:dLbls>
        <c:gapWidth val="75"/>
        <c:overlap val="0"/>
        <c:axId val="618663521"/>
        <c:axId val="465119294"/>
      </c:barChart>
      <c:catAx>
        <c:axId val="618663521"/>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65119294"/>
        <c:crosses val="autoZero"/>
        <c:auto val="1"/>
        <c:lblAlgn val="ctr"/>
        <c:lblOffset val="100"/>
        <c:noMultiLvlLbl val="0"/>
      </c:catAx>
      <c:valAx>
        <c:axId val="465119294"/>
        <c:scaling>
          <c:orientation val="minMax"/>
        </c:scaling>
        <c:delete val="0"/>
        <c:axPos val="l"/>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1866352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6472222222222"/>
          <c:y val="0.0949074074074074"/>
          <c:w val="0.869361111111111"/>
          <c:h val="0.760046296296296"/>
        </c:manualLayout>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multiLvlStrRef>
              <c:f>[工作簿1]Sheet1!$A$16:$B$17</c:f>
              <c:multiLvlStrCache>
                <c:ptCount val="2"/>
                <c:lvl>
                  <c:pt idx="0">
                    <c:v>2020年</c:v>
                  </c:pt>
                  <c:pt idx="1">
                    <c:v>2021年</c:v>
                  </c:pt>
                </c:lvl>
                <c:lvl>
                  <c:pt idx="0">
                    <c:v>财政拨款收、支总计</c:v>
                  </c:pt>
                </c:lvl>
              </c:multiLvlStrCache>
            </c:multiLvlStrRef>
          </c:cat>
          <c:val>
            <c:numRef>
              <c:f>[工作簿1]Sheet1!$A$18:$B$18</c:f>
              <c:numCache>
                <c:formatCode>General</c:formatCode>
                <c:ptCount val="2"/>
                <c:pt idx="0">
                  <c:v>12313.44</c:v>
                </c:pt>
                <c:pt idx="1">
                  <c:v>12646.1</c:v>
                </c:pt>
              </c:numCache>
            </c:numRef>
          </c:val>
        </c:ser>
        <c:dLbls>
          <c:showLegendKey val="0"/>
          <c:showVal val="1"/>
          <c:showCatName val="0"/>
          <c:showSerName val="0"/>
          <c:showPercent val="0"/>
          <c:showBubbleSize val="0"/>
        </c:dLbls>
        <c:gapWidth val="75"/>
        <c:overlap val="0"/>
        <c:axId val="301559509"/>
        <c:axId val="81727661"/>
      </c:barChart>
      <c:catAx>
        <c:axId val="301559509"/>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1727661"/>
        <c:crosses val="autoZero"/>
        <c:auto val="1"/>
        <c:lblAlgn val="ctr"/>
        <c:lblOffset val="100"/>
        <c:noMultiLvlLbl val="0"/>
      </c:catAx>
      <c:valAx>
        <c:axId val="81727661"/>
        <c:scaling>
          <c:orientation val="minMax"/>
        </c:scaling>
        <c:delete val="0"/>
        <c:axPos val="l"/>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0155950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924444444444445"/>
          <c:y val="0.0467592592592593"/>
          <c:w val="0.882"/>
          <c:h val="0.760046296296296"/>
        </c:manualLayout>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multiLvlStrRef>
              <c:f>[工作簿1]Sheet1!$A$21:$B$22</c:f>
              <c:multiLvlStrCache>
                <c:ptCount val="2"/>
                <c:lvl>
                  <c:pt idx="0">
                    <c:v>2020年</c:v>
                  </c:pt>
                  <c:pt idx="1">
                    <c:v>2021年</c:v>
                  </c:pt>
                </c:lvl>
                <c:lvl>
                  <c:pt idx="0">
                    <c:v>一般公共预算财政拨款支出</c:v>
                  </c:pt>
                </c:lvl>
              </c:multiLvlStrCache>
            </c:multiLvlStrRef>
          </c:cat>
          <c:val>
            <c:numRef>
              <c:f>[工作簿1]Sheet1!$A$23:$B$23</c:f>
              <c:numCache>
                <c:formatCode>General</c:formatCode>
                <c:ptCount val="2"/>
                <c:pt idx="0">
                  <c:v>4227.43</c:v>
                </c:pt>
                <c:pt idx="1">
                  <c:v>4506.61</c:v>
                </c:pt>
              </c:numCache>
            </c:numRef>
          </c:val>
        </c:ser>
        <c:dLbls>
          <c:showLegendKey val="0"/>
          <c:showVal val="1"/>
          <c:showCatName val="0"/>
          <c:showSerName val="0"/>
          <c:showPercent val="0"/>
          <c:showBubbleSize val="0"/>
        </c:dLbls>
        <c:gapWidth val="75"/>
        <c:overlap val="0"/>
        <c:axId val="797425743"/>
        <c:axId val="119424507"/>
      </c:barChart>
      <c:catAx>
        <c:axId val="797425743"/>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19424507"/>
        <c:crosses val="autoZero"/>
        <c:auto val="1"/>
        <c:lblAlgn val="ctr"/>
        <c:lblOffset val="100"/>
        <c:noMultiLvlLbl val="0"/>
      </c:catAx>
      <c:valAx>
        <c:axId val="119424507"/>
        <c:scaling>
          <c:orientation val="minMax"/>
        </c:scaling>
        <c:delete val="0"/>
        <c:axPos val="l"/>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9742574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91</Pages>
  <Words>39956</Words>
  <Characters>42931</Characters>
  <Lines>61</Lines>
  <Paragraphs>17</Paragraphs>
  <TotalTime>53</TotalTime>
  <ScaleCrop>false</ScaleCrop>
  <LinksUpToDate>false</LinksUpToDate>
  <CharactersWithSpaces>42947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Administrator</cp:lastModifiedBy>
  <cp:lastPrinted>2022-09-26T07:00:00Z</cp:lastPrinted>
  <dcterms:modified xsi:type="dcterms:W3CDTF">2023-06-14T02:57:04Z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995D372142304E52AC67C5294815C256_13</vt:lpwstr>
  </property>
</Properties>
</file>