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p>
    <w:p>
      <w:pPr>
        <w:jc w:val="center"/>
        <w:rPr>
          <w:b/>
          <w:sz w:val="72"/>
          <w:szCs w:val="72"/>
        </w:rPr>
      </w:pPr>
    </w:p>
    <w:p>
      <w:pPr>
        <w:rPr>
          <w:b/>
          <w:sz w:val="72"/>
          <w:szCs w:val="72"/>
        </w:rPr>
      </w:pPr>
    </w:p>
    <w:p>
      <w:pPr>
        <w:jc w:val="center"/>
        <w:rPr>
          <w:b/>
          <w:sz w:val="96"/>
          <w:szCs w:val="96"/>
        </w:rPr>
      </w:pPr>
      <w:r>
        <w:rPr>
          <w:rFonts w:hint="eastAsia"/>
          <w:b/>
          <w:sz w:val="96"/>
          <w:szCs w:val="96"/>
        </w:rPr>
        <w:t>磋</w:t>
      </w:r>
    </w:p>
    <w:p>
      <w:pPr>
        <w:jc w:val="center"/>
        <w:rPr>
          <w:b/>
          <w:sz w:val="96"/>
          <w:szCs w:val="96"/>
        </w:rPr>
      </w:pPr>
      <w:r>
        <w:rPr>
          <w:rFonts w:hint="eastAsia"/>
          <w:b/>
          <w:sz w:val="96"/>
          <w:szCs w:val="96"/>
        </w:rPr>
        <w:t>商</w:t>
      </w:r>
    </w:p>
    <w:p>
      <w:pPr>
        <w:jc w:val="center"/>
        <w:rPr>
          <w:b/>
          <w:sz w:val="96"/>
          <w:szCs w:val="96"/>
        </w:rPr>
      </w:pPr>
      <w:r>
        <w:rPr>
          <w:rFonts w:hint="eastAsia"/>
          <w:b/>
          <w:sz w:val="96"/>
          <w:szCs w:val="96"/>
        </w:rPr>
        <w:t>文</w:t>
      </w:r>
    </w:p>
    <w:p>
      <w:pPr>
        <w:jc w:val="center"/>
        <w:rPr>
          <w:b/>
          <w:sz w:val="52"/>
          <w:szCs w:val="52"/>
        </w:rPr>
      </w:pPr>
      <w:r>
        <w:rPr>
          <w:rFonts w:hint="eastAsia"/>
          <w:b/>
          <w:sz w:val="96"/>
          <w:szCs w:val="96"/>
        </w:rPr>
        <w:t>件</w:t>
      </w:r>
    </w:p>
    <w:p>
      <w:pPr>
        <w:rPr>
          <w:b/>
          <w:sz w:val="52"/>
          <w:szCs w:val="52"/>
        </w:rPr>
      </w:pPr>
    </w:p>
    <w:p>
      <w:pPr>
        <w:rPr>
          <w:rFonts w:hAnsi="宋体" w:cs="宋体"/>
          <w:b/>
          <w:sz w:val="28"/>
          <w:szCs w:val="28"/>
        </w:rPr>
      </w:pPr>
    </w:p>
    <w:p>
      <w:pPr>
        <w:ind w:left="3357" w:leftChars="574" w:hanging="1405" w:hangingChars="500"/>
        <w:rPr>
          <w:rFonts w:hint="default" w:hAnsi="宋体" w:eastAsia="宋体" w:cs="宋体"/>
          <w:b/>
          <w:sz w:val="28"/>
          <w:szCs w:val="28"/>
          <w:lang w:val="en-US" w:eastAsia="zh-CN"/>
        </w:rPr>
      </w:pPr>
      <w:r>
        <w:rPr>
          <w:rFonts w:hint="eastAsia" w:hAnsi="宋体" w:cs="宋体"/>
          <w:b/>
          <w:sz w:val="28"/>
          <w:szCs w:val="28"/>
        </w:rPr>
        <w:t>项目名称：</w:t>
      </w:r>
      <w:r>
        <w:rPr>
          <w:rFonts w:hint="eastAsia" w:hAnsi="宋体" w:cs="宋体"/>
          <w:b/>
          <w:sz w:val="28"/>
          <w:szCs w:val="28"/>
          <w:u w:val="single"/>
        </w:rPr>
        <w:t>2023年度朝天区土地评估服务</w:t>
      </w:r>
      <w:r>
        <w:rPr>
          <w:rFonts w:hint="eastAsia" w:hAnsi="宋体" w:cs="宋体"/>
          <w:b/>
          <w:sz w:val="28"/>
          <w:szCs w:val="28"/>
          <w:u w:val="single"/>
          <w:lang w:val="en-US" w:eastAsia="zh-CN"/>
        </w:rPr>
        <w:t xml:space="preserve">              </w:t>
      </w:r>
    </w:p>
    <w:p>
      <w:pPr>
        <w:spacing w:line="360" w:lineRule="auto"/>
        <w:rPr>
          <w:b/>
          <w:sz w:val="32"/>
          <w:szCs w:val="32"/>
        </w:rPr>
      </w:pPr>
      <w:r>
        <w:rPr>
          <w:rFonts w:hint="eastAsia" w:hAnsi="宋体" w:cs="宋体"/>
          <w:b/>
          <w:sz w:val="28"/>
          <w:szCs w:val="28"/>
        </w:rPr>
        <w:t xml:space="preserve">              项目编号：</w:t>
      </w:r>
      <w:r>
        <w:rPr>
          <w:rFonts w:hint="eastAsia" w:hAnsi="宋体" w:cs="宋体"/>
          <w:b/>
          <w:sz w:val="28"/>
          <w:szCs w:val="28"/>
          <w:u w:val="single"/>
        </w:rPr>
        <w:t xml:space="preserve"> N51081220230201                       </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 xml:space="preserve">  四川·广元</w:t>
      </w:r>
    </w:p>
    <w:p>
      <w:pPr>
        <w:tabs>
          <w:tab w:val="center" w:pos="4538"/>
          <w:tab w:val="left" w:pos="7892"/>
        </w:tabs>
        <w:spacing w:line="360" w:lineRule="auto"/>
        <w:jc w:val="left"/>
        <w:rPr>
          <w:b/>
          <w:sz w:val="28"/>
          <w:szCs w:val="28"/>
        </w:rPr>
      </w:pPr>
      <w:r>
        <w:rPr>
          <w:rFonts w:hint="eastAsia"/>
          <w:b/>
          <w:sz w:val="28"/>
          <w:szCs w:val="28"/>
        </w:rPr>
        <w:tab/>
      </w:r>
      <w:r>
        <w:rPr>
          <w:rFonts w:hint="eastAsia"/>
          <w:b/>
          <w:sz w:val="28"/>
          <w:szCs w:val="28"/>
        </w:rPr>
        <w:t xml:space="preserve"> 广元市自然资源局朝天区分局编制</w:t>
      </w:r>
    </w:p>
    <w:p>
      <w:pPr>
        <w:spacing w:line="360" w:lineRule="auto"/>
        <w:ind w:firstLine="3842" w:firstLineChars="1196"/>
        <w:rPr>
          <w:sz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720" w:num="1"/>
          <w:titlePg/>
          <w:docGrid w:linePitch="312" w:charSpace="0"/>
        </w:sectPr>
      </w:pPr>
      <w:r>
        <w:rPr>
          <w:rFonts w:hint="eastAsia"/>
          <w:b/>
          <w:bCs/>
          <w:sz w:val="32"/>
          <w:szCs w:val="32"/>
        </w:rPr>
        <w:t>2023</w:t>
      </w:r>
      <w:r>
        <w:rPr>
          <w:b/>
          <w:bCs/>
          <w:sz w:val="32"/>
          <w:szCs w:val="32"/>
          <w:lang w:val="zh-CN"/>
        </w:rPr>
        <w:t>年</w:t>
      </w:r>
      <w:r>
        <w:rPr>
          <w:rFonts w:hint="eastAsia"/>
          <w:b/>
          <w:bCs/>
          <w:sz w:val="32"/>
          <w:szCs w:val="32"/>
          <w:lang w:val="en-US" w:eastAsia="zh-CN"/>
        </w:rPr>
        <w:t>3</w:t>
      </w:r>
      <w:r>
        <w:rPr>
          <w:b/>
          <w:bCs/>
          <w:sz w:val="32"/>
          <w:szCs w:val="32"/>
          <w:lang w:val="zh-CN"/>
        </w:rPr>
        <w:t>月</w:t>
      </w:r>
      <w:bookmarkStart w:id="0" w:name="_Hlt101233737"/>
      <w:bookmarkEnd w:id="0"/>
      <w:bookmarkStart w:id="1" w:name="_Hlt101843627"/>
      <w:bookmarkEnd w:id="1"/>
    </w:p>
    <w:p>
      <w:pPr>
        <w:pStyle w:val="4"/>
        <w:spacing w:line="360" w:lineRule="exact"/>
        <w:rPr>
          <w:rFonts w:ascii="宋体" w:eastAsia="宋体"/>
          <w:bCs w:val="0"/>
          <w:sz w:val="56"/>
          <w:szCs w:val="52"/>
        </w:rPr>
      </w:pPr>
    </w:p>
    <w:p/>
    <w:p>
      <w:pPr>
        <w:spacing w:line="480" w:lineRule="auto"/>
        <w:jc w:val="center"/>
        <w:rPr>
          <w:rFonts w:hAnsi="宋体" w:cs="宋体"/>
          <w:sz w:val="72"/>
          <w:szCs w:val="72"/>
        </w:rPr>
      </w:pPr>
      <w:r>
        <w:rPr>
          <w:rFonts w:hint="eastAsia" w:hAnsi="宋体" w:cs="宋体"/>
          <w:sz w:val="72"/>
          <w:szCs w:val="72"/>
        </w:rPr>
        <w:t>目  录</w:t>
      </w:r>
    </w:p>
    <w:p>
      <w:pPr>
        <w:pStyle w:val="23"/>
        <w:tabs>
          <w:tab w:val="right" w:leader="dot" w:pos="8902"/>
        </w:tabs>
        <w:spacing w:line="480" w:lineRule="auto"/>
      </w:pPr>
      <w:r>
        <w:rPr>
          <w:rFonts w:hint="eastAsia" w:hAnsi="宋体" w:cs="宋体"/>
          <w:bCs/>
          <w:sz w:val="44"/>
          <w:szCs w:val="44"/>
        </w:rPr>
        <w:fldChar w:fldCharType="begin"/>
      </w:r>
      <w:r>
        <w:rPr>
          <w:rFonts w:hint="eastAsia" w:hAnsi="宋体" w:cs="宋体"/>
          <w:bCs/>
          <w:sz w:val="44"/>
          <w:szCs w:val="44"/>
        </w:rPr>
        <w:instrText xml:space="preserve">TOC \o "1-1" \h \u </w:instrText>
      </w:r>
      <w:r>
        <w:rPr>
          <w:rFonts w:hint="eastAsia" w:hAnsi="宋体" w:cs="宋体"/>
          <w:bCs/>
          <w:sz w:val="44"/>
          <w:szCs w:val="44"/>
        </w:rPr>
        <w:fldChar w:fldCharType="separate"/>
      </w:r>
      <w:r>
        <w:fldChar w:fldCharType="begin"/>
      </w:r>
      <w:r>
        <w:instrText xml:space="preserve"> HYPERLINK \l "_Toc24148" </w:instrText>
      </w:r>
      <w:r>
        <w:fldChar w:fldCharType="separate"/>
      </w:r>
      <w:r>
        <w:rPr>
          <w:rFonts w:hint="eastAsia"/>
        </w:rPr>
        <w:t>第一章  磋商邀请</w:t>
      </w:r>
      <w:r>
        <w:tab/>
      </w:r>
      <w:r>
        <w:fldChar w:fldCharType="begin"/>
      </w:r>
      <w:r>
        <w:instrText xml:space="preserve"> PAGEREF _Toc24148 </w:instrText>
      </w:r>
      <w:r>
        <w:fldChar w:fldCharType="separate"/>
      </w:r>
      <w:r>
        <w:t>1</w:t>
      </w:r>
      <w:r>
        <w:fldChar w:fldCharType="end"/>
      </w:r>
      <w:r>
        <w:fldChar w:fldCharType="end"/>
      </w:r>
    </w:p>
    <w:p>
      <w:pPr>
        <w:pStyle w:val="23"/>
        <w:tabs>
          <w:tab w:val="right" w:leader="dot" w:pos="8902"/>
        </w:tabs>
        <w:spacing w:line="480" w:lineRule="auto"/>
      </w:pPr>
      <w:r>
        <w:fldChar w:fldCharType="begin"/>
      </w:r>
      <w:r>
        <w:instrText xml:space="preserve"> HYPERLINK \l "_Toc20809" </w:instrText>
      </w:r>
      <w:r>
        <w:fldChar w:fldCharType="separate"/>
      </w:r>
      <w:r>
        <w:rPr>
          <w:rFonts w:hint="eastAsia"/>
        </w:rPr>
        <w:t>第二章  磋商须知</w:t>
      </w:r>
      <w:r>
        <w:tab/>
      </w:r>
      <w:r>
        <w:fldChar w:fldCharType="begin"/>
      </w:r>
      <w:r>
        <w:instrText xml:space="preserve"> PAGEREF _Toc20809 </w:instrText>
      </w:r>
      <w:r>
        <w:fldChar w:fldCharType="separate"/>
      </w:r>
      <w:r>
        <w:t>3</w:t>
      </w:r>
      <w:r>
        <w:fldChar w:fldCharType="end"/>
      </w:r>
      <w:r>
        <w:fldChar w:fldCharType="end"/>
      </w:r>
    </w:p>
    <w:p>
      <w:pPr>
        <w:pStyle w:val="23"/>
        <w:tabs>
          <w:tab w:val="right" w:leader="dot" w:pos="8902"/>
        </w:tabs>
        <w:spacing w:line="480" w:lineRule="auto"/>
      </w:pPr>
      <w:r>
        <w:fldChar w:fldCharType="begin"/>
      </w:r>
      <w:r>
        <w:instrText xml:space="preserve"> HYPERLINK \l "_Toc30906" </w:instrText>
      </w:r>
      <w:r>
        <w:fldChar w:fldCharType="separate"/>
      </w:r>
      <w:r>
        <w:rPr>
          <w:rFonts w:hint="eastAsia"/>
        </w:rPr>
        <w:t>第三章  供应商资格条件要求</w:t>
      </w:r>
      <w:r>
        <w:tab/>
      </w:r>
      <w:r>
        <w:fldChar w:fldCharType="begin"/>
      </w:r>
      <w:r>
        <w:instrText xml:space="preserve"> PAGEREF _Toc30906 </w:instrText>
      </w:r>
      <w:r>
        <w:fldChar w:fldCharType="separate"/>
      </w:r>
      <w:r>
        <w:t>21</w:t>
      </w:r>
      <w:r>
        <w:fldChar w:fldCharType="end"/>
      </w:r>
      <w:r>
        <w:fldChar w:fldCharType="end"/>
      </w:r>
    </w:p>
    <w:p>
      <w:pPr>
        <w:pStyle w:val="23"/>
        <w:tabs>
          <w:tab w:val="right" w:leader="dot" w:pos="8902"/>
        </w:tabs>
        <w:spacing w:line="480" w:lineRule="auto"/>
      </w:pPr>
      <w:r>
        <w:fldChar w:fldCharType="begin"/>
      </w:r>
      <w:r>
        <w:instrText xml:space="preserve"> HYPERLINK \l "_Toc8742" </w:instrText>
      </w:r>
      <w:r>
        <w:fldChar w:fldCharType="separate"/>
      </w:r>
      <w:r>
        <w:rPr>
          <w:rFonts w:hint="eastAsia"/>
        </w:rPr>
        <w:t>第四章  供应商资格证明材料</w:t>
      </w:r>
      <w:r>
        <w:tab/>
      </w:r>
      <w:r>
        <w:fldChar w:fldCharType="begin"/>
      </w:r>
      <w:r>
        <w:instrText xml:space="preserve"> PAGEREF _Toc8742 </w:instrText>
      </w:r>
      <w:r>
        <w:fldChar w:fldCharType="separate"/>
      </w:r>
      <w:r>
        <w:t>22</w:t>
      </w:r>
      <w:r>
        <w:fldChar w:fldCharType="end"/>
      </w:r>
      <w:r>
        <w:fldChar w:fldCharType="end"/>
      </w:r>
    </w:p>
    <w:p>
      <w:pPr>
        <w:pStyle w:val="23"/>
        <w:tabs>
          <w:tab w:val="right" w:leader="dot" w:pos="8902"/>
        </w:tabs>
        <w:spacing w:line="480" w:lineRule="auto"/>
      </w:pPr>
      <w:r>
        <w:fldChar w:fldCharType="begin"/>
      </w:r>
      <w:r>
        <w:instrText xml:space="preserve"> HYPERLINK \l "_Toc9367" </w:instrText>
      </w:r>
      <w:r>
        <w:fldChar w:fldCharType="separate"/>
      </w:r>
      <w:r>
        <w:rPr>
          <w:rFonts w:hint="eastAsia"/>
        </w:rPr>
        <w:t>第五章 采购项目技术、商务及其他要求</w:t>
      </w:r>
      <w:r>
        <w:tab/>
      </w:r>
      <w:r>
        <w:fldChar w:fldCharType="begin"/>
      </w:r>
      <w:r>
        <w:instrText xml:space="preserve"> PAGEREF _Toc9367 </w:instrText>
      </w:r>
      <w:r>
        <w:fldChar w:fldCharType="separate"/>
      </w:r>
      <w:r>
        <w:t>24</w:t>
      </w:r>
      <w:r>
        <w:fldChar w:fldCharType="end"/>
      </w:r>
      <w:r>
        <w:fldChar w:fldCharType="end"/>
      </w:r>
    </w:p>
    <w:p>
      <w:pPr>
        <w:pStyle w:val="23"/>
        <w:tabs>
          <w:tab w:val="right" w:leader="dot" w:pos="8902"/>
        </w:tabs>
        <w:spacing w:line="480" w:lineRule="auto"/>
      </w:pPr>
      <w:r>
        <w:fldChar w:fldCharType="begin"/>
      </w:r>
      <w:r>
        <w:instrText xml:space="preserve"> HYPERLINK \l "_Toc18265" </w:instrText>
      </w:r>
      <w:r>
        <w:fldChar w:fldCharType="separate"/>
      </w:r>
      <w:r>
        <w:rPr>
          <w:rFonts w:hint="eastAsia"/>
          <w:szCs w:val="40"/>
        </w:rPr>
        <w:t>第六章 磋商内容、磋商过程中可实质性变动的内容</w:t>
      </w:r>
      <w:r>
        <w:tab/>
      </w:r>
      <w:r>
        <w:fldChar w:fldCharType="begin"/>
      </w:r>
      <w:r>
        <w:instrText xml:space="preserve"> PAGEREF _Toc18265 </w:instrText>
      </w:r>
      <w:r>
        <w:fldChar w:fldCharType="separate"/>
      </w:r>
      <w:r>
        <w:t>27</w:t>
      </w:r>
      <w:r>
        <w:fldChar w:fldCharType="end"/>
      </w:r>
      <w:r>
        <w:fldChar w:fldCharType="end"/>
      </w:r>
    </w:p>
    <w:p>
      <w:pPr>
        <w:pStyle w:val="23"/>
        <w:tabs>
          <w:tab w:val="right" w:leader="dot" w:pos="8902"/>
        </w:tabs>
        <w:spacing w:line="480" w:lineRule="auto"/>
      </w:pPr>
      <w:r>
        <w:fldChar w:fldCharType="begin"/>
      </w:r>
      <w:r>
        <w:instrText xml:space="preserve"> HYPERLINK \l "_Toc11845" </w:instrText>
      </w:r>
      <w:r>
        <w:fldChar w:fldCharType="separate"/>
      </w:r>
      <w:r>
        <w:rPr>
          <w:rFonts w:hint="eastAsia"/>
        </w:rPr>
        <w:t>第七章 响应文件格式</w:t>
      </w:r>
      <w:r>
        <w:tab/>
      </w:r>
      <w:r>
        <w:fldChar w:fldCharType="begin"/>
      </w:r>
      <w:r>
        <w:instrText xml:space="preserve"> PAGEREF _Toc11845 </w:instrText>
      </w:r>
      <w:r>
        <w:fldChar w:fldCharType="separate"/>
      </w:r>
      <w:r>
        <w:t>28</w:t>
      </w:r>
      <w:r>
        <w:fldChar w:fldCharType="end"/>
      </w:r>
      <w:r>
        <w:fldChar w:fldCharType="end"/>
      </w:r>
    </w:p>
    <w:p>
      <w:pPr>
        <w:pStyle w:val="23"/>
        <w:tabs>
          <w:tab w:val="right" w:leader="dot" w:pos="8902"/>
        </w:tabs>
        <w:spacing w:line="480" w:lineRule="auto"/>
      </w:pPr>
      <w:r>
        <w:fldChar w:fldCharType="begin"/>
      </w:r>
      <w:r>
        <w:instrText xml:space="preserve"> HYPERLINK \l "_Toc25498" </w:instrText>
      </w:r>
      <w:r>
        <w:fldChar w:fldCharType="separate"/>
      </w:r>
      <w:r>
        <w:rPr>
          <w:rFonts w:hint="eastAsia"/>
        </w:rPr>
        <w:t>第八章  磋商程序及评审</w:t>
      </w:r>
      <w:r>
        <w:tab/>
      </w:r>
      <w:r>
        <w:fldChar w:fldCharType="begin"/>
      </w:r>
      <w:r>
        <w:instrText xml:space="preserve"> PAGEREF _Toc25498 </w:instrText>
      </w:r>
      <w:r>
        <w:fldChar w:fldCharType="separate"/>
      </w:r>
      <w:r>
        <w:t>45</w:t>
      </w:r>
      <w:r>
        <w:fldChar w:fldCharType="end"/>
      </w:r>
      <w:r>
        <w:fldChar w:fldCharType="end"/>
      </w:r>
    </w:p>
    <w:p>
      <w:pPr>
        <w:pStyle w:val="23"/>
        <w:tabs>
          <w:tab w:val="right" w:leader="dot" w:pos="8902"/>
        </w:tabs>
        <w:spacing w:line="480" w:lineRule="auto"/>
      </w:pPr>
      <w:r>
        <w:fldChar w:fldCharType="begin"/>
      </w:r>
      <w:r>
        <w:instrText xml:space="preserve"> HYPERLINK \l "_Toc15936" </w:instrText>
      </w:r>
      <w:r>
        <w:fldChar w:fldCharType="separate"/>
      </w:r>
      <w:r>
        <w:rPr>
          <w:rFonts w:hint="eastAsia"/>
          <w:szCs w:val="36"/>
        </w:rPr>
        <w:t>第九章  合同主要条款（样例）</w:t>
      </w:r>
      <w:r>
        <w:tab/>
      </w:r>
      <w:r>
        <w:fldChar w:fldCharType="begin"/>
      </w:r>
      <w:r>
        <w:instrText xml:space="preserve"> PAGEREF _Toc15936 </w:instrText>
      </w:r>
      <w:r>
        <w:fldChar w:fldCharType="separate"/>
      </w:r>
      <w:r>
        <w:t>56</w:t>
      </w:r>
      <w:r>
        <w:fldChar w:fldCharType="end"/>
      </w:r>
      <w:r>
        <w:fldChar w:fldCharType="end"/>
      </w:r>
    </w:p>
    <w:p>
      <w:pPr>
        <w:spacing w:line="480" w:lineRule="auto"/>
        <w:ind w:firstLine="680" w:firstLineChars="200"/>
        <w:rPr>
          <w:rFonts w:hAnsi="宋体" w:cs="宋体"/>
          <w:bCs/>
          <w:sz w:val="44"/>
          <w:szCs w:val="44"/>
        </w:rPr>
      </w:pPr>
      <w:r>
        <w:rPr>
          <w:rFonts w:hint="eastAsia" w:hAnsi="宋体" w:cs="宋体"/>
          <w:bCs/>
          <w:szCs w:val="44"/>
        </w:rPr>
        <w:fldChar w:fldCharType="end"/>
      </w:r>
    </w:p>
    <w:p>
      <w:pPr>
        <w:ind w:firstLine="480" w:firstLineChars="200"/>
        <w:rPr>
          <w:bCs/>
          <w:sz w:val="24"/>
        </w:rPr>
      </w:pPr>
    </w:p>
    <w:p>
      <w:pPr>
        <w:pStyle w:val="3"/>
        <w:jc w:val="center"/>
        <w:sectPr>
          <w:footerReference r:id="rId10" w:type="first"/>
          <w:footerReference r:id="rId9" w:type="default"/>
          <w:type w:val="continuous"/>
          <w:pgSz w:w="11850" w:h="16783"/>
          <w:pgMar w:top="1440" w:right="1474" w:bottom="1440" w:left="1474" w:header="851" w:footer="992" w:gutter="0"/>
          <w:pgNumType w:start="1"/>
          <w:cols w:space="720" w:num="1"/>
          <w:docGrid w:linePitch="312" w:charSpace="0"/>
        </w:sectPr>
      </w:pPr>
      <w:bookmarkStart w:id="2" w:name="_Toc26805"/>
    </w:p>
    <w:p>
      <w:pPr>
        <w:pStyle w:val="3"/>
        <w:keepNext/>
        <w:keepLines/>
        <w:pageBreakBefore w:val="0"/>
        <w:widowControl w:val="0"/>
        <w:kinsoku/>
        <w:wordWrap/>
        <w:overflowPunct/>
        <w:topLinePunct w:val="0"/>
        <w:autoSpaceDE/>
        <w:autoSpaceDN/>
        <w:bidi w:val="0"/>
        <w:adjustRightInd/>
        <w:snapToGrid/>
        <w:spacing w:before="100" w:after="100" w:line="360" w:lineRule="auto"/>
        <w:jc w:val="center"/>
        <w:textAlignment w:val="auto"/>
      </w:pPr>
      <w:bookmarkStart w:id="3" w:name="_Toc24148"/>
      <w:bookmarkStart w:id="4" w:name="_Toc19999"/>
      <w:r>
        <w:rPr>
          <w:rFonts w:hint="eastAsia"/>
        </w:rPr>
        <w:t>第一章  磋商邀请</w:t>
      </w:r>
      <w:bookmarkEnd w:id="2"/>
      <w:bookmarkEnd w:id="3"/>
      <w:bookmarkEnd w:id="4"/>
    </w:p>
    <w:p>
      <w:pPr>
        <w:tabs>
          <w:tab w:val="left" w:pos="7665"/>
        </w:tabs>
        <w:spacing w:line="400" w:lineRule="exact"/>
        <w:ind w:firstLine="480" w:firstLineChars="200"/>
        <w:rPr>
          <w:rFonts w:hAnsi="宋体" w:cs="宋体"/>
          <w:sz w:val="24"/>
          <w:szCs w:val="24"/>
        </w:rPr>
      </w:pPr>
      <w:r>
        <w:rPr>
          <w:rFonts w:hint="eastAsia" w:hAnsi="宋体" w:cs="宋体"/>
          <w:sz w:val="24"/>
          <w:szCs w:val="24"/>
        </w:rPr>
        <w:t>广元市自然资源局朝天区分局拟对2023年度广元市自然资源局朝天区分局土地评估服务采取竞争性磋商方式实施采购，兹邀请符合相关要求的供应商参加磋商，具体事项如下：</w:t>
      </w:r>
    </w:p>
    <w:p>
      <w:pPr>
        <w:numPr>
          <w:ilvl w:val="0"/>
          <w:numId w:val="5"/>
        </w:numPr>
        <w:rPr>
          <w:rFonts w:hAnsi="宋体" w:cs="宋体"/>
          <w:sz w:val="24"/>
          <w:szCs w:val="24"/>
        </w:rPr>
      </w:pPr>
      <w:r>
        <w:rPr>
          <w:rFonts w:hint="eastAsia" w:hAnsi="宋体" w:cs="宋体"/>
          <w:b/>
          <w:bCs/>
          <w:sz w:val="24"/>
          <w:szCs w:val="24"/>
        </w:rPr>
        <w:t>采购项目基本情况</w:t>
      </w:r>
    </w:p>
    <w:p>
      <w:pPr>
        <w:tabs>
          <w:tab w:val="left" w:pos="7665"/>
        </w:tabs>
        <w:spacing w:line="400" w:lineRule="exact"/>
        <w:ind w:firstLine="480" w:firstLineChars="200"/>
        <w:rPr>
          <w:rFonts w:hAnsi="宋体" w:cs="宋体"/>
          <w:sz w:val="24"/>
          <w:szCs w:val="24"/>
        </w:rPr>
      </w:pPr>
      <w:r>
        <w:rPr>
          <w:rFonts w:hint="eastAsia" w:hAnsi="宋体" w:cs="宋体"/>
          <w:sz w:val="24"/>
          <w:szCs w:val="24"/>
        </w:rPr>
        <w:t>1、项目编号：N51081220230201；</w:t>
      </w:r>
    </w:p>
    <w:p>
      <w:pPr>
        <w:tabs>
          <w:tab w:val="left" w:pos="7665"/>
        </w:tabs>
        <w:spacing w:line="400" w:lineRule="exact"/>
        <w:ind w:firstLine="480" w:firstLineChars="200"/>
        <w:rPr>
          <w:rFonts w:hAnsi="宋体" w:cs="宋体"/>
          <w:sz w:val="24"/>
          <w:szCs w:val="24"/>
        </w:rPr>
      </w:pPr>
      <w:r>
        <w:rPr>
          <w:rFonts w:hint="eastAsia" w:hAnsi="宋体" w:cs="宋体"/>
          <w:sz w:val="24"/>
          <w:szCs w:val="24"/>
        </w:rPr>
        <w:t>2、项目名称：2023年度</w:t>
      </w:r>
      <w:r>
        <w:rPr>
          <w:rFonts w:hint="eastAsia" w:hAnsi="宋体" w:cs="宋体"/>
          <w:sz w:val="24"/>
          <w:szCs w:val="24"/>
          <w:lang w:val="en-US" w:eastAsia="zh-CN"/>
        </w:rPr>
        <w:t>朝天区</w:t>
      </w:r>
      <w:r>
        <w:rPr>
          <w:rFonts w:hint="eastAsia" w:hAnsi="宋体" w:cs="宋体"/>
          <w:sz w:val="24"/>
          <w:szCs w:val="24"/>
        </w:rPr>
        <w:t>土地评估服务；</w:t>
      </w:r>
    </w:p>
    <w:p>
      <w:pPr>
        <w:tabs>
          <w:tab w:val="left" w:pos="7665"/>
        </w:tabs>
        <w:spacing w:line="400" w:lineRule="exact"/>
        <w:ind w:firstLine="480" w:firstLineChars="200"/>
        <w:rPr>
          <w:rFonts w:hint="eastAsia" w:hAnsi="宋体" w:eastAsia="宋体" w:cs="宋体"/>
          <w:sz w:val="24"/>
          <w:szCs w:val="24"/>
          <w:lang w:eastAsia="zh-CN"/>
        </w:rPr>
      </w:pPr>
      <w:r>
        <w:rPr>
          <w:rFonts w:hint="eastAsia" w:hAnsi="宋体" w:cs="宋体"/>
          <w:sz w:val="24"/>
          <w:szCs w:val="24"/>
        </w:rPr>
        <w:t>3、采购人：广元市自然资源局朝天区分局</w:t>
      </w:r>
      <w:r>
        <w:rPr>
          <w:rFonts w:hint="eastAsia" w:hAnsi="宋体" w:cs="宋体"/>
          <w:sz w:val="24"/>
          <w:szCs w:val="24"/>
          <w:lang w:eastAsia="zh-CN"/>
        </w:rPr>
        <w:t>；</w:t>
      </w:r>
    </w:p>
    <w:p>
      <w:pPr>
        <w:tabs>
          <w:tab w:val="left" w:pos="7665"/>
        </w:tabs>
        <w:spacing w:line="400" w:lineRule="exact"/>
        <w:ind w:firstLine="480" w:firstLineChars="200"/>
        <w:rPr>
          <w:rFonts w:hAnsi="宋体" w:cs="宋体"/>
          <w:sz w:val="24"/>
          <w:szCs w:val="24"/>
        </w:rPr>
      </w:pPr>
      <w:r>
        <w:rPr>
          <w:rFonts w:hint="eastAsia" w:hAnsi="宋体" w:cs="宋体"/>
          <w:sz w:val="24"/>
          <w:szCs w:val="24"/>
        </w:rPr>
        <w:t>4、采购用途：土地评估。</w:t>
      </w:r>
    </w:p>
    <w:p>
      <w:pPr>
        <w:numPr>
          <w:ilvl w:val="0"/>
          <w:numId w:val="5"/>
        </w:numPr>
        <w:rPr>
          <w:rFonts w:hAnsi="宋体" w:cs="宋体"/>
          <w:sz w:val="24"/>
          <w:szCs w:val="24"/>
        </w:rPr>
      </w:pPr>
      <w:r>
        <w:rPr>
          <w:rFonts w:hint="eastAsia" w:hAnsi="宋体" w:cs="宋体"/>
          <w:b/>
          <w:bCs/>
          <w:sz w:val="24"/>
          <w:szCs w:val="24"/>
        </w:rPr>
        <w:t>资金情况</w:t>
      </w:r>
    </w:p>
    <w:p>
      <w:pPr>
        <w:tabs>
          <w:tab w:val="left" w:pos="7665"/>
        </w:tabs>
        <w:spacing w:line="400" w:lineRule="exact"/>
        <w:ind w:firstLine="480" w:firstLineChars="200"/>
        <w:rPr>
          <w:rFonts w:hAnsi="宋体" w:cs="宋体"/>
          <w:sz w:val="24"/>
          <w:szCs w:val="24"/>
        </w:rPr>
      </w:pPr>
      <w:r>
        <w:rPr>
          <w:rFonts w:hint="eastAsia" w:hAnsi="宋体" w:cs="宋体"/>
          <w:sz w:val="24"/>
          <w:szCs w:val="24"/>
        </w:rPr>
        <w:t>资金来源：财政性资金。</w:t>
      </w:r>
    </w:p>
    <w:p>
      <w:pPr>
        <w:spacing w:line="360" w:lineRule="auto"/>
        <w:rPr>
          <w:rFonts w:hAnsi="宋体" w:cs="宋体"/>
          <w:sz w:val="24"/>
          <w:szCs w:val="24"/>
        </w:rPr>
      </w:pPr>
      <w:r>
        <w:rPr>
          <w:rFonts w:hint="eastAsia" w:hAnsi="宋体" w:cs="宋体"/>
          <w:b/>
          <w:bCs/>
          <w:sz w:val="24"/>
          <w:szCs w:val="24"/>
        </w:rPr>
        <w:t>三、</w:t>
      </w:r>
      <w:r>
        <w:rPr>
          <w:rFonts w:hint="eastAsia" w:hAnsi="宋体" w:cs="宋体"/>
          <w:b/>
          <w:sz w:val="24"/>
          <w:szCs w:val="24"/>
        </w:rPr>
        <w:t>采购项目简介</w:t>
      </w:r>
    </w:p>
    <w:p>
      <w:pPr>
        <w:spacing w:afterLines="50" w:line="420" w:lineRule="exact"/>
        <w:rPr>
          <w:rFonts w:hAnsi="宋体" w:cs="宋体"/>
          <w:sz w:val="24"/>
          <w:szCs w:val="24"/>
        </w:rPr>
      </w:pPr>
      <w:r>
        <w:rPr>
          <w:rFonts w:hint="eastAsia" w:hAnsi="宋体" w:cs="宋体"/>
          <w:spacing w:val="-4"/>
          <w:sz w:val="24"/>
          <w:szCs w:val="24"/>
        </w:rPr>
        <w:t xml:space="preserve"> </w:t>
      </w: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2023年朝天区土地评估服务。</w:t>
      </w:r>
    </w:p>
    <w:p>
      <w:pPr>
        <w:pStyle w:val="2"/>
        <w:rPr>
          <w:rFonts w:ascii="宋体" w:hAnsi="宋体" w:eastAsia="宋体" w:cs="宋体"/>
          <w:b/>
          <w:bCs w:val="0"/>
          <w:sz w:val="24"/>
          <w:szCs w:val="24"/>
        </w:rPr>
      </w:pPr>
      <w:r>
        <w:rPr>
          <w:rFonts w:hint="eastAsia" w:ascii="宋体" w:hAnsi="宋体" w:eastAsia="宋体" w:cs="宋体"/>
          <w:b/>
          <w:bCs w:val="0"/>
          <w:sz w:val="24"/>
          <w:szCs w:val="24"/>
        </w:rPr>
        <w:t>四、供应商邀请方式</w:t>
      </w:r>
    </w:p>
    <w:p>
      <w:pPr>
        <w:tabs>
          <w:tab w:val="left" w:pos="7665"/>
        </w:tabs>
        <w:spacing w:line="400" w:lineRule="exact"/>
        <w:ind w:firstLine="480" w:firstLineChars="200"/>
        <w:rPr>
          <w:rFonts w:hint="eastAsia" w:hAnsi="宋体" w:cs="宋体"/>
          <w:sz w:val="24"/>
          <w:szCs w:val="24"/>
        </w:rPr>
      </w:pPr>
      <w:r>
        <w:rPr>
          <w:rFonts w:hint="eastAsia" w:hAnsi="宋体" w:cs="宋体"/>
          <w:sz w:val="24"/>
          <w:szCs w:val="24"/>
        </w:rPr>
        <w:t>公告方式：本次竞争性磋商邀请在“广元市自然资源局”官方网站上以公告形式发布。</w:t>
      </w:r>
    </w:p>
    <w:p>
      <w:pPr>
        <w:spacing w:afterLines="50" w:line="420" w:lineRule="exact"/>
        <w:rPr>
          <w:rFonts w:hAnsi="宋体" w:cs="宋体"/>
          <w:b/>
          <w:bCs/>
          <w:sz w:val="24"/>
          <w:szCs w:val="24"/>
        </w:rPr>
      </w:pPr>
      <w:r>
        <w:rPr>
          <w:rFonts w:hint="eastAsia" w:hAnsi="宋体" w:cs="宋体"/>
          <w:b/>
          <w:bCs/>
          <w:sz w:val="24"/>
          <w:szCs w:val="24"/>
        </w:rPr>
        <w:t>五、供应商参加本次采购活动，应当在提交响应文件前具备下列条件：</w:t>
      </w:r>
    </w:p>
    <w:p>
      <w:pPr>
        <w:tabs>
          <w:tab w:val="left" w:pos="7665"/>
        </w:tabs>
        <w:spacing w:line="400" w:lineRule="exact"/>
        <w:ind w:firstLine="480" w:firstLineChars="200"/>
        <w:rPr>
          <w:rFonts w:hAnsi="宋体" w:cs="宋体"/>
          <w:sz w:val="24"/>
          <w:szCs w:val="24"/>
        </w:rPr>
      </w:pPr>
      <w:r>
        <w:rPr>
          <w:rFonts w:hint="eastAsia" w:hAnsi="宋体" w:cs="宋体"/>
          <w:sz w:val="24"/>
          <w:szCs w:val="24"/>
        </w:rPr>
        <w:t>1、具有独立承担民事责任的能力；</w:t>
      </w:r>
    </w:p>
    <w:p>
      <w:pPr>
        <w:tabs>
          <w:tab w:val="left" w:pos="7665"/>
        </w:tabs>
        <w:spacing w:line="400" w:lineRule="exact"/>
        <w:ind w:firstLine="480" w:firstLineChars="200"/>
        <w:rPr>
          <w:rFonts w:hAnsi="宋体" w:cs="宋体"/>
          <w:sz w:val="24"/>
          <w:szCs w:val="24"/>
        </w:rPr>
      </w:pPr>
      <w:r>
        <w:rPr>
          <w:rFonts w:hint="eastAsia" w:hAnsi="宋体" w:cs="宋体"/>
          <w:sz w:val="24"/>
          <w:szCs w:val="24"/>
        </w:rPr>
        <w:t>2、具有良好的商业信誉和健全的财务会计制度；</w:t>
      </w:r>
    </w:p>
    <w:p>
      <w:pPr>
        <w:tabs>
          <w:tab w:val="left" w:pos="7665"/>
        </w:tabs>
        <w:spacing w:line="400" w:lineRule="exact"/>
        <w:ind w:firstLine="480" w:firstLineChars="200"/>
        <w:rPr>
          <w:rFonts w:hAnsi="宋体" w:cs="宋体"/>
          <w:sz w:val="24"/>
          <w:szCs w:val="24"/>
        </w:rPr>
      </w:pPr>
      <w:r>
        <w:rPr>
          <w:rFonts w:hint="eastAsia" w:hAnsi="宋体" w:cs="宋体"/>
          <w:sz w:val="24"/>
          <w:szCs w:val="24"/>
        </w:rPr>
        <w:t>3、具有履行合同所必须的设备和专业技术能力；</w:t>
      </w:r>
    </w:p>
    <w:p>
      <w:pPr>
        <w:tabs>
          <w:tab w:val="left" w:pos="7665"/>
        </w:tabs>
        <w:spacing w:line="400" w:lineRule="exact"/>
        <w:ind w:firstLine="480" w:firstLineChars="200"/>
        <w:rPr>
          <w:rFonts w:hAnsi="宋体" w:cs="宋体"/>
          <w:sz w:val="24"/>
          <w:szCs w:val="24"/>
        </w:rPr>
      </w:pPr>
      <w:r>
        <w:rPr>
          <w:rFonts w:hint="eastAsia" w:hAnsi="宋体" w:cs="宋体"/>
          <w:sz w:val="24"/>
          <w:szCs w:val="24"/>
        </w:rPr>
        <w:t>4、具有依法缴纳税收和社会保障资金的良好记录；</w:t>
      </w:r>
    </w:p>
    <w:p>
      <w:pPr>
        <w:tabs>
          <w:tab w:val="left" w:pos="7665"/>
        </w:tabs>
        <w:spacing w:line="400" w:lineRule="exact"/>
        <w:ind w:firstLine="480" w:firstLineChars="200"/>
        <w:rPr>
          <w:rFonts w:hAnsi="宋体" w:cs="宋体"/>
          <w:sz w:val="24"/>
          <w:szCs w:val="24"/>
        </w:rPr>
      </w:pPr>
      <w:r>
        <w:rPr>
          <w:rFonts w:hint="eastAsia" w:hAnsi="宋体" w:cs="宋体"/>
          <w:sz w:val="24"/>
          <w:szCs w:val="24"/>
        </w:rPr>
        <w:t>5、参加本次采购活动前三年内，在经营活动中没有重大违法记录；</w:t>
      </w:r>
    </w:p>
    <w:p>
      <w:pPr>
        <w:tabs>
          <w:tab w:val="left" w:pos="7665"/>
        </w:tabs>
        <w:spacing w:line="400" w:lineRule="exact"/>
        <w:ind w:firstLine="480" w:firstLineChars="200"/>
        <w:rPr>
          <w:rFonts w:hAnsi="宋体" w:cs="宋体"/>
          <w:sz w:val="24"/>
          <w:szCs w:val="24"/>
        </w:rPr>
      </w:pPr>
      <w:r>
        <w:rPr>
          <w:rFonts w:hint="eastAsia" w:hAnsi="宋体" w:cs="宋体"/>
          <w:sz w:val="24"/>
          <w:szCs w:val="24"/>
        </w:rPr>
        <w:t>6、参加本次采购活动前三年内，供应商单位及法定代表人无行贿犯罪纪录；</w:t>
      </w:r>
    </w:p>
    <w:p>
      <w:pPr>
        <w:tabs>
          <w:tab w:val="left" w:pos="7665"/>
        </w:tabs>
        <w:spacing w:line="400" w:lineRule="exact"/>
        <w:ind w:firstLine="480" w:firstLineChars="200"/>
        <w:rPr>
          <w:rFonts w:hAnsi="宋体" w:cs="宋体"/>
          <w:sz w:val="24"/>
          <w:szCs w:val="24"/>
        </w:rPr>
      </w:pPr>
      <w:r>
        <w:rPr>
          <w:rFonts w:hint="eastAsia" w:hAnsi="宋体" w:cs="宋体"/>
          <w:sz w:val="24"/>
          <w:szCs w:val="24"/>
        </w:rPr>
        <w:t>7、法律、行政法规规定的其他条件；</w:t>
      </w:r>
    </w:p>
    <w:p>
      <w:pPr>
        <w:tabs>
          <w:tab w:val="left" w:pos="7665"/>
        </w:tabs>
        <w:spacing w:line="400" w:lineRule="exact"/>
        <w:ind w:firstLine="480" w:firstLineChars="200"/>
        <w:rPr>
          <w:rFonts w:hAnsi="宋体" w:cs="宋体"/>
          <w:sz w:val="24"/>
          <w:szCs w:val="24"/>
        </w:rPr>
      </w:pPr>
      <w:r>
        <w:rPr>
          <w:rFonts w:hint="eastAsia" w:hAnsi="宋体" w:cs="宋体"/>
          <w:sz w:val="24"/>
          <w:szCs w:val="24"/>
        </w:rPr>
        <w:t>8、供应商须具有土地评估资质且在四川省自然资源厅完成备案</w:t>
      </w:r>
    </w:p>
    <w:p>
      <w:pPr>
        <w:tabs>
          <w:tab w:val="left" w:pos="7665"/>
        </w:tabs>
        <w:spacing w:line="400" w:lineRule="exact"/>
        <w:ind w:firstLine="480" w:firstLineChars="200"/>
        <w:rPr>
          <w:rFonts w:hAnsi="宋体" w:cs="宋体"/>
          <w:sz w:val="24"/>
          <w:szCs w:val="24"/>
        </w:rPr>
      </w:pPr>
      <w:r>
        <w:rPr>
          <w:rFonts w:hint="eastAsia" w:hAnsi="宋体" w:cs="宋体"/>
          <w:sz w:val="24"/>
          <w:szCs w:val="24"/>
        </w:rPr>
        <w:t>9、本项目不允许联合体参与。</w:t>
      </w:r>
      <w:r>
        <w:rPr>
          <w:rFonts w:hint="eastAsia" w:hAnsi="宋体" w:cs="宋体"/>
          <w:sz w:val="24"/>
          <w:szCs w:val="24"/>
        </w:rPr>
        <w:tab/>
      </w:r>
    </w:p>
    <w:p>
      <w:pPr>
        <w:spacing w:line="440" w:lineRule="exact"/>
        <w:rPr>
          <w:rFonts w:hAnsi="宋体" w:cs="宋体"/>
          <w:b/>
          <w:bCs/>
          <w:sz w:val="24"/>
          <w:szCs w:val="24"/>
        </w:rPr>
      </w:pPr>
      <w:r>
        <w:rPr>
          <w:rFonts w:hint="eastAsia" w:hAnsi="宋体" w:cs="宋体"/>
          <w:b/>
          <w:bCs/>
          <w:sz w:val="24"/>
          <w:szCs w:val="24"/>
        </w:rPr>
        <w:t>六、禁止参加本次采购活动的供应商</w:t>
      </w:r>
    </w:p>
    <w:p>
      <w:pPr>
        <w:tabs>
          <w:tab w:val="left" w:pos="7665"/>
        </w:tabs>
        <w:spacing w:line="400" w:lineRule="exact"/>
        <w:ind w:firstLine="480" w:firstLineChars="200"/>
        <w:rPr>
          <w:rFonts w:hAnsi="宋体" w:cs="宋体"/>
          <w:sz w:val="24"/>
          <w:szCs w:val="24"/>
        </w:rPr>
      </w:pPr>
      <w:r>
        <w:rPr>
          <w:rFonts w:hint="eastAsia" w:hAnsi="宋体" w:cs="宋体"/>
          <w:sz w:val="24"/>
          <w:szCs w:val="24"/>
        </w:rPr>
        <w:t>采购人将通过“信用中国”网站（www.creditchina.gov.cn）、“采购与招标网”网站（www.ccgp.gov.cn）等渠道检查供应商在磋商邀请发出之日前的信用记录，拒绝列入失信被执行人名单、重大税收违法案件当事人名单、政府采购严重违法失信行为记录名单中的供应商报名参加本项目的采购活动。</w:t>
      </w:r>
    </w:p>
    <w:p>
      <w:pPr>
        <w:spacing w:after="50" w:line="420" w:lineRule="exact"/>
        <w:rPr>
          <w:rFonts w:hAnsi="宋体" w:cs="宋体"/>
          <w:b/>
          <w:bCs/>
          <w:sz w:val="24"/>
          <w:szCs w:val="24"/>
        </w:rPr>
      </w:pPr>
      <w:r>
        <w:rPr>
          <w:rFonts w:hint="eastAsia" w:hAnsi="宋体" w:cs="宋体"/>
          <w:b/>
          <w:sz w:val="24"/>
          <w:szCs w:val="24"/>
        </w:rPr>
        <w:t>七、磋商文件获取</w:t>
      </w:r>
      <w:r>
        <w:rPr>
          <w:rFonts w:hint="eastAsia" w:hAnsi="宋体" w:cs="宋体"/>
          <w:b/>
          <w:sz w:val="24"/>
          <w:szCs w:val="24"/>
          <w:lang w:val="en-US" w:eastAsia="zh-CN"/>
        </w:rPr>
        <w:t>及报名</w:t>
      </w:r>
      <w:r>
        <w:rPr>
          <w:rFonts w:hint="eastAsia" w:hAnsi="宋体" w:cs="宋体"/>
          <w:b/>
          <w:sz w:val="24"/>
          <w:szCs w:val="24"/>
        </w:rPr>
        <w:t>时间、地点、方式：</w:t>
      </w:r>
    </w:p>
    <w:p>
      <w:pPr>
        <w:spacing w:after="50" w:line="420" w:lineRule="exact"/>
        <w:ind w:firstLine="480" w:firstLineChars="200"/>
        <w:rPr>
          <w:rFonts w:hint="eastAsia" w:hAnsi="宋体" w:cs="宋体"/>
          <w:sz w:val="24"/>
          <w:szCs w:val="24"/>
          <w:lang w:val="en-US" w:eastAsia="zh-CN"/>
        </w:rPr>
      </w:pPr>
      <w:r>
        <w:rPr>
          <w:rFonts w:hint="eastAsia" w:hAnsi="宋体" w:cs="宋体"/>
          <w:sz w:val="24"/>
          <w:szCs w:val="24"/>
        </w:rPr>
        <w:t>1.获取磋商文件的时间：</w:t>
      </w:r>
      <w:r>
        <w:rPr>
          <w:rFonts w:hint="eastAsia" w:hAnsi="宋体" w:cs="宋体"/>
          <w:sz w:val="24"/>
          <w:szCs w:val="24"/>
          <w:lang w:val="en-US" w:eastAsia="zh-CN"/>
        </w:rPr>
        <w:t>网上自行下载。</w:t>
      </w:r>
    </w:p>
    <w:p>
      <w:pPr>
        <w:pStyle w:val="2"/>
        <w:ind w:firstLine="480" w:firstLineChars="200"/>
      </w:pPr>
      <w:r>
        <w:rPr>
          <w:rFonts w:hint="eastAsia" w:ascii="宋体" w:hAnsi="宋体" w:eastAsia="宋体" w:cs="宋体"/>
          <w:bCs w:val="0"/>
          <w:sz w:val="24"/>
          <w:szCs w:val="24"/>
          <w:lang w:val="en-US" w:eastAsia="zh-CN" w:bidi="ar-SA"/>
        </w:rPr>
        <w:t>2.报名方式及地点：本次报名只接受现场报名。现场报名地址：广元市自然资源局朝天区分局开发利用工作组，联系电话：13881298829。报名时间：2023年3月9日至2023年3月15日（上午：8:30—12:00，下午：14:30—18:00）。</w:t>
      </w:r>
    </w:p>
    <w:p>
      <w:pPr>
        <w:spacing w:afterLines="50" w:line="420" w:lineRule="exact"/>
        <w:rPr>
          <w:rFonts w:hAnsi="宋体" w:cs="宋体"/>
          <w:b/>
          <w:sz w:val="24"/>
          <w:szCs w:val="24"/>
        </w:rPr>
      </w:pPr>
      <w:r>
        <w:rPr>
          <w:rFonts w:hint="eastAsia" w:hAnsi="宋体" w:cs="宋体"/>
          <w:b/>
          <w:sz w:val="24"/>
          <w:szCs w:val="24"/>
        </w:rPr>
        <w:t>八、响应文件递交截止时间及磋商时间</w:t>
      </w:r>
      <w:r>
        <w:rPr>
          <w:rFonts w:hint="eastAsia" w:hAnsi="宋体" w:cs="宋体"/>
          <w:bCs/>
          <w:sz w:val="24"/>
          <w:szCs w:val="24"/>
        </w:rPr>
        <w:t>：</w:t>
      </w:r>
      <w:r>
        <w:rPr>
          <w:rFonts w:hint="eastAsia" w:hAnsi="宋体" w:cs="宋体"/>
          <w:bCs/>
          <w:sz w:val="24"/>
          <w:szCs w:val="24"/>
          <w:u w:val="single"/>
        </w:rPr>
        <w:t>2023</w:t>
      </w:r>
      <w:r>
        <w:rPr>
          <w:rFonts w:hint="eastAsia" w:hAnsi="宋体" w:cs="宋体"/>
          <w:bCs/>
          <w:sz w:val="24"/>
          <w:szCs w:val="24"/>
        </w:rPr>
        <w:t>年</w:t>
      </w:r>
      <w:r>
        <w:rPr>
          <w:rFonts w:hint="eastAsia" w:hAnsi="宋体" w:cs="宋体"/>
          <w:bCs/>
          <w:sz w:val="24"/>
          <w:szCs w:val="24"/>
          <w:u w:val="single"/>
        </w:rPr>
        <w:t xml:space="preserve"> 3月</w:t>
      </w:r>
      <w:r>
        <w:rPr>
          <w:rFonts w:hint="eastAsia" w:hAnsi="宋体" w:cs="宋体"/>
          <w:bCs/>
          <w:sz w:val="24"/>
          <w:szCs w:val="24"/>
          <w:u w:val="single"/>
          <w:lang w:val="en-US" w:eastAsia="zh-CN"/>
        </w:rPr>
        <w:t>20</w:t>
      </w:r>
      <w:r>
        <w:rPr>
          <w:rFonts w:hint="eastAsia" w:hAnsi="宋体" w:cs="宋体"/>
          <w:bCs/>
          <w:sz w:val="24"/>
          <w:szCs w:val="24"/>
        </w:rPr>
        <w:t>日</w:t>
      </w:r>
      <w:r>
        <w:rPr>
          <w:rFonts w:hint="eastAsia" w:hAnsi="宋体" w:cs="宋体"/>
          <w:bCs/>
          <w:sz w:val="24"/>
          <w:szCs w:val="24"/>
          <w:u w:val="single"/>
        </w:rPr>
        <w:t>10:30</w:t>
      </w:r>
      <w:r>
        <w:rPr>
          <w:rFonts w:hint="eastAsia" w:hAnsi="宋体" w:cs="宋体"/>
          <w:bCs/>
          <w:sz w:val="24"/>
          <w:szCs w:val="24"/>
        </w:rPr>
        <w:t>（北京时间）。</w:t>
      </w:r>
    </w:p>
    <w:p>
      <w:pPr>
        <w:tabs>
          <w:tab w:val="left" w:pos="7665"/>
        </w:tabs>
        <w:spacing w:line="400" w:lineRule="exact"/>
        <w:ind w:firstLine="480" w:firstLineChars="200"/>
        <w:rPr>
          <w:rFonts w:hAnsi="宋体" w:cs="宋体"/>
          <w:sz w:val="24"/>
          <w:szCs w:val="24"/>
        </w:rPr>
      </w:pPr>
      <w:r>
        <w:rPr>
          <w:rFonts w:hint="eastAsia" w:hAnsi="宋体" w:cs="宋体"/>
          <w:sz w:val="24"/>
          <w:szCs w:val="24"/>
        </w:rPr>
        <w:t>响应文件必须在响应文件递交截止时间前送达磋商地点。逾期送达、密封和标注错误的响应文件，采购单位恕不接收。本次磋商不接受邮寄的响应文件。</w:t>
      </w:r>
    </w:p>
    <w:p>
      <w:pPr>
        <w:pStyle w:val="16"/>
        <w:spacing w:afterLines="50" w:line="420" w:lineRule="exact"/>
        <w:ind w:firstLine="0"/>
        <w:rPr>
          <w:rFonts w:hAnsi="宋体" w:cs="宋体"/>
          <w:sz w:val="24"/>
          <w:szCs w:val="24"/>
        </w:rPr>
      </w:pPr>
      <w:r>
        <w:rPr>
          <w:rFonts w:hint="eastAsia" w:hAnsi="宋体" w:cs="宋体"/>
          <w:b/>
          <w:sz w:val="24"/>
          <w:szCs w:val="24"/>
        </w:rPr>
        <w:t>九、响应文件递交地点及</w:t>
      </w:r>
      <w:r>
        <w:rPr>
          <w:rFonts w:hint="eastAsia" w:hAnsi="宋体" w:cs="宋体"/>
          <w:b/>
          <w:bCs/>
          <w:sz w:val="24"/>
          <w:szCs w:val="24"/>
        </w:rPr>
        <w:t>磋商地点</w:t>
      </w:r>
      <w:r>
        <w:rPr>
          <w:rFonts w:hint="eastAsia" w:hAnsi="宋体" w:cs="宋体"/>
          <w:sz w:val="24"/>
          <w:szCs w:val="24"/>
        </w:rPr>
        <w:t>：广元市朝天区朝天镇潜溪路31号广元市自然资源局朝天区分局会议室。</w:t>
      </w:r>
    </w:p>
    <w:p>
      <w:pPr>
        <w:pStyle w:val="72"/>
        <w:spacing w:line="420" w:lineRule="exact"/>
        <w:ind w:firstLine="0" w:firstLineChars="0"/>
        <w:rPr>
          <w:rFonts w:hAnsi="宋体" w:cs="宋体"/>
          <w:b/>
          <w:sz w:val="24"/>
          <w:szCs w:val="24"/>
        </w:rPr>
      </w:pPr>
      <w:r>
        <w:rPr>
          <w:rFonts w:hint="eastAsia" w:hAnsi="宋体" w:cs="宋体"/>
          <w:b/>
          <w:sz w:val="24"/>
          <w:szCs w:val="24"/>
        </w:rPr>
        <w:t>十、联系方式</w:t>
      </w:r>
    </w:p>
    <w:p>
      <w:pPr>
        <w:tabs>
          <w:tab w:val="left" w:pos="7665"/>
        </w:tabs>
        <w:spacing w:line="400" w:lineRule="exact"/>
        <w:ind w:firstLine="480" w:firstLineChars="200"/>
        <w:rPr>
          <w:rFonts w:hAnsi="宋体" w:cs="宋体"/>
          <w:sz w:val="24"/>
          <w:szCs w:val="24"/>
        </w:rPr>
      </w:pPr>
      <w:r>
        <w:rPr>
          <w:rFonts w:hint="eastAsia" w:hAnsi="宋体" w:cs="宋体"/>
          <w:sz w:val="24"/>
          <w:szCs w:val="24"/>
        </w:rPr>
        <w:t xml:space="preserve">采购人：广元市自然资源局朝天区分局 </w:t>
      </w:r>
    </w:p>
    <w:p>
      <w:pPr>
        <w:tabs>
          <w:tab w:val="left" w:pos="7665"/>
        </w:tabs>
        <w:spacing w:line="400" w:lineRule="exact"/>
        <w:ind w:firstLine="480" w:firstLineChars="200"/>
        <w:rPr>
          <w:rFonts w:hAnsi="宋体" w:cs="宋体"/>
          <w:sz w:val="24"/>
          <w:szCs w:val="24"/>
        </w:rPr>
      </w:pPr>
      <w:r>
        <w:rPr>
          <w:rFonts w:hint="eastAsia" w:hAnsi="宋体" w:cs="宋体"/>
          <w:sz w:val="24"/>
          <w:szCs w:val="24"/>
        </w:rPr>
        <w:t>地  址：广元市朝天区朝天镇潜溪路31号</w:t>
      </w:r>
    </w:p>
    <w:p>
      <w:pPr>
        <w:tabs>
          <w:tab w:val="left" w:pos="7665"/>
        </w:tabs>
        <w:spacing w:line="400" w:lineRule="exact"/>
        <w:ind w:firstLine="480" w:firstLineChars="200"/>
        <w:rPr>
          <w:rFonts w:hAnsi="宋体" w:cs="宋体"/>
          <w:sz w:val="24"/>
          <w:szCs w:val="24"/>
        </w:rPr>
      </w:pPr>
      <w:r>
        <w:rPr>
          <w:rFonts w:hint="eastAsia" w:hAnsi="宋体" w:cs="宋体"/>
          <w:sz w:val="24"/>
          <w:szCs w:val="24"/>
        </w:rPr>
        <w:t>联 系 人：王宏东</w:t>
      </w:r>
    </w:p>
    <w:p>
      <w:pPr>
        <w:tabs>
          <w:tab w:val="left" w:pos="7665"/>
        </w:tabs>
        <w:spacing w:line="400" w:lineRule="exact"/>
        <w:ind w:firstLine="480" w:firstLineChars="200"/>
        <w:rPr>
          <w:rFonts w:hint="eastAsia" w:hAnsi="宋体" w:cs="宋体"/>
          <w:sz w:val="24"/>
          <w:szCs w:val="24"/>
          <w:lang w:val="en-US" w:eastAsia="zh-CN"/>
        </w:rPr>
      </w:pPr>
      <w:r>
        <w:rPr>
          <w:rFonts w:hint="eastAsia" w:hAnsi="宋体" w:cs="宋体"/>
          <w:sz w:val="24"/>
          <w:szCs w:val="24"/>
        </w:rPr>
        <w:t>联系电话：</w:t>
      </w:r>
      <w:r>
        <w:rPr>
          <w:rFonts w:hint="eastAsia" w:hAnsi="宋体" w:cs="宋体"/>
          <w:sz w:val="24"/>
          <w:szCs w:val="24"/>
          <w:lang w:val="en-US" w:eastAsia="zh-CN"/>
        </w:rPr>
        <w:t>13881298829</w:t>
      </w:r>
    </w:p>
    <w:p>
      <w:pPr>
        <w:pStyle w:val="72"/>
        <w:ind w:firstLine="894" w:firstLineChars="371"/>
        <w:rPr>
          <w:b/>
          <w:sz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26"/>
        <w:spacing w:after="50" w:afterAutospacing="0" w:line="420" w:lineRule="exact"/>
        <w:jc w:val="center"/>
        <w:rPr>
          <w:sz w:val="24"/>
          <w:szCs w:val="24"/>
        </w:rPr>
      </w:pPr>
    </w:p>
    <w:p>
      <w:pPr>
        <w:pStyle w:val="3"/>
        <w:keepNext/>
        <w:keepLines/>
        <w:pageBreakBefore w:val="0"/>
        <w:widowControl w:val="0"/>
        <w:kinsoku/>
        <w:wordWrap/>
        <w:overflowPunct/>
        <w:topLinePunct w:val="0"/>
        <w:autoSpaceDE/>
        <w:autoSpaceDN/>
        <w:bidi w:val="0"/>
        <w:adjustRightInd/>
        <w:snapToGrid/>
        <w:spacing w:before="100" w:after="100" w:line="360" w:lineRule="auto"/>
        <w:jc w:val="center"/>
        <w:textAlignment w:val="auto"/>
      </w:pPr>
      <w:bookmarkStart w:id="5" w:name="_Toc28229"/>
      <w:bookmarkStart w:id="6" w:name="_Toc20809"/>
      <w:bookmarkStart w:id="7" w:name="_Toc3155"/>
      <w:bookmarkStart w:id="8" w:name="_Toc213397009"/>
      <w:bookmarkStart w:id="9" w:name="_Toc217446031"/>
      <w:bookmarkStart w:id="10" w:name="_Toc213396759"/>
      <w:bookmarkStart w:id="11" w:name="_Toc213496267"/>
      <w:bookmarkStart w:id="12" w:name="_Toc213396945"/>
      <w:r>
        <w:rPr>
          <w:rFonts w:hint="eastAsia"/>
        </w:rPr>
        <w:t>第二章  磋商须知</w:t>
      </w:r>
      <w:bookmarkEnd w:id="5"/>
      <w:bookmarkEnd w:id="6"/>
      <w:bookmarkEnd w:id="7"/>
    </w:p>
    <w:p>
      <w:pPr>
        <w:pStyle w:val="4"/>
        <w:spacing w:line="240" w:lineRule="atLeast"/>
        <w:jc w:val="center"/>
        <w:rPr>
          <w:rFonts w:ascii="宋体" w:hAnsi="宋体" w:eastAsia="宋体" w:cs="宋体"/>
        </w:rPr>
      </w:pPr>
      <w:r>
        <w:rPr>
          <w:rFonts w:hint="eastAsia" w:ascii="宋体" w:hAnsi="宋体" w:eastAsia="宋体" w:cs="宋体"/>
        </w:rPr>
        <w:t>一、供应商须知附表</w:t>
      </w:r>
    </w:p>
    <w:tbl>
      <w:tblPr>
        <w:tblStyle w:val="31"/>
        <w:tblW w:w="991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62"/>
        <w:gridCol w:w="2238"/>
        <w:gridCol w:w="701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4" w:hRule="exact"/>
          <w:tblHeader/>
          <w:jc w:val="center"/>
        </w:trPr>
        <w:tc>
          <w:tcPr>
            <w:tcW w:w="662" w:type="dxa"/>
            <w:tcBorders>
              <w:bottom w:val="single" w:color="auto" w:sz="4" w:space="0"/>
            </w:tcBorders>
            <w:vAlign w:val="center"/>
          </w:tcPr>
          <w:p>
            <w:pPr>
              <w:pStyle w:val="73"/>
              <w:ind w:left="9"/>
              <w:jc w:val="center"/>
              <w:rPr>
                <w:kern w:val="2"/>
              </w:rPr>
            </w:pPr>
            <w:r>
              <w:rPr>
                <w:rFonts w:hint="eastAsia"/>
                <w:kern w:val="2"/>
              </w:rPr>
              <w:t>序</w:t>
            </w:r>
            <w:bookmarkEnd w:id="8"/>
            <w:bookmarkEnd w:id="9"/>
            <w:bookmarkEnd w:id="10"/>
            <w:bookmarkEnd w:id="11"/>
            <w:bookmarkEnd w:id="12"/>
            <w:r>
              <w:rPr>
                <w:rFonts w:hint="eastAsia"/>
                <w:kern w:val="2"/>
              </w:rPr>
              <w:t xml:space="preserve">号 </w:t>
            </w:r>
          </w:p>
        </w:tc>
        <w:tc>
          <w:tcPr>
            <w:tcW w:w="2238" w:type="dxa"/>
            <w:tcBorders>
              <w:bottom w:val="single" w:color="auto" w:sz="4" w:space="0"/>
            </w:tcBorders>
            <w:vAlign w:val="center"/>
          </w:tcPr>
          <w:p>
            <w:pPr>
              <w:pStyle w:val="73"/>
              <w:ind w:left="38"/>
              <w:jc w:val="center"/>
              <w:rPr>
                <w:kern w:val="2"/>
              </w:rPr>
            </w:pPr>
            <w:r>
              <w:rPr>
                <w:rFonts w:hint="eastAsia"/>
                <w:kern w:val="2"/>
              </w:rPr>
              <w:t>条款名称</w:t>
            </w:r>
          </w:p>
        </w:tc>
        <w:tc>
          <w:tcPr>
            <w:tcW w:w="7018" w:type="dxa"/>
            <w:tcBorders>
              <w:bottom w:val="single" w:color="auto" w:sz="4" w:space="0"/>
            </w:tcBorders>
            <w:vAlign w:val="center"/>
          </w:tcPr>
          <w:p>
            <w:pPr>
              <w:pStyle w:val="73"/>
              <w:jc w:val="center"/>
              <w:rPr>
                <w:kern w:val="2"/>
              </w:rPr>
            </w:pPr>
            <w:r>
              <w:rPr>
                <w:rFonts w:hint="eastAsia"/>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64" w:hRule="exact"/>
          <w:jc w:val="center"/>
        </w:trPr>
        <w:tc>
          <w:tcPr>
            <w:tcW w:w="662" w:type="dxa"/>
            <w:tcBorders>
              <w:bottom w:val="single" w:color="auto" w:sz="4" w:space="0"/>
            </w:tcBorders>
            <w:vAlign w:val="center"/>
          </w:tcPr>
          <w:p>
            <w:pPr>
              <w:pStyle w:val="73"/>
              <w:ind w:left="38"/>
              <w:jc w:val="center"/>
              <w:rPr>
                <w:kern w:val="2"/>
              </w:rPr>
            </w:pPr>
            <w:r>
              <w:rPr>
                <w:rFonts w:hint="eastAsia"/>
                <w:kern w:val="2"/>
              </w:rPr>
              <w:t>1</w:t>
            </w:r>
          </w:p>
        </w:tc>
        <w:tc>
          <w:tcPr>
            <w:tcW w:w="2238" w:type="dxa"/>
            <w:tcBorders>
              <w:bottom w:val="single" w:color="auto" w:sz="4" w:space="0"/>
            </w:tcBorders>
            <w:vAlign w:val="center"/>
          </w:tcPr>
          <w:p>
            <w:pPr>
              <w:pStyle w:val="73"/>
              <w:ind w:left="38"/>
              <w:jc w:val="center"/>
              <w:rPr>
                <w:kern w:val="2"/>
              </w:rPr>
            </w:pPr>
            <w:r>
              <w:rPr>
                <w:rFonts w:hint="eastAsia"/>
                <w:kern w:val="2"/>
              </w:rPr>
              <w:t>采购人</w:t>
            </w:r>
          </w:p>
        </w:tc>
        <w:tc>
          <w:tcPr>
            <w:tcW w:w="7018" w:type="dxa"/>
            <w:tcBorders>
              <w:bottom w:val="single" w:color="auto" w:sz="4" w:space="0"/>
            </w:tcBorders>
            <w:vAlign w:val="center"/>
          </w:tcPr>
          <w:p>
            <w:pPr>
              <w:pStyle w:val="73"/>
              <w:ind w:left="38"/>
              <w:rPr>
                <w:kern w:val="2"/>
              </w:rPr>
            </w:pPr>
            <w:r>
              <w:rPr>
                <w:rFonts w:hint="eastAsia"/>
                <w:kern w:val="2"/>
              </w:rPr>
              <w:t>采购人：广元市自然资源局朝天区分局</w:t>
            </w:r>
          </w:p>
          <w:p>
            <w:pPr>
              <w:pStyle w:val="73"/>
              <w:ind w:left="38"/>
              <w:rPr>
                <w:kern w:val="2"/>
              </w:rPr>
            </w:pPr>
            <w:r>
              <w:rPr>
                <w:rFonts w:hint="eastAsia"/>
                <w:kern w:val="2"/>
              </w:rPr>
              <w:t>通讯地址：广元市朝天区朝天镇潜溪路31号</w:t>
            </w:r>
          </w:p>
          <w:p>
            <w:pPr>
              <w:pStyle w:val="73"/>
              <w:ind w:left="38"/>
              <w:rPr>
                <w:kern w:val="2"/>
              </w:rPr>
            </w:pPr>
            <w:r>
              <w:rPr>
                <w:rFonts w:hint="eastAsia"/>
                <w:kern w:val="2"/>
              </w:rPr>
              <w:t>联 系 人：王先生</w:t>
            </w:r>
          </w:p>
          <w:p>
            <w:pPr>
              <w:pStyle w:val="73"/>
              <w:ind w:left="38"/>
              <w:rPr>
                <w:rFonts w:hint="eastAsia" w:eastAsia="宋体"/>
                <w:kern w:val="2"/>
                <w:lang w:eastAsia="zh-CN"/>
              </w:rPr>
            </w:pPr>
            <w:r>
              <w:rPr>
                <w:rFonts w:hint="eastAsia"/>
                <w:kern w:val="2"/>
              </w:rPr>
              <w:t>联系电话：</w:t>
            </w:r>
            <w:r>
              <w:rPr>
                <w:rFonts w:hint="eastAsia" w:cs="宋体"/>
                <w:sz w:val="24"/>
                <w:szCs w:val="24"/>
                <w:lang w:eastAsia="zh-CN"/>
              </w:rPr>
              <w:t>13881298829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7" w:hRule="exact"/>
          <w:jc w:val="center"/>
        </w:trPr>
        <w:tc>
          <w:tcPr>
            <w:tcW w:w="662" w:type="dxa"/>
            <w:tcBorders>
              <w:top w:val="single" w:color="auto" w:sz="4" w:space="0"/>
              <w:bottom w:val="single" w:color="auto" w:sz="4" w:space="0"/>
            </w:tcBorders>
            <w:vAlign w:val="center"/>
          </w:tcPr>
          <w:p>
            <w:pPr>
              <w:pStyle w:val="73"/>
              <w:ind w:left="38"/>
              <w:jc w:val="center"/>
              <w:rPr>
                <w:kern w:val="2"/>
              </w:rPr>
            </w:pPr>
            <w:r>
              <w:rPr>
                <w:rFonts w:hint="eastAsia"/>
                <w:kern w:val="2"/>
              </w:rPr>
              <w:t>2</w:t>
            </w:r>
          </w:p>
        </w:tc>
        <w:tc>
          <w:tcPr>
            <w:tcW w:w="2238" w:type="dxa"/>
            <w:tcBorders>
              <w:top w:val="single" w:color="auto" w:sz="4" w:space="0"/>
              <w:bottom w:val="single" w:color="auto" w:sz="4" w:space="0"/>
            </w:tcBorders>
            <w:vAlign w:val="center"/>
          </w:tcPr>
          <w:p>
            <w:pPr>
              <w:pStyle w:val="73"/>
              <w:ind w:left="38"/>
              <w:jc w:val="center"/>
              <w:rPr>
                <w:kern w:val="2"/>
              </w:rPr>
            </w:pPr>
            <w:r>
              <w:rPr>
                <w:rFonts w:hint="eastAsia"/>
                <w:kern w:val="2"/>
              </w:rPr>
              <w:t>项目名称</w:t>
            </w:r>
          </w:p>
        </w:tc>
        <w:tc>
          <w:tcPr>
            <w:tcW w:w="7018" w:type="dxa"/>
            <w:tcBorders>
              <w:top w:val="single" w:color="auto" w:sz="4" w:space="0"/>
              <w:bottom w:val="single" w:color="auto" w:sz="4" w:space="0"/>
            </w:tcBorders>
            <w:vAlign w:val="center"/>
          </w:tcPr>
          <w:p>
            <w:pPr>
              <w:pStyle w:val="73"/>
              <w:ind w:left="38"/>
              <w:rPr>
                <w:kern w:val="2"/>
              </w:rPr>
            </w:pPr>
            <w:r>
              <w:rPr>
                <w:rFonts w:hint="eastAsia"/>
                <w:kern w:val="2"/>
              </w:rPr>
              <w:t>2023年度广元市自然资源局朝天区分局土地评估服务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6" w:hRule="exact"/>
          <w:jc w:val="center"/>
        </w:trPr>
        <w:tc>
          <w:tcPr>
            <w:tcW w:w="662" w:type="dxa"/>
            <w:tcBorders>
              <w:top w:val="single" w:color="auto" w:sz="4" w:space="0"/>
            </w:tcBorders>
            <w:vAlign w:val="center"/>
          </w:tcPr>
          <w:p>
            <w:pPr>
              <w:pStyle w:val="73"/>
              <w:ind w:left="9"/>
              <w:jc w:val="center"/>
              <w:rPr>
                <w:kern w:val="2"/>
              </w:rPr>
            </w:pPr>
            <w:r>
              <w:rPr>
                <w:rFonts w:hint="eastAsia"/>
                <w:kern w:val="2"/>
              </w:rPr>
              <w:t>3</w:t>
            </w:r>
          </w:p>
        </w:tc>
        <w:tc>
          <w:tcPr>
            <w:tcW w:w="2238" w:type="dxa"/>
            <w:tcBorders>
              <w:top w:val="single" w:color="auto" w:sz="4" w:space="0"/>
            </w:tcBorders>
            <w:vAlign w:val="center"/>
          </w:tcPr>
          <w:p>
            <w:pPr>
              <w:pStyle w:val="73"/>
              <w:ind w:left="38"/>
              <w:jc w:val="center"/>
              <w:rPr>
                <w:kern w:val="2"/>
              </w:rPr>
            </w:pPr>
            <w:r>
              <w:rPr>
                <w:rFonts w:hint="eastAsia"/>
                <w:kern w:val="2"/>
              </w:rPr>
              <w:t>确定邀请磋商的供应商数量和方式</w:t>
            </w:r>
          </w:p>
        </w:tc>
        <w:tc>
          <w:tcPr>
            <w:tcW w:w="7018" w:type="dxa"/>
            <w:tcBorders>
              <w:top w:val="single" w:color="auto" w:sz="4" w:space="0"/>
            </w:tcBorders>
            <w:vAlign w:val="center"/>
          </w:tcPr>
          <w:p>
            <w:pPr>
              <w:pStyle w:val="73"/>
              <w:ind w:firstLine="240" w:firstLineChars="100"/>
              <w:rPr>
                <w:kern w:val="2"/>
              </w:rPr>
            </w:pPr>
            <w:r>
              <w:rPr>
                <w:rFonts w:hint="eastAsia"/>
                <w:kern w:val="2"/>
              </w:rPr>
              <w:t>1.本次采购在广元市自然资源局发布公告的方式邀请参加磋商的供应商。</w:t>
            </w:r>
          </w:p>
          <w:p>
            <w:pPr>
              <w:pStyle w:val="73"/>
              <w:ind w:firstLine="240" w:firstLineChars="100"/>
              <w:rPr>
                <w:kern w:val="2"/>
              </w:rPr>
            </w:pPr>
            <w:r>
              <w:rPr>
                <w:rFonts w:hint="eastAsia"/>
                <w:kern w:val="2"/>
              </w:rPr>
              <w:t>2.本次磋商邀请的供应商数量：不少于3家。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0" w:hRule="exact"/>
          <w:jc w:val="center"/>
        </w:trPr>
        <w:tc>
          <w:tcPr>
            <w:tcW w:w="662" w:type="dxa"/>
            <w:vMerge w:val="restart"/>
            <w:vAlign w:val="center"/>
          </w:tcPr>
          <w:p>
            <w:pPr>
              <w:pStyle w:val="73"/>
              <w:ind w:right="230"/>
              <w:jc w:val="center"/>
              <w:rPr>
                <w:kern w:val="2"/>
              </w:rPr>
            </w:pPr>
            <w:r>
              <w:rPr>
                <w:rFonts w:hint="eastAsia"/>
                <w:kern w:val="2"/>
              </w:rPr>
              <w:t xml:space="preserve"> 4</w:t>
            </w:r>
          </w:p>
        </w:tc>
        <w:tc>
          <w:tcPr>
            <w:tcW w:w="2238" w:type="dxa"/>
            <w:tcBorders>
              <w:bottom w:val="single" w:color="auto" w:sz="4" w:space="0"/>
            </w:tcBorders>
            <w:vAlign w:val="center"/>
          </w:tcPr>
          <w:p>
            <w:pPr>
              <w:pStyle w:val="73"/>
              <w:ind w:left="38"/>
              <w:jc w:val="center"/>
              <w:rPr>
                <w:kern w:val="2"/>
              </w:rPr>
            </w:pPr>
            <w:r>
              <w:rPr>
                <w:rFonts w:hint="eastAsia"/>
                <w:kern w:val="2"/>
              </w:rPr>
              <w:t>采购预算</w:t>
            </w:r>
          </w:p>
          <w:p>
            <w:pPr>
              <w:pStyle w:val="73"/>
              <w:ind w:left="38"/>
              <w:jc w:val="center"/>
              <w:rPr>
                <w:kern w:val="2"/>
              </w:rPr>
            </w:pPr>
            <w:r>
              <w:rPr>
                <w:rFonts w:hint="eastAsia"/>
              </w:rPr>
              <w:t>（实质性要求）</w:t>
            </w:r>
          </w:p>
        </w:tc>
        <w:tc>
          <w:tcPr>
            <w:tcW w:w="7018" w:type="dxa"/>
            <w:tcBorders>
              <w:bottom w:val="single" w:color="auto" w:sz="4" w:space="0"/>
            </w:tcBorders>
          </w:tcPr>
          <w:p>
            <w:pPr>
              <w:ind w:right="51" w:rightChars="15" w:firstLine="241" w:firstLineChars="100"/>
              <w:jc w:val="left"/>
              <w:rPr>
                <w:rFonts w:hint="eastAsia" w:hAnsi="宋体" w:cs="宋体"/>
                <w:b/>
                <w:bCs/>
                <w:color w:val="FF0000"/>
                <w:sz w:val="24"/>
                <w:szCs w:val="24"/>
              </w:rPr>
            </w:pPr>
            <w:r>
              <w:rPr>
                <w:rFonts w:hint="eastAsia" w:hAnsi="宋体" w:cs="宋体"/>
                <w:b/>
                <w:bCs/>
                <w:color w:val="FF0000"/>
                <w:sz w:val="24"/>
                <w:szCs w:val="24"/>
                <w:lang w:val="en-US" w:eastAsia="zh-CN"/>
              </w:rPr>
              <w:t>1.</w:t>
            </w:r>
            <w:r>
              <w:rPr>
                <w:rFonts w:hint="eastAsia" w:hAnsi="宋体" w:cs="宋体"/>
                <w:b/>
                <w:bCs/>
                <w:color w:val="FF0000"/>
                <w:sz w:val="24"/>
                <w:szCs w:val="24"/>
                <w:lang w:val="zh-CN"/>
              </w:rPr>
              <w:t>采购预算</w:t>
            </w:r>
            <w:r>
              <w:rPr>
                <w:rFonts w:hint="eastAsia" w:hAnsi="宋体" w:cs="宋体"/>
                <w:b/>
                <w:bCs/>
                <w:color w:val="FF0000"/>
                <w:sz w:val="24"/>
                <w:szCs w:val="24"/>
              </w:rPr>
              <w:t>最终结算金额以实际发生业务为准。</w:t>
            </w:r>
          </w:p>
          <w:p>
            <w:pPr>
              <w:ind w:right="51" w:rightChars="15" w:firstLine="241" w:firstLineChars="100"/>
              <w:jc w:val="left"/>
              <w:rPr>
                <w:rFonts w:hAnsi="宋体" w:cs="宋体"/>
                <w:kern w:val="2"/>
                <w:sz w:val="24"/>
                <w:szCs w:val="24"/>
              </w:rPr>
            </w:pPr>
            <w:r>
              <w:rPr>
                <w:rFonts w:hint="eastAsia" w:hAnsi="宋体" w:cs="宋体"/>
                <w:b/>
                <w:bCs/>
                <w:color w:val="FF0000"/>
                <w:sz w:val="24"/>
                <w:szCs w:val="24"/>
                <w:lang w:val="en-US" w:eastAsia="zh-CN"/>
              </w:rPr>
              <w:t>2</w:t>
            </w:r>
            <w:r>
              <w:rPr>
                <w:rFonts w:hint="eastAsia" w:hAnsi="宋体" w:cs="宋体"/>
                <w:b/>
                <w:bCs/>
                <w:color w:val="FF0000"/>
                <w:sz w:val="24"/>
                <w:szCs w:val="24"/>
              </w:rPr>
              <w:t>.供应商提交的最后报价不得超过本项目采购预算，否则将被作为无效响应文件处理。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89" w:hRule="exact"/>
          <w:jc w:val="center"/>
        </w:trPr>
        <w:tc>
          <w:tcPr>
            <w:tcW w:w="662" w:type="dxa"/>
            <w:vMerge w:val="continue"/>
            <w:vAlign w:val="center"/>
          </w:tcPr>
          <w:p>
            <w:pPr>
              <w:jc w:val="center"/>
              <w:rPr>
                <w:rFonts w:hAnsi="宋体" w:cs="宋体"/>
                <w:sz w:val="24"/>
                <w:szCs w:val="24"/>
              </w:rPr>
            </w:pPr>
          </w:p>
        </w:tc>
        <w:tc>
          <w:tcPr>
            <w:tcW w:w="2238" w:type="dxa"/>
            <w:tcBorders>
              <w:top w:val="single" w:color="auto" w:sz="4" w:space="0"/>
            </w:tcBorders>
            <w:vAlign w:val="center"/>
          </w:tcPr>
          <w:p>
            <w:pPr>
              <w:pStyle w:val="73"/>
              <w:jc w:val="center"/>
              <w:rPr>
                <w:kern w:val="2"/>
              </w:rPr>
            </w:pPr>
            <w:r>
              <w:rPr>
                <w:rFonts w:hint="eastAsia"/>
                <w:kern w:val="2"/>
              </w:rPr>
              <w:t>最高限价</w:t>
            </w:r>
          </w:p>
          <w:p>
            <w:pPr>
              <w:pStyle w:val="73"/>
              <w:jc w:val="center"/>
              <w:rPr>
                <w:kern w:val="2"/>
              </w:rPr>
            </w:pPr>
            <w:r>
              <w:rPr>
                <w:rFonts w:hint="eastAsia"/>
              </w:rPr>
              <w:t>（实质性要求）</w:t>
            </w:r>
          </w:p>
        </w:tc>
        <w:tc>
          <w:tcPr>
            <w:tcW w:w="7018" w:type="dxa"/>
            <w:tcBorders>
              <w:top w:val="single" w:color="auto" w:sz="4" w:space="0"/>
            </w:tcBorders>
          </w:tcPr>
          <w:p>
            <w:pPr>
              <w:ind w:right="51" w:rightChars="15" w:firstLine="241" w:firstLineChars="100"/>
              <w:rPr>
                <w:rFonts w:hAnsi="宋体" w:cs="宋体"/>
                <w:b/>
                <w:bCs/>
                <w:color w:val="FF0000"/>
                <w:sz w:val="24"/>
                <w:szCs w:val="24"/>
              </w:rPr>
            </w:pPr>
            <w:r>
              <w:rPr>
                <w:rFonts w:hint="eastAsia" w:hAnsi="宋体" w:cs="宋体"/>
                <w:b/>
                <w:bCs/>
                <w:color w:val="FF0000"/>
                <w:sz w:val="24"/>
                <w:szCs w:val="24"/>
              </w:rPr>
              <w:t>最高限价：</w:t>
            </w:r>
          </w:p>
          <w:p>
            <w:pPr>
              <w:ind w:right="51" w:rightChars="15" w:firstLine="241" w:firstLineChars="100"/>
              <w:rPr>
                <w:rFonts w:hAnsi="宋体" w:cs="宋体"/>
                <w:b/>
                <w:bCs/>
                <w:color w:val="FF0000"/>
                <w:sz w:val="24"/>
                <w:szCs w:val="24"/>
              </w:rPr>
            </w:pPr>
            <w:r>
              <w:rPr>
                <w:rFonts w:hint="eastAsia" w:hAnsi="宋体" w:cs="宋体"/>
                <w:b/>
                <w:bCs/>
                <w:color w:val="FF0000"/>
                <w:sz w:val="24"/>
                <w:szCs w:val="24"/>
              </w:rPr>
              <w:t>1.单宗评估收费标准《广元市自然资源局关于印发&lt;广元市市本级公益性评估（土地、地灾和测绘）选取中介机构实施办法（试行）&gt;的通知》（广自然资发[2021]56号）的土地评估费支付费用标准规定：按5亩以下0.5万元人民币/宗; 5亩以上(含5亩)至不高于10亩0.8万元人民币/宗; 10亩以上(含10亩)至不高于50亩1.2万元人民币/宗；50亩以上(含50亩)至不高于100亩1.8 万元人民币/宗; 100亩及其以上2.0万元/宗，单宗地评估费最高不超过2万元；</w:t>
            </w:r>
          </w:p>
          <w:p>
            <w:pPr>
              <w:ind w:right="51" w:rightChars="15" w:firstLine="241" w:firstLineChars="100"/>
              <w:rPr>
                <w:rFonts w:hint="eastAsia" w:hAnsi="宋体" w:eastAsia="宋体" w:cs="宋体"/>
                <w:b/>
                <w:bCs/>
                <w:color w:val="FF0000"/>
                <w:sz w:val="24"/>
                <w:szCs w:val="24"/>
                <w:lang w:eastAsia="zh-CN"/>
              </w:rPr>
            </w:pPr>
            <w:r>
              <w:rPr>
                <w:rFonts w:hint="eastAsia" w:hAnsi="宋体" w:cs="宋体"/>
                <w:b/>
                <w:bCs/>
                <w:color w:val="FF0000"/>
                <w:sz w:val="24"/>
                <w:szCs w:val="24"/>
              </w:rPr>
              <w:t>2.原国家计委、原国家土地管理局《关于土地价格评估收费的通知》（计价格[1994]2017号）文件标准的不超过</w:t>
            </w:r>
            <w:r>
              <w:rPr>
                <w:rFonts w:hint="eastAsia" w:hAnsi="宋体" w:cs="宋体"/>
                <w:b/>
                <w:bCs/>
                <w:color w:val="FF0000"/>
                <w:sz w:val="24"/>
                <w:szCs w:val="24"/>
                <w:lang w:val="en-US" w:eastAsia="zh-CN"/>
              </w:rPr>
              <w:t>5</w:t>
            </w:r>
            <w:r>
              <w:rPr>
                <w:rFonts w:hint="eastAsia" w:hAnsi="宋体" w:cs="宋体"/>
                <w:b/>
                <w:bCs/>
                <w:color w:val="FF0000"/>
                <w:sz w:val="24"/>
                <w:szCs w:val="24"/>
              </w:rPr>
              <w:t>0%，不足2000元按照2000元收取</w:t>
            </w:r>
            <w:r>
              <w:rPr>
                <w:rFonts w:hint="eastAsia" w:hAnsi="宋体" w:cs="宋体"/>
                <w:b/>
                <w:bCs/>
                <w:color w:val="FF0000"/>
                <w:sz w:val="24"/>
                <w:szCs w:val="24"/>
                <w:lang w:eastAsia="zh-CN"/>
              </w:rPr>
              <w:t>。</w:t>
            </w:r>
          </w:p>
          <w:p>
            <w:pPr>
              <w:ind w:right="51" w:rightChars="15" w:firstLine="241" w:firstLineChars="100"/>
              <w:rPr>
                <w:rFonts w:hAnsi="宋体" w:cs="宋体"/>
                <w:sz w:val="24"/>
                <w:szCs w:val="24"/>
              </w:rPr>
            </w:pPr>
            <w:r>
              <w:rPr>
                <w:rFonts w:hint="eastAsia" w:hAnsi="宋体" w:cs="宋体"/>
                <w:b/>
                <w:bCs/>
                <w:color w:val="FF0000"/>
                <w:sz w:val="24"/>
                <w:szCs w:val="24"/>
              </w:rPr>
              <w:t>超过最高限价的报价为无效投标。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62" w:type="dxa"/>
            <w:vAlign w:val="center"/>
          </w:tcPr>
          <w:p>
            <w:pPr>
              <w:pStyle w:val="73"/>
              <w:ind w:right="230"/>
              <w:jc w:val="center"/>
              <w:rPr>
                <w:kern w:val="2"/>
              </w:rPr>
            </w:pPr>
            <w:r>
              <w:rPr>
                <w:rFonts w:hint="eastAsia"/>
                <w:kern w:val="2"/>
              </w:rPr>
              <w:t xml:space="preserve"> 5</w:t>
            </w:r>
          </w:p>
        </w:tc>
        <w:tc>
          <w:tcPr>
            <w:tcW w:w="2238" w:type="dxa"/>
            <w:vAlign w:val="center"/>
          </w:tcPr>
          <w:p>
            <w:pPr>
              <w:pStyle w:val="73"/>
              <w:ind w:leftChars="-4" w:hanging="14" w:hangingChars="6"/>
              <w:jc w:val="center"/>
              <w:rPr>
                <w:kern w:val="2"/>
              </w:rPr>
            </w:pPr>
            <w:r>
              <w:rPr>
                <w:rFonts w:hint="eastAsia"/>
                <w:kern w:val="2"/>
              </w:rPr>
              <w:t>低于成本价不正当</w:t>
            </w:r>
          </w:p>
          <w:p>
            <w:pPr>
              <w:pStyle w:val="73"/>
              <w:ind w:leftChars="-4" w:hanging="14" w:hangingChars="6"/>
              <w:jc w:val="center"/>
              <w:rPr>
                <w:kern w:val="2"/>
              </w:rPr>
            </w:pPr>
            <w:r>
              <w:rPr>
                <w:rFonts w:hint="eastAsia"/>
                <w:kern w:val="2"/>
              </w:rPr>
              <w:t>竞争预防措施</w:t>
            </w:r>
          </w:p>
        </w:tc>
        <w:tc>
          <w:tcPr>
            <w:tcW w:w="7018" w:type="dxa"/>
            <w:vAlign w:val="center"/>
          </w:tcPr>
          <w:p>
            <w:pPr>
              <w:pStyle w:val="73"/>
              <w:ind w:firstLine="480" w:firstLineChars="200"/>
              <w:jc w:val="both"/>
            </w:pPr>
            <w:r>
              <w:rPr>
                <w:rFonts w:hint="eastAsia"/>
              </w:rPr>
              <w:t>在评审过程中，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73"/>
              <w:ind w:firstLine="480" w:firstLineChars="200"/>
              <w:jc w:val="both"/>
            </w:pPr>
            <w:r>
              <w:rPr>
                <w:rFonts w:hint="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73"/>
              <w:ind w:firstLine="480" w:firstLineChars="200"/>
              <w:jc w:val="both"/>
              <w:rPr>
                <w:kern w:val="2"/>
              </w:rPr>
            </w:pPr>
            <w:r>
              <w:rPr>
                <w:rFonts w:hint="eastAsia"/>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采购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4" w:hRule="exact"/>
          <w:jc w:val="center"/>
        </w:trPr>
        <w:tc>
          <w:tcPr>
            <w:tcW w:w="662" w:type="dxa"/>
            <w:vAlign w:val="center"/>
          </w:tcPr>
          <w:p>
            <w:pPr>
              <w:pStyle w:val="73"/>
              <w:ind w:right="230"/>
              <w:jc w:val="center"/>
              <w:rPr>
                <w:lang w:val="zh-CN"/>
              </w:rPr>
            </w:pPr>
            <w:r>
              <w:rPr>
                <w:rFonts w:hint="eastAsia"/>
              </w:rPr>
              <w:t>6</w:t>
            </w:r>
          </w:p>
        </w:tc>
        <w:tc>
          <w:tcPr>
            <w:tcW w:w="2238" w:type="dxa"/>
            <w:vAlign w:val="center"/>
          </w:tcPr>
          <w:p>
            <w:pPr>
              <w:pStyle w:val="73"/>
              <w:jc w:val="center"/>
            </w:pPr>
            <w:r>
              <w:rPr>
                <w:rFonts w:hint="eastAsia"/>
              </w:rPr>
              <w:t>标前答疑会</w:t>
            </w:r>
          </w:p>
        </w:tc>
        <w:tc>
          <w:tcPr>
            <w:tcW w:w="7018" w:type="dxa"/>
            <w:vAlign w:val="center"/>
          </w:tcPr>
          <w:p>
            <w:pPr>
              <w:pStyle w:val="73"/>
              <w:jc w:val="center"/>
              <w:rPr>
                <w:lang w:val="zh-CN"/>
              </w:rPr>
            </w:pPr>
            <w:r>
              <w:rPr>
                <w:rFonts w:hint="eastAsia"/>
              </w:rPr>
              <w:t>不统一组织召开标前答疑会。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5" w:hRule="exact"/>
          <w:jc w:val="center"/>
        </w:trPr>
        <w:tc>
          <w:tcPr>
            <w:tcW w:w="662" w:type="dxa"/>
            <w:vAlign w:val="center"/>
          </w:tcPr>
          <w:p>
            <w:pPr>
              <w:pStyle w:val="73"/>
              <w:ind w:right="230"/>
              <w:jc w:val="center"/>
            </w:pPr>
            <w:r>
              <w:rPr>
                <w:rFonts w:hint="eastAsia"/>
              </w:rPr>
              <w:t>7</w:t>
            </w:r>
          </w:p>
        </w:tc>
        <w:tc>
          <w:tcPr>
            <w:tcW w:w="2238" w:type="dxa"/>
            <w:vAlign w:val="center"/>
          </w:tcPr>
          <w:p>
            <w:pPr>
              <w:pStyle w:val="73"/>
              <w:jc w:val="center"/>
            </w:pPr>
            <w:r>
              <w:rPr>
                <w:rFonts w:hint="eastAsia"/>
              </w:rPr>
              <w:t>所属行业</w:t>
            </w:r>
          </w:p>
        </w:tc>
        <w:tc>
          <w:tcPr>
            <w:tcW w:w="7018" w:type="dxa"/>
            <w:vAlign w:val="center"/>
          </w:tcPr>
          <w:p>
            <w:pPr>
              <w:pStyle w:val="73"/>
              <w:jc w:val="center"/>
              <w:rPr>
                <w:lang w:val="zh-CN"/>
              </w:rPr>
            </w:pPr>
            <w:r>
              <w:rPr>
                <w:rFonts w:hint="eastAsia"/>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662" w:type="dxa"/>
            <w:vAlign w:val="center"/>
          </w:tcPr>
          <w:p>
            <w:pPr>
              <w:pStyle w:val="73"/>
              <w:ind w:right="230"/>
              <w:jc w:val="center"/>
            </w:pPr>
            <w:r>
              <w:rPr>
                <w:rFonts w:hint="eastAsia"/>
              </w:rPr>
              <w:t>8</w:t>
            </w:r>
          </w:p>
        </w:tc>
        <w:tc>
          <w:tcPr>
            <w:tcW w:w="2238" w:type="dxa"/>
            <w:vAlign w:val="center"/>
          </w:tcPr>
          <w:p>
            <w:pPr>
              <w:pStyle w:val="73"/>
              <w:jc w:val="center"/>
            </w:pPr>
            <w:r>
              <w:rPr>
                <w:rFonts w:hint="eastAsia"/>
              </w:rPr>
              <w:t>评标方法</w:t>
            </w:r>
          </w:p>
        </w:tc>
        <w:tc>
          <w:tcPr>
            <w:tcW w:w="7018" w:type="dxa"/>
            <w:vAlign w:val="center"/>
          </w:tcPr>
          <w:p>
            <w:pPr>
              <w:pStyle w:val="73"/>
              <w:jc w:val="center"/>
            </w:pPr>
            <w:r>
              <w:rPr>
                <w:rFonts w:hint="eastAsia"/>
              </w:rPr>
              <w:t>综合评分法（√ ）最低评标价法（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1" w:hRule="exact"/>
          <w:jc w:val="center"/>
        </w:trPr>
        <w:tc>
          <w:tcPr>
            <w:tcW w:w="662" w:type="dxa"/>
            <w:vAlign w:val="center"/>
          </w:tcPr>
          <w:p>
            <w:pPr>
              <w:pStyle w:val="73"/>
              <w:ind w:right="230"/>
              <w:jc w:val="center"/>
            </w:pPr>
            <w:r>
              <w:rPr>
                <w:rFonts w:hint="eastAsia"/>
              </w:rPr>
              <w:t>9</w:t>
            </w:r>
          </w:p>
        </w:tc>
        <w:tc>
          <w:tcPr>
            <w:tcW w:w="2238" w:type="dxa"/>
            <w:vAlign w:val="center"/>
          </w:tcPr>
          <w:p>
            <w:pPr>
              <w:pStyle w:val="73"/>
              <w:tabs>
                <w:tab w:val="left" w:pos="700"/>
              </w:tabs>
              <w:spacing w:line="0" w:lineRule="atLeast"/>
              <w:ind w:left="52"/>
              <w:jc w:val="center"/>
              <w:rPr>
                <w:kern w:val="2"/>
              </w:rPr>
            </w:pPr>
            <w:r>
              <w:rPr>
                <w:rFonts w:hint="eastAsia"/>
                <w:kern w:val="2"/>
              </w:rPr>
              <w:t>服务期限及履约地点</w:t>
            </w:r>
          </w:p>
        </w:tc>
        <w:tc>
          <w:tcPr>
            <w:tcW w:w="7018" w:type="dxa"/>
            <w:vAlign w:val="center"/>
          </w:tcPr>
          <w:p>
            <w:pPr>
              <w:pStyle w:val="73"/>
              <w:tabs>
                <w:tab w:val="left" w:pos="700"/>
              </w:tabs>
              <w:spacing w:line="0" w:lineRule="atLeast"/>
              <w:ind w:left="52"/>
              <w:rPr>
                <w:kern w:val="2"/>
              </w:rPr>
            </w:pPr>
            <w:r>
              <w:rPr>
                <w:rFonts w:hint="eastAsia"/>
                <w:kern w:val="2"/>
              </w:rPr>
              <w:t>服务期限：一年。</w:t>
            </w:r>
          </w:p>
          <w:p>
            <w:pPr>
              <w:pStyle w:val="73"/>
              <w:tabs>
                <w:tab w:val="left" w:pos="700"/>
              </w:tabs>
              <w:spacing w:line="0" w:lineRule="atLeast"/>
              <w:ind w:left="52"/>
              <w:rPr>
                <w:kern w:val="2"/>
              </w:rPr>
            </w:pPr>
            <w:r>
              <w:rPr>
                <w:rFonts w:hint="eastAsia"/>
                <w:kern w:val="2"/>
              </w:rPr>
              <w:t>履约地点：朝天区行政区域范围内。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2" w:hRule="exact"/>
          <w:jc w:val="center"/>
        </w:trPr>
        <w:tc>
          <w:tcPr>
            <w:tcW w:w="662" w:type="dxa"/>
            <w:vAlign w:val="center"/>
          </w:tcPr>
          <w:p>
            <w:pPr>
              <w:pStyle w:val="73"/>
              <w:ind w:right="230"/>
              <w:jc w:val="center"/>
            </w:pPr>
            <w:r>
              <w:rPr>
                <w:rFonts w:hint="eastAsia"/>
              </w:rPr>
              <w:t>10</w:t>
            </w:r>
          </w:p>
        </w:tc>
        <w:tc>
          <w:tcPr>
            <w:tcW w:w="2238" w:type="dxa"/>
            <w:vAlign w:val="center"/>
          </w:tcPr>
          <w:p>
            <w:pPr>
              <w:pStyle w:val="73"/>
              <w:jc w:val="center"/>
            </w:pPr>
            <w:r>
              <w:rPr>
                <w:rFonts w:hint="eastAsia"/>
              </w:rPr>
              <w:t>是否接受联合体投标</w:t>
            </w:r>
          </w:p>
        </w:tc>
        <w:tc>
          <w:tcPr>
            <w:tcW w:w="7018" w:type="dxa"/>
            <w:vAlign w:val="center"/>
          </w:tcPr>
          <w:p>
            <w:pPr>
              <w:pStyle w:val="73"/>
              <w:jc w:val="both"/>
            </w:pPr>
            <w:r>
              <w:rPr>
                <w:rFonts w:hint="eastAsia"/>
              </w:rPr>
              <w:t>是 （  ）    否（ √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9" w:hRule="atLeast"/>
          <w:jc w:val="center"/>
        </w:trPr>
        <w:tc>
          <w:tcPr>
            <w:tcW w:w="662" w:type="dxa"/>
            <w:vAlign w:val="center"/>
          </w:tcPr>
          <w:p>
            <w:pPr>
              <w:spacing w:line="0" w:lineRule="atLeast"/>
              <w:ind w:right="230"/>
              <w:jc w:val="center"/>
              <w:rPr>
                <w:rFonts w:hAnsi="宋体" w:cs="宋体"/>
                <w:kern w:val="2"/>
                <w:sz w:val="24"/>
                <w:szCs w:val="24"/>
              </w:rPr>
            </w:pPr>
            <w:r>
              <w:rPr>
                <w:rFonts w:hint="eastAsia" w:hAnsi="宋体" w:cs="宋体"/>
                <w:sz w:val="24"/>
                <w:szCs w:val="24"/>
              </w:rPr>
              <w:t>11</w:t>
            </w:r>
          </w:p>
        </w:tc>
        <w:tc>
          <w:tcPr>
            <w:tcW w:w="2238" w:type="dxa"/>
            <w:vAlign w:val="center"/>
          </w:tcPr>
          <w:p>
            <w:pPr>
              <w:pStyle w:val="73"/>
              <w:jc w:val="center"/>
            </w:pPr>
            <w:r>
              <w:rPr>
                <w:rFonts w:hint="eastAsia"/>
              </w:rPr>
              <w:t>是否允许进口产品参与</w:t>
            </w:r>
          </w:p>
        </w:tc>
        <w:tc>
          <w:tcPr>
            <w:tcW w:w="7018" w:type="dxa"/>
            <w:vAlign w:val="center"/>
          </w:tcPr>
          <w:p>
            <w:pPr>
              <w:pStyle w:val="73"/>
              <w:jc w:val="both"/>
            </w:pPr>
            <w:r>
              <w:rPr>
                <w:rFonts w:hint="eastAsia"/>
              </w:rPr>
              <w:t>是 （  ）    否（ √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62" w:type="dxa"/>
            <w:vAlign w:val="center"/>
          </w:tcPr>
          <w:p>
            <w:pPr>
              <w:spacing w:line="0" w:lineRule="atLeast"/>
              <w:ind w:right="230"/>
              <w:jc w:val="center"/>
              <w:rPr>
                <w:rFonts w:hAnsi="宋体" w:cs="宋体"/>
                <w:kern w:val="2"/>
                <w:sz w:val="24"/>
                <w:szCs w:val="24"/>
              </w:rPr>
            </w:pPr>
            <w:r>
              <w:rPr>
                <w:rFonts w:hint="eastAsia" w:hAnsi="宋体" w:cs="宋体"/>
                <w:sz w:val="24"/>
                <w:szCs w:val="24"/>
              </w:rPr>
              <w:t>12</w:t>
            </w:r>
          </w:p>
        </w:tc>
        <w:tc>
          <w:tcPr>
            <w:tcW w:w="2238" w:type="dxa"/>
            <w:vAlign w:val="center"/>
          </w:tcPr>
          <w:p>
            <w:pPr>
              <w:pStyle w:val="73"/>
              <w:tabs>
                <w:tab w:val="left" w:pos="700"/>
              </w:tabs>
              <w:spacing w:line="0" w:lineRule="atLeast"/>
              <w:ind w:left="52"/>
              <w:jc w:val="center"/>
            </w:pPr>
            <w:r>
              <w:rPr>
                <w:rFonts w:hint="eastAsia"/>
                <w:kern w:val="2"/>
              </w:rPr>
              <w:t>构成磋商文件的其他文件</w:t>
            </w:r>
          </w:p>
        </w:tc>
        <w:tc>
          <w:tcPr>
            <w:tcW w:w="7018" w:type="dxa"/>
            <w:vAlign w:val="center"/>
          </w:tcPr>
          <w:p>
            <w:pPr>
              <w:pStyle w:val="73"/>
              <w:tabs>
                <w:tab w:val="left" w:pos="700"/>
              </w:tabs>
              <w:spacing w:line="0" w:lineRule="atLeast"/>
              <w:ind w:left="240" w:hanging="240" w:hangingChars="100"/>
            </w:pPr>
            <w:r>
              <w:rPr>
                <w:rFonts w:hint="eastAsia"/>
                <w:kern w:val="2"/>
              </w:rPr>
              <w:t xml:space="preserve">  磋商文件的澄清、修改书及有关补充通知为磋商文件的有效组成部分。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662" w:type="dxa"/>
            <w:vAlign w:val="center"/>
          </w:tcPr>
          <w:p>
            <w:pPr>
              <w:pStyle w:val="73"/>
              <w:ind w:right="264"/>
              <w:jc w:val="center"/>
            </w:pPr>
            <w:r>
              <w:rPr>
                <w:rFonts w:hint="eastAsia"/>
                <w:kern w:val="2"/>
              </w:rPr>
              <w:t>13</w:t>
            </w:r>
          </w:p>
        </w:tc>
        <w:tc>
          <w:tcPr>
            <w:tcW w:w="2238" w:type="dxa"/>
            <w:vAlign w:val="center"/>
          </w:tcPr>
          <w:p>
            <w:pPr>
              <w:pStyle w:val="73"/>
              <w:jc w:val="center"/>
            </w:pPr>
            <w:r>
              <w:rPr>
                <w:rFonts w:hint="eastAsia"/>
              </w:rPr>
              <w:t>供应商咨询、解释、答疑等</w:t>
            </w:r>
          </w:p>
        </w:tc>
        <w:tc>
          <w:tcPr>
            <w:tcW w:w="7018" w:type="dxa"/>
          </w:tcPr>
          <w:p>
            <w:pPr>
              <w:spacing w:line="340" w:lineRule="exact"/>
              <w:ind w:right="170" w:rightChars="50" w:firstLine="240" w:firstLineChars="100"/>
              <w:jc w:val="left"/>
              <w:rPr>
                <w:rFonts w:hAnsi="宋体" w:cs="宋体"/>
                <w:sz w:val="24"/>
                <w:szCs w:val="24"/>
              </w:rPr>
            </w:pPr>
            <w:r>
              <w:rPr>
                <w:rFonts w:hint="eastAsia" w:hAnsi="宋体" w:cs="宋体"/>
                <w:sz w:val="24"/>
                <w:szCs w:val="24"/>
              </w:rPr>
              <w:t>本</w:t>
            </w:r>
            <w:r>
              <w:rPr>
                <w:rFonts w:hint="eastAsia" w:hAnsi="宋体" w:cs="宋体"/>
                <w:kern w:val="2"/>
                <w:sz w:val="24"/>
                <w:szCs w:val="24"/>
              </w:rPr>
              <w:t>磋商</w:t>
            </w:r>
            <w:r>
              <w:rPr>
                <w:rFonts w:hint="eastAsia" w:hAnsi="宋体" w:cs="宋体"/>
                <w:sz w:val="24"/>
                <w:szCs w:val="24"/>
              </w:rPr>
              <w:t>文件的咨询、解释、答疑均由采购单位负责。</w:t>
            </w:r>
            <w:r>
              <w:rPr>
                <w:rFonts w:hint="eastAsia" w:hAnsi="宋体" w:cs="宋体"/>
                <w:kern w:val="2"/>
                <w:sz w:val="24"/>
                <w:szCs w:val="24"/>
              </w:rPr>
              <w:t>磋商</w:t>
            </w:r>
            <w:r>
              <w:rPr>
                <w:rFonts w:hint="eastAsia" w:hAnsi="宋体" w:cs="宋体"/>
                <w:sz w:val="24"/>
                <w:szCs w:val="24"/>
              </w:rPr>
              <w:t>文件中供应商参加本次采购活动应当具备的条件和磋商项目技术、商务及其他要求、评分细则由采购人负责解释、答疑。（具体联系方式详见第一章)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9" w:hRule="atLeast"/>
          <w:jc w:val="center"/>
        </w:trPr>
        <w:tc>
          <w:tcPr>
            <w:tcW w:w="662" w:type="dxa"/>
            <w:vAlign w:val="center"/>
          </w:tcPr>
          <w:p>
            <w:pPr>
              <w:spacing w:line="0" w:lineRule="atLeast"/>
              <w:ind w:right="264"/>
              <w:jc w:val="center"/>
              <w:rPr>
                <w:rFonts w:hAnsi="宋体" w:cs="宋体"/>
                <w:kern w:val="2"/>
                <w:sz w:val="24"/>
                <w:szCs w:val="24"/>
              </w:rPr>
            </w:pPr>
            <w:r>
              <w:rPr>
                <w:rFonts w:hint="eastAsia" w:hAnsi="宋体" w:cs="宋体"/>
                <w:sz w:val="24"/>
                <w:szCs w:val="24"/>
              </w:rPr>
              <w:t>14</w:t>
            </w:r>
          </w:p>
        </w:tc>
        <w:tc>
          <w:tcPr>
            <w:tcW w:w="2238" w:type="dxa"/>
            <w:vAlign w:val="center"/>
          </w:tcPr>
          <w:p>
            <w:pPr>
              <w:pStyle w:val="73"/>
              <w:jc w:val="center"/>
            </w:pPr>
            <w:r>
              <w:rPr>
                <w:rFonts w:hint="eastAsia"/>
              </w:rPr>
              <w:t>报价有效期</w:t>
            </w:r>
          </w:p>
        </w:tc>
        <w:tc>
          <w:tcPr>
            <w:tcW w:w="7018" w:type="dxa"/>
            <w:vAlign w:val="center"/>
          </w:tcPr>
          <w:p>
            <w:pPr>
              <w:pStyle w:val="73"/>
            </w:pPr>
            <w:r>
              <w:rPr>
                <w:rFonts w:hint="eastAsia"/>
              </w:rPr>
              <w:t>响应文件递交截止时间之日起 90 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4" w:hRule="exact"/>
          <w:jc w:val="center"/>
        </w:trPr>
        <w:tc>
          <w:tcPr>
            <w:tcW w:w="662" w:type="dxa"/>
            <w:vAlign w:val="center"/>
          </w:tcPr>
          <w:p>
            <w:pPr>
              <w:pStyle w:val="73"/>
              <w:ind w:right="230"/>
              <w:jc w:val="center"/>
              <w:rPr>
                <w:kern w:val="2"/>
              </w:rPr>
            </w:pPr>
            <w:r>
              <w:rPr>
                <w:rFonts w:hint="eastAsia"/>
                <w:kern w:val="2"/>
              </w:rPr>
              <w:t>15</w:t>
            </w:r>
          </w:p>
        </w:tc>
        <w:tc>
          <w:tcPr>
            <w:tcW w:w="2238" w:type="dxa"/>
            <w:vAlign w:val="center"/>
          </w:tcPr>
          <w:p>
            <w:pPr>
              <w:spacing w:line="300" w:lineRule="exact"/>
              <w:jc w:val="center"/>
              <w:rPr>
                <w:rFonts w:hAnsi="宋体" w:cs="宋体"/>
                <w:sz w:val="24"/>
                <w:szCs w:val="24"/>
                <w:lang w:val="zh-CN"/>
              </w:rPr>
            </w:pPr>
            <w:r>
              <w:rPr>
                <w:rFonts w:hint="eastAsia" w:hAnsi="宋体" w:cs="宋体"/>
                <w:sz w:val="24"/>
                <w:szCs w:val="24"/>
                <w:lang w:val="zh-CN"/>
              </w:rPr>
              <w:t>磋商保证金</w:t>
            </w:r>
          </w:p>
        </w:tc>
        <w:tc>
          <w:tcPr>
            <w:tcW w:w="7018" w:type="dxa"/>
            <w:vAlign w:val="center"/>
          </w:tcPr>
          <w:p>
            <w:pPr>
              <w:spacing w:line="300" w:lineRule="exact"/>
              <w:ind w:firstLine="480" w:firstLineChars="200"/>
              <w:rPr>
                <w:rFonts w:hAnsi="宋体" w:cs="宋体"/>
                <w:sz w:val="24"/>
                <w:szCs w:val="24"/>
                <w:lang w:val="zh-CN"/>
              </w:rPr>
            </w:pPr>
            <w:r>
              <w:rPr>
                <w:rFonts w:hint="eastAsia" w:hAnsi="宋体" w:cs="宋体"/>
                <w:sz w:val="24"/>
                <w:szCs w:val="24"/>
                <w:lang w:val="zh-CN"/>
              </w:rPr>
              <w:t>本项目不收取磋商保证金。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4" w:hRule="atLeast"/>
          <w:jc w:val="center"/>
        </w:trPr>
        <w:tc>
          <w:tcPr>
            <w:tcW w:w="662" w:type="dxa"/>
            <w:vAlign w:val="center"/>
          </w:tcPr>
          <w:p>
            <w:pPr>
              <w:spacing w:line="0" w:lineRule="atLeast"/>
              <w:ind w:right="264"/>
              <w:jc w:val="center"/>
              <w:rPr>
                <w:rFonts w:hAnsi="宋体" w:cs="宋体"/>
                <w:kern w:val="2"/>
                <w:sz w:val="24"/>
                <w:szCs w:val="24"/>
              </w:rPr>
            </w:pPr>
            <w:r>
              <w:rPr>
                <w:rFonts w:hint="eastAsia" w:hAnsi="宋体" w:cs="宋体"/>
                <w:kern w:val="2"/>
                <w:sz w:val="24"/>
                <w:szCs w:val="24"/>
              </w:rPr>
              <w:t>16</w:t>
            </w:r>
          </w:p>
        </w:tc>
        <w:tc>
          <w:tcPr>
            <w:tcW w:w="2238" w:type="dxa"/>
            <w:vAlign w:val="center"/>
          </w:tcPr>
          <w:p>
            <w:pPr>
              <w:spacing w:line="300" w:lineRule="exact"/>
              <w:jc w:val="center"/>
              <w:rPr>
                <w:rFonts w:hAnsi="宋体" w:cs="宋体"/>
                <w:sz w:val="24"/>
                <w:szCs w:val="24"/>
                <w:lang w:val="zh-CN"/>
              </w:rPr>
            </w:pPr>
            <w:r>
              <w:rPr>
                <w:rFonts w:hint="eastAsia" w:hAnsi="宋体" w:cs="宋体"/>
                <w:sz w:val="24"/>
                <w:szCs w:val="24"/>
                <w:lang w:val="zh-CN"/>
              </w:rPr>
              <w:t>履约保证金</w:t>
            </w:r>
          </w:p>
        </w:tc>
        <w:tc>
          <w:tcPr>
            <w:tcW w:w="7018" w:type="dxa"/>
            <w:vAlign w:val="center"/>
          </w:tcPr>
          <w:p>
            <w:pPr>
              <w:spacing w:line="300" w:lineRule="exact"/>
              <w:ind w:firstLine="480" w:firstLineChars="200"/>
              <w:rPr>
                <w:rFonts w:hAnsi="宋体" w:cs="宋体"/>
                <w:sz w:val="24"/>
                <w:szCs w:val="24"/>
                <w:lang w:val="zh-CN"/>
              </w:rPr>
            </w:pPr>
            <w:r>
              <w:rPr>
                <w:rFonts w:hint="eastAsia" w:hAnsi="宋体" w:cs="宋体"/>
                <w:sz w:val="24"/>
                <w:szCs w:val="24"/>
                <w:lang w:val="zh-CN"/>
              </w:rPr>
              <w:t>本项目不要求履约保证金。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9" w:hRule="atLeast"/>
          <w:jc w:val="center"/>
        </w:trPr>
        <w:tc>
          <w:tcPr>
            <w:tcW w:w="662" w:type="dxa"/>
            <w:vAlign w:val="center"/>
          </w:tcPr>
          <w:p>
            <w:pPr>
              <w:spacing w:line="0" w:lineRule="atLeast"/>
              <w:ind w:right="264"/>
              <w:jc w:val="center"/>
              <w:rPr>
                <w:rFonts w:hAnsi="宋体" w:cs="宋体"/>
                <w:kern w:val="2"/>
                <w:sz w:val="24"/>
                <w:szCs w:val="24"/>
              </w:rPr>
            </w:pPr>
            <w:r>
              <w:rPr>
                <w:rFonts w:hint="eastAsia" w:hAnsi="宋体" w:cs="宋体"/>
                <w:sz w:val="24"/>
                <w:szCs w:val="24"/>
              </w:rPr>
              <w:t>17</w:t>
            </w:r>
          </w:p>
        </w:tc>
        <w:tc>
          <w:tcPr>
            <w:tcW w:w="2238" w:type="dxa"/>
            <w:vAlign w:val="center"/>
          </w:tcPr>
          <w:p>
            <w:pPr>
              <w:spacing w:line="300" w:lineRule="exact"/>
              <w:jc w:val="center"/>
              <w:rPr>
                <w:rFonts w:hAnsi="宋体" w:cs="宋体"/>
                <w:sz w:val="24"/>
                <w:szCs w:val="24"/>
                <w:lang w:val="zh-CN"/>
              </w:rPr>
            </w:pPr>
            <w:r>
              <w:rPr>
                <w:rFonts w:hint="eastAsia" w:hAnsi="宋体" w:cs="宋体"/>
                <w:sz w:val="24"/>
                <w:szCs w:val="24"/>
                <w:lang w:val="zh-CN"/>
              </w:rPr>
              <w:t>失信企业扣分</w:t>
            </w:r>
          </w:p>
          <w:p>
            <w:pPr>
              <w:spacing w:line="300" w:lineRule="exact"/>
              <w:jc w:val="center"/>
              <w:rPr>
                <w:rFonts w:hAnsi="宋体" w:cs="宋体"/>
                <w:sz w:val="24"/>
                <w:szCs w:val="24"/>
                <w:lang w:val="zh-CN"/>
              </w:rPr>
            </w:pPr>
            <w:r>
              <w:rPr>
                <w:rFonts w:hint="eastAsia" w:hAnsi="宋体" w:cs="宋体"/>
                <w:sz w:val="24"/>
                <w:szCs w:val="24"/>
                <w:lang w:val="zh-CN"/>
              </w:rPr>
              <w:t>（实质性要求）</w:t>
            </w:r>
          </w:p>
        </w:tc>
        <w:tc>
          <w:tcPr>
            <w:tcW w:w="7018" w:type="dxa"/>
            <w:vAlign w:val="center"/>
          </w:tcPr>
          <w:p>
            <w:pPr>
              <w:spacing w:line="300" w:lineRule="exact"/>
              <w:ind w:firstLine="480" w:firstLineChars="200"/>
              <w:rPr>
                <w:rFonts w:hAnsi="宋体" w:cs="宋体"/>
                <w:sz w:val="24"/>
                <w:szCs w:val="24"/>
                <w:lang w:val="zh-CN"/>
              </w:rPr>
            </w:pPr>
            <w:r>
              <w:rPr>
                <w:rFonts w:hint="eastAsia" w:hAnsi="宋体" w:cs="宋体"/>
                <w:sz w:val="24"/>
                <w:szCs w:val="24"/>
                <w:lang w:val="zh-CN"/>
              </w:rPr>
              <w:t>失信企业扣分</w:t>
            </w:r>
          </w:p>
          <w:p>
            <w:pPr>
              <w:spacing w:line="300" w:lineRule="exact"/>
              <w:ind w:firstLine="480" w:firstLineChars="200"/>
              <w:rPr>
                <w:rFonts w:hAnsi="宋体" w:cs="宋体"/>
                <w:sz w:val="24"/>
                <w:szCs w:val="24"/>
                <w:lang w:val="zh-CN"/>
              </w:rPr>
            </w:pPr>
            <w:r>
              <w:rPr>
                <w:rFonts w:hint="eastAsia" w:hAnsi="宋体" w:cs="宋体"/>
                <w:sz w:val="24"/>
                <w:szCs w:val="24"/>
                <w:lang w:val="zh-CN"/>
              </w:rPr>
              <w:t>1、对记入诚信档案的且在有效期内的失信竞磋人，在参加采购活动中实行直接从总分中扣除</w:t>
            </w:r>
            <w:r>
              <w:rPr>
                <w:rFonts w:hint="eastAsia" w:hAnsi="宋体" w:cs="宋体"/>
                <w:sz w:val="24"/>
                <w:szCs w:val="24"/>
              </w:rPr>
              <w:t>3</w:t>
            </w:r>
            <w:r>
              <w:rPr>
                <w:rFonts w:hint="eastAsia" w:hAnsi="宋体" w:cs="宋体"/>
                <w:sz w:val="24"/>
                <w:szCs w:val="24"/>
                <w:lang w:val="zh-CN"/>
              </w:rPr>
              <w:t>分，且竞磋人失信行为惩戒实行无限制累加制，直至总分扣完为止。</w:t>
            </w:r>
          </w:p>
          <w:p>
            <w:pPr>
              <w:spacing w:line="300" w:lineRule="exact"/>
              <w:ind w:firstLine="480" w:firstLineChars="200"/>
              <w:rPr>
                <w:rFonts w:hAnsi="宋体" w:cs="宋体"/>
                <w:sz w:val="24"/>
                <w:szCs w:val="24"/>
                <w:lang w:val="zh-CN"/>
              </w:rPr>
            </w:pPr>
            <w:r>
              <w:rPr>
                <w:rFonts w:hint="eastAsia" w:hAnsi="宋体" w:cs="宋体"/>
                <w:sz w:val="24"/>
                <w:szCs w:val="24"/>
                <w:lang w:val="zh-CN"/>
              </w:rPr>
              <w:t>2、竞磋人参加采购活动时，应当就自己的诚信情况在响应文件中进行承诺。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62" w:type="dxa"/>
            <w:vAlign w:val="center"/>
          </w:tcPr>
          <w:p>
            <w:pPr>
              <w:pStyle w:val="73"/>
              <w:ind w:right="230"/>
              <w:jc w:val="center"/>
              <w:rPr>
                <w:kern w:val="2"/>
              </w:rPr>
            </w:pPr>
            <w:r>
              <w:rPr>
                <w:rFonts w:hint="eastAsia"/>
                <w:kern w:val="2"/>
              </w:rPr>
              <w:t>18</w:t>
            </w:r>
          </w:p>
        </w:tc>
        <w:tc>
          <w:tcPr>
            <w:tcW w:w="2238" w:type="dxa"/>
            <w:tcBorders>
              <w:top w:val="single" w:color="auto" w:sz="4" w:space="0"/>
            </w:tcBorders>
            <w:vAlign w:val="center"/>
          </w:tcPr>
          <w:p>
            <w:pPr>
              <w:pStyle w:val="73"/>
              <w:jc w:val="center"/>
            </w:pPr>
          </w:p>
          <w:p>
            <w:pPr>
              <w:pStyle w:val="73"/>
              <w:jc w:val="center"/>
              <w:rPr>
                <w:lang w:val="zh-CN"/>
              </w:rPr>
            </w:pPr>
          </w:p>
          <w:p>
            <w:pPr>
              <w:pStyle w:val="73"/>
              <w:jc w:val="center"/>
              <w:rPr>
                <w:lang w:val="zh-CN"/>
              </w:rPr>
            </w:pPr>
            <w:r>
              <w:rPr>
                <w:rFonts w:hint="eastAsia"/>
                <w:lang w:val="zh-CN"/>
              </w:rPr>
              <w:t>供应商投诉</w:t>
            </w:r>
          </w:p>
        </w:tc>
        <w:tc>
          <w:tcPr>
            <w:tcW w:w="7018" w:type="dxa"/>
            <w:tcBorders>
              <w:top w:val="single" w:color="auto" w:sz="4" w:space="0"/>
            </w:tcBorders>
            <w:vAlign w:val="center"/>
          </w:tcPr>
          <w:p>
            <w:pPr>
              <w:spacing w:line="300" w:lineRule="exact"/>
              <w:ind w:firstLine="480" w:firstLineChars="200"/>
              <w:rPr>
                <w:rFonts w:hAnsi="宋体" w:cs="宋体"/>
                <w:color w:val="FF0000"/>
                <w:sz w:val="24"/>
                <w:szCs w:val="24"/>
                <w:lang w:val="zh-CN"/>
              </w:rPr>
            </w:pPr>
            <w:r>
              <w:rPr>
                <w:rFonts w:hint="eastAsia" w:hAnsi="宋体" w:cs="宋体"/>
                <w:color w:val="FF0000"/>
                <w:sz w:val="24"/>
                <w:szCs w:val="24"/>
                <w:lang w:val="zh-CN"/>
              </w:rPr>
              <w:t>投诉受理单位：本项目同级财政部门，即</w:t>
            </w:r>
            <w:r>
              <w:rPr>
                <w:rFonts w:hint="eastAsia" w:hAnsi="宋体" w:cs="宋体"/>
                <w:color w:val="FF0000"/>
                <w:sz w:val="24"/>
                <w:szCs w:val="24"/>
              </w:rPr>
              <w:t>朝天区</w:t>
            </w:r>
            <w:r>
              <w:rPr>
                <w:rFonts w:hint="eastAsia" w:hAnsi="宋体" w:cs="宋体"/>
                <w:color w:val="FF0000"/>
                <w:sz w:val="24"/>
                <w:szCs w:val="24"/>
                <w:lang w:val="zh-CN"/>
              </w:rPr>
              <w:t>财政局。</w:t>
            </w:r>
          </w:p>
          <w:p>
            <w:pPr>
              <w:spacing w:line="300" w:lineRule="exact"/>
              <w:ind w:firstLine="482" w:firstLineChars="200"/>
              <w:rPr>
                <w:rFonts w:hAnsi="宋体" w:cs="宋体"/>
                <w:b/>
                <w:bCs/>
                <w:color w:val="FF0000"/>
                <w:sz w:val="24"/>
                <w:szCs w:val="24"/>
                <w:lang w:val="zh-CN"/>
              </w:rPr>
            </w:pPr>
            <w:r>
              <w:rPr>
                <w:rFonts w:hint="eastAsia" w:hAnsi="宋体" w:cs="宋体"/>
                <w:b/>
                <w:bCs/>
                <w:color w:val="FF0000"/>
                <w:sz w:val="24"/>
                <w:szCs w:val="24"/>
                <w:lang w:val="zh-CN"/>
              </w:rPr>
              <w:t>联系电话：08</w:t>
            </w:r>
            <w:r>
              <w:rPr>
                <w:rFonts w:hint="eastAsia" w:hAnsi="宋体" w:cs="宋体"/>
                <w:b/>
                <w:bCs/>
                <w:color w:val="FF0000"/>
                <w:sz w:val="24"/>
                <w:szCs w:val="24"/>
              </w:rPr>
              <w:t>39</w:t>
            </w:r>
            <w:r>
              <w:rPr>
                <w:rFonts w:hint="eastAsia" w:hAnsi="宋体" w:cs="宋体"/>
                <w:b/>
                <w:bCs/>
                <w:color w:val="FF0000"/>
                <w:sz w:val="24"/>
                <w:szCs w:val="24"/>
                <w:lang w:val="zh-CN"/>
              </w:rPr>
              <w:t>-</w:t>
            </w:r>
            <w:r>
              <w:rPr>
                <w:rFonts w:hint="eastAsia" w:hAnsi="宋体" w:cs="宋体"/>
                <w:b/>
                <w:bCs/>
                <w:color w:val="FF0000"/>
                <w:sz w:val="24"/>
                <w:szCs w:val="24"/>
                <w:lang w:val="en-US" w:eastAsia="zh-CN"/>
              </w:rPr>
              <w:t>8622401</w:t>
            </w:r>
            <w:r>
              <w:rPr>
                <w:rFonts w:hint="eastAsia" w:hAnsi="宋体" w:cs="宋体"/>
                <w:b/>
                <w:bCs/>
                <w:color w:val="FF0000"/>
                <w:sz w:val="24"/>
                <w:szCs w:val="24"/>
                <w:lang w:val="zh-CN"/>
              </w:rPr>
              <w:t>；</w:t>
            </w:r>
          </w:p>
          <w:p>
            <w:pPr>
              <w:spacing w:line="300" w:lineRule="exact"/>
              <w:ind w:firstLine="480" w:firstLineChars="200"/>
              <w:rPr>
                <w:rFonts w:hAnsi="宋体" w:cs="宋体"/>
                <w:color w:val="FF0000"/>
                <w:sz w:val="24"/>
                <w:szCs w:val="24"/>
                <w:lang w:val="zh-CN"/>
              </w:rPr>
            </w:pPr>
            <w:r>
              <w:rPr>
                <w:rFonts w:hint="eastAsia" w:hAnsi="宋体" w:cs="宋体"/>
                <w:color w:val="FF0000"/>
                <w:sz w:val="24"/>
                <w:szCs w:val="24"/>
                <w:lang w:val="zh-CN"/>
              </w:rPr>
              <w:t>地    址：</w:t>
            </w:r>
            <w:r>
              <w:rPr>
                <w:rFonts w:hint="eastAsia" w:hAnsi="宋体" w:cs="宋体"/>
                <w:color w:val="FF0000"/>
                <w:sz w:val="24"/>
                <w:szCs w:val="24"/>
              </w:rPr>
              <w:t>朝天区</w:t>
            </w:r>
            <w:r>
              <w:rPr>
                <w:rFonts w:hint="eastAsia" w:hAnsi="宋体" w:cs="宋体"/>
                <w:color w:val="FF0000"/>
                <w:sz w:val="24"/>
                <w:szCs w:val="24"/>
                <w:lang w:val="zh-CN"/>
              </w:rPr>
              <w:t>财政局；</w:t>
            </w:r>
          </w:p>
          <w:p>
            <w:pPr>
              <w:spacing w:line="300" w:lineRule="exact"/>
              <w:ind w:firstLine="480" w:firstLineChars="200"/>
              <w:rPr>
                <w:rFonts w:hAnsi="宋体" w:cs="宋体"/>
                <w:color w:val="FF0000"/>
                <w:sz w:val="24"/>
                <w:szCs w:val="24"/>
                <w:lang w:val="zh-CN"/>
              </w:rPr>
            </w:pPr>
            <w:r>
              <w:rPr>
                <w:rFonts w:hint="eastAsia" w:hAnsi="宋体" w:cs="宋体"/>
                <w:color w:val="FF0000"/>
                <w:sz w:val="24"/>
                <w:szCs w:val="24"/>
                <w:lang w:val="zh-CN"/>
              </w:rPr>
              <w:t>注：根据《政府采购质疑和投诉办法》 (财政部第 94 号令)</w:t>
            </w:r>
          </w:p>
          <w:p>
            <w:pPr>
              <w:spacing w:line="300" w:lineRule="exact"/>
              <w:ind w:firstLine="480" w:firstLineChars="200"/>
              <w:rPr>
                <w:rFonts w:hAnsi="宋体" w:cs="宋体"/>
                <w:sz w:val="24"/>
                <w:szCs w:val="24"/>
                <w:lang w:val="zh-CN"/>
              </w:rPr>
            </w:pPr>
            <w:r>
              <w:rPr>
                <w:rFonts w:hint="eastAsia" w:hAnsi="宋体" w:cs="宋体"/>
                <w:color w:val="FF0000"/>
                <w:sz w:val="24"/>
                <w:szCs w:val="24"/>
                <w:lang w:val="zh-CN"/>
              </w:rPr>
              <w:t>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7" w:hRule="atLeast"/>
          <w:jc w:val="center"/>
        </w:trPr>
        <w:tc>
          <w:tcPr>
            <w:tcW w:w="662" w:type="dxa"/>
            <w:tcBorders>
              <w:top w:val="single" w:color="auto" w:sz="4" w:space="0"/>
            </w:tcBorders>
            <w:vAlign w:val="center"/>
          </w:tcPr>
          <w:p>
            <w:pPr>
              <w:pStyle w:val="73"/>
              <w:spacing w:before="72" w:after="72"/>
              <w:ind w:right="264"/>
              <w:jc w:val="center"/>
            </w:pPr>
            <w:r>
              <w:rPr>
                <w:rFonts w:hint="eastAsia"/>
              </w:rPr>
              <w:t>19</w:t>
            </w:r>
          </w:p>
        </w:tc>
        <w:tc>
          <w:tcPr>
            <w:tcW w:w="2238" w:type="dxa"/>
            <w:tcBorders>
              <w:top w:val="single" w:color="auto" w:sz="4" w:space="0"/>
            </w:tcBorders>
            <w:vAlign w:val="center"/>
          </w:tcPr>
          <w:p>
            <w:pPr>
              <w:pStyle w:val="73"/>
              <w:jc w:val="center"/>
            </w:pPr>
            <w:r>
              <w:rPr>
                <w:rFonts w:hint="eastAsia"/>
                <w:lang w:val="zh-CN"/>
              </w:rPr>
              <w:t>合同分包</w:t>
            </w:r>
          </w:p>
        </w:tc>
        <w:tc>
          <w:tcPr>
            <w:tcW w:w="7018" w:type="dxa"/>
            <w:tcBorders>
              <w:top w:val="single" w:color="auto" w:sz="4" w:space="0"/>
            </w:tcBorders>
            <w:vAlign w:val="center"/>
          </w:tcPr>
          <w:p>
            <w:pPr>
              <w:pStyle w:val="73"/>
              <w:tabs>
                <w:tab w:val="left" w:pos="700"/>
              </w:tabs>
              <w:spacing w:line="0" w:lineRule="atLeast"/>
              <w:ind w:left="170" w:leftChars="50" w:right="170" w:rightChars="50" w:firstLine="120" w:firstLineChars="50"/>
              <w:rPr>
                <w:lang w:val="zh-CN"/>
              </w:rPr>
            </w:pPr>
            <w:r>
              <w:rPr>
                <w:rFonts w:hint="eastAsia"/>
              </w:rPr>
              <w:t>（ √ ）不允许      （  ）允许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2" w:hRule="atLeast"/>
          <w:jc w:val="center"/>
        </w:trPr>
        <w:tc>
          <w:tcPr>
            <w:tcW w:w="662" w:type="dxa"/>
            <w:tcBorders>
              <w:top w:val="single" w:color="auto" w:sz="4" w:space="0"/>
            </w:tcBorders>
            <w:vAlign w:val="center"/>
          </w:tcPr>
          <w:p>
            <w:pPr>
              <w:spacing w:line="168" w:lineRule="auto"/>
              <w:jc w:val="left"/>
              <w:rPr>
                <w:rFonts w:hAnsi="宋体" w:cs="宋体"/>
                <w:sz w:val="24"/>
                <w:szCs w:val="24"/>
              </w:rPr>
            </w:pPr>
            <w:r>
              <w:rPr>
                <w:rFonts w:hint="eastAsia" w:hAnsi="宋体" w:cs="宋体"/>
                <w:sz w:val="24"/>
                <w:szCs w:val="24"/>
              </w:rPr>
              <w:t>20</w:t>
            </w:r>
          </w:p>
        </w:tc>
        <w:tc>
          <w:tcPr>
            <w:tcW w:w="2238" w:type="dxa"/>
            <w:tcBorders>
              <w:top w:val="single" w:color="auto" w:sz="4" w:space="0"/>
            </w:tcBorders>
            <w:vAlign w:val="center"/>
          </w:tcPr>
          <w:p>
            <w:pPr>
              <w:pStyle w:val="73"/>
              <w:jc w:val="center"/>
            </w:pPr>
            <w:r>
              <w:rPr>
                <w:rFonts w:hint="eastAsia"/>
              </w:rPr>
              <w:t>供应商询问的对象</w:t>
            </w:r>
          </w:p>
        </w:tc>
        <w:tc>
          <w:tcPr>
            <w:tcW w:w="7018" w:type="dxa"/>
            <w:tcBorders>
              <w:top w:val="single" w:color="auto" w:sz="4" w:space="0"/>
            </w:tcBorders>
            <w:vAlign w:val="center"/>
          </w:tcPr>
          <w:p>
            <w:pPr>
              <w:rPr>
                <w:rFonts w:hAnsi="宋体" w:cs="宋体"/>
                <w:sz w:val="24"/>
                <w:szCs w:val="24"/>
              </w:rPr>
            </w:pPr>
            <w:r>
              <w:rPr>
                <w:rFonts w:hint="eastAsia" w:hAnsi="宋体" w:cs="宋体"/>
                <w:sz w:val="24"/>
                <w:szCs w:val="24"/>
              </w:rPr>
              <w:t>1.供应商对</w:t>
            </w:r>
            <w:r>
              <w:rPr>
                <w:rFonts w:hint="eastAsia" w:hAnsi="宋体" w:cs="宋体"/>
                <w:sz w:val="24"/>
                <w:szCs w:val="24"/>
                <w:lang w:val="zh-CN"/>
              </w:rPr>
              <w:t>磋商</w:t>
            </w:r>
            <w:r>
              <w:rPr>
                <w:rFonts w:hint="eastAsia" w:hAnsi="宋体" w:cs="宋体"/>
                <w:sz w:val="24"/>
                <w:szCs w:val="24"/>
              </w:rPr>
              <w:t>文件中供应商参加本次采购活动应当具备的条件和</w:t>
            </w:r>
            <w:r>
              <w:rPr>
                <w:rFonts w:hint="eastAsia" w:hAnsi="宋体" w:cs="宋体"/>
                <w:sz w:val="24"/>
                <w:szCs w:val="24"/>
                <w:lang w:val="zh-CN"/>
              </w:rPr>
              <w:t>磋商</w:t>
            </w:r>
            <w:r>
              <w:rPr>
                <w:rFonts w:hint="eastAsia" w:hAnsi="宋体" w:cs="宋体"/>
                <w:sz w:val="24"/>
                <w:szCs w:val="24"/>
              </w:rPr>
              <w:t>项目技术、商务及其他要求，评标细则、标准提出询问的，应向采购人提出；</w:t>
            </w:r>
          </w:p>
          <w:p>
            <w:pPr>
              <w:rPr>
                <w:rFonts w:hAnsi="宋体" w:cs="宋体"/>
                <w:sz w:val="24"/>
                <w:szCs w:val="24"/>
              </w:rPr>
            </w:pPr>
            <w:r>
              <w:rPr>
                <w:rFonts w:hint="eastAsia" w:hAnsi="宋体" w:cs="宋体"/>
                <w:sz w:val="24"/>
                <w:szCs w:val="24"/>
              </w:rPr>
              <w:t>2.供应商对除上述</w:t>
            </w:r>
            <w:r>
              <w:rPr>
                <w:rFonts w:hint="eastAsia" w:hAnsi="宋体" w:cs="宋体"/>
                <w:sz w:val="24"/>
                <w:szCs w:val="24"/>
                <w:lang w:val="zh-CN"/>
              </w:rPr>
              <w:t>磋商</w:t>
            </w:r>
            <w:r>
              <w:rPr>
                <w:rFonts w:hint="eastAsia" w:hAnsi="宋体" w:cs="宋体"/>
                <w:sz w:val="24"/>
                <w:szCs w:val="24"/>
              </w:rPr>
              <w:t>文件中的其他内容、采购过程及成交结果提出询问的，应向采购单位提出。（具体联系方式详见第一章)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71" w:hRule="atLeast"/>
          <w:jc w:val="center"/>
        </w:trPr>
        <w:tc>
          <w:tcPr>
            <w:tcW w:w="662" w:type="dxa"/>
            <w:tcBorders>
              <w:top w:val="single" w:color="auto" w:sz="4" w:space="0"/>
            </w:tcBorders>
            <w:vAlign w:val="center"/>
          </w:tcPr>
          <w:p>
            <w:pPr>
              <w:pStyle w:val="73"/>
              <w:spacing w:line="480" w:lineRule="exact"/>
              <w:ind w:right="264"/>
              <w:jc w:val="center"/>
            </w:pPr>
            <w:r>
              <w:rPr>
                <w:rFonts w:hint="eastAsia"/>
              </w:rPr>
              <w:t>21</w:t>
            </w:r>
          </w:p>
        </w:tc>
        <w:tc>
          <w:tcPr>
            <w:tcW w:w="2238" w:type="dxa"/>
            <w:vAlign w:val="center"/>
          </w:tcPr>
          <w:p>
            <w:pPr>
              <w:pStyle w:val="19"/>
              <w:tabs>
                <w:tab w:val="left" w:pos="1134"/>
              </w:tabs>
              <w:spacing w:line="480" w:lineRule="exact"/>
              <w:ind w:left="0" w:leftChars="0"/>
              <w:jc w:val="center"/>
              <w:rPr>
                <w:rFonts w:ascii="宋体" w:hAnsi="宋体" w:cs="宋体"/>
                <w:sz w:val="24"/>
              </w:rPr>
            </w:pPr>
            <w:r>
              <w:rPr>
                <w:rFonts w:hint="eastAsia" w:ascii="宋体" w:hAnsi="宋体" w:cs="宋体"/>
                <w:sz w:val="24"/>
              </w:rPr>
              <w:t>成交通知书领取</w:t>
            </w:r>
          </w:p>
        </w:tc>
        <w:tc>
          <w:tcPr>
            <w:tcW w:w="7018" w:type="dxa"/>
            <w:vAlign w:val="center"/>
          </w:tcPr>
          <w:p>
            <w:pPr>
              <w:pStyle w:val="19"/>
              <w:tabs>
                <w:tab w:val="left" w:pos="1134"/>
              </w:tabs>
              <w:spacing w:line="480" w:lineRule="exact"/>
              <w:ind w:left="0" w:leftChars="0"/>
              <w:jc w:val="left"/>
              <w:rPr>
                <w:rFonts w:ascii="宋体" w:hAnsi="宋体" w:cs="宋体"/>
                <w:sz w:val="24"/>
              </w:rPr>
            </w:pPr>
            <w:r>
              <w:rPr>
                <w:rFonts w:hint="eastAsia" w:ascii="宋体" w:hAnsi="宋体" w:cs="宋体"/>
                <w:sz w:val="24"/>
              </w:rPr>
              <w:t>采购结果公告发布后，请成交供应商凭有效身份证明证件领取成交通知书。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662" w:type="dxa"/>
            <w:vAlign w:val="center"/>
          </w:tcPr>
          <w:p>
            <w:pPr>
              <w:pStyle w:val="73"/>
              <w:ind w:right="264"/>
              <w:jc w:val="center"/>
            </w:pPr>
            <w:r>
              <w:rPr>
                <w:rFonts w:hint="eastAsia"/>
              </w:rPr>
              <w:t>22</w:t>
            </w:r>
          </w:p>
        </w:tc>
        <w:tc>
          <w:tcPr>
            <w:tcW w:w="2238" w:type="dxa"/>
            <w:tcBorders>
              <w:right w:val="single" w:color="auto" w:sz="4" w:space="0"/>
            </w:tcBorders>
            <w:vAlign w:val="center"/>
          </w:tcPr>
          <w:p>
            <w:pPr>
              <w:pStyle w:val="73"/>
              <w:jc w:val="center"/>
            </w:pPr>
            <w:r>
              <w:rPr>
                <w:rFonts w:hint="eastAsia"/>
              </w:rPr>
              <w:t>磋商代理服务费</w:t>
            </w:r>
          </w:p>
        </w:tc>
        <w:tc>
          <w:tcPr>
            <w:tcW w:w="7018" w:type="dxa"/>
            <w:tcBorders>
              <w:left w:val="single" w:color="auto" w:sz="4" w:space="0"/>
            </w:tcBorders>
            <w:vAlign w:val="center"/>
          </w:tcPr>
          <w:p>
            <w:pPr>
              <w:ind w:right="170" w:rightChars="50"/>
              <w:jc w:val="left"/>
              <w:rPr>
                <w:rFonts w:hAnsi="宋体" w:cs="宋体"/>
                <w:sz w:val="24"/>
                <w:szCs w:val="24"/>
              </w:rPr>
            </w:pPr>
            <w:r>
              <w:rPr>
                <w:rFonts w:hint="eastAsia" w:hAnsi="宋体" w:cs="宋体"/>
                <w:sz w:val="24"/>
                <w:szCs w:val="24"/>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0" w:hRule="atLeast"/>
          <w:jc w:val="center"/>
        </w:trPr>
        <w:tc>
          <w:tcPr>
            <w:tcW w:w="662" w:type="dxa"/>
            <w:tcBorders>
              <w:bottom w:val="single" w:color="auto" w:sz="4" w:space="0"/>
            </w:tcBorders>
            <w:vAlign w:val="center"/>
          </w:tcPr>
          <w:p>
            <w:pPr>
              <w:spacing w:line="168" w:lineRule="auto"/>
              <w:jc w:val="center"/>
              <w:rPr>
                <w:rFonts w:hAnsi="宋体" w:cs="宋体"/>
                <w:sz w:val="24"/>
                <w:szCs w:val="24"/>
              </w:rPr>
            </w:pPr>
            <w:r>
              <w:rPr>
                <w:rFonts w:hint="eastAsia" w:hAnsi="宋体" w:cs="宋体"/>
                <w:sz w:val="24"/>
                <w:szCs w:val="24"/>
              </w:rPr>
              <w:t>23</w:t>
            </w:r>
          </w:p>
        </w:tc>
        <w:tc>
          <w:tcPr>
            <w:tcW w:w="2238" w:type="dxa"/>
            <w:tcBorders>
              <w:bottom w:val="single" w:color="auto" w:sz="4" w:space="0"/>
              <w:right w:val="single" w:color="auto" w:sz="4" w:space="0"/>
            </w:tcBorders>
            <w:vAlign w:val="center"/>
          </w:tcPr>
          <w:p>
            <w:pPr>
              <w:pStyle w:val="73"/>
              <w:jc w:val="center"/>
            </w:pPr>
            <w:r>
              <w:rPr>
                <w:rFonts w:hint="eastAsia"/>
              </w:rPr>
              <w:t>合同签订地点</w:t>
            </w:r>
          </w:p>
        </w:tc>
        <w:tc>
          <w:tcPr>
            <w:tcW w:w="7018" w:type="dxa"/>
            <w:tcBorders>
              <w:left w:val="single" w:color="auto" w:sz="4" w:space="0"/>
              <w:bottom w:val="single" w:color="auto" w:sz="4" w:space="0"/>
            </w:tcBorders>
            <w:vAlign w:val="center"/>
          </w:tcPr>
          <w:p>
            <w:pPr>
              <w:pStyle w:val="73"/>
            </w:pPr>
            <w:r>
              <w:rPr>
                <w:rFonts w:hint="eastAsia"/>
              </w:rPr>
              <w:t>广元市自然资源局朝天区分局开发利用工作组办公室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0" w:hRule="atLeast"/>
          <w:jc w:val="center"/>
        </w:trPr>
        <w:tc>
          <w:tcPr>
            <w:tcW w:w="662" w:type="dxa"/>
            <w:tcBorders>
              <w:top w:val="single" w:color="auto" w:sz="4" w:space="0"/>
            </w:tcBorders>
            <w:vAlign w:val="center"/>
          </w:tcPr>
          <w:p>
            <w:pPr>
              <w:spacing w:line="168" w:lineRule="auto"/>
              <w:jc w:val="center"/>
              <w:rPr>
                <w:rFonts w:hAnsi="宋体" w:cs="宋体"/>
                <w:sz w:val="24"/>
                <w:szCs w:val="24"/>
              </w:rPr>
            </w:pPr>
            <w:r>
              <w:rPr>
                <w:rFonts w:hint="eastAsia" w:hAnsi="宋体" w:cs="宋体"/>
                <w:sz w:val="24"/>
                <w:szCs w:val="24"/>
              </w:rPr>
              <w:t>24</w:t>
            </w:r>
          </w:p>
        </w:tc>
        <w:tc>
          <w:tcPr>
            <w:tcW w:w="2238" w:type="dxa"/>
            <w:tcBorders>
              <w:top w:val="single" w:color="auto" w:sz="4" w:space="0"/>
              <w:right w:val="single" w:color="auto" w:sz="4" w:space="0"/>
            </w:tcBorders>
            <w:vAlign w:val="center"/>
          </w:tcPr>
          <w:p>
            <w:pPr>
              <w:pStyle w:val="73"/>
              <w:jc w:val="center"/>
            </w:pPr>
            <w:r>
              <w:rPr>
                <w:rFonts w:hint="eastAsia"/>
              </w:rPr>
              <w:t>合同签订、备案</w:t>
            </w:r>
          </w:p>
        </w:tc>
        <w:tc>
          <w:tcPr>
            <w:tcW w:w="7018" w:type="dxa"/>
            <w:tcBorders>
              <w:top w:val="single" w:color="auto" w:sz="4" w:space="0"/>
              <w:left w:val="single" w:color="auto" w:sz="4" w:space="0"/>
            </w:tcBorders>
            <w:vAlign w:val="center"/>
          </w:tcPr>
          <w:p>
            <w:pPr>
              <w:pStyle w:val="73"/>
            </w:pPr>
            <w:r>
              <w:rPr>
                <w:rFonts w:hint="eastAsia"/>
              </w:rPr>
              <w:t>在采购单位将成交结果公告后三个工作日签订的合同，并进行备案。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662" w:type="dxa"/>
            <w:vAlign w:val="center"/>
          </w:tcPr>
          <w:p>
            <w:pPr>
              <w:pStyle w:val="73"/>
              <w:ind w:right="264"/>
              <w:jc w:val="center"/>
            </w:pPr>
            <w:r>
              <w:rPr>
                <w:rFonts w:hint="eastAsia"/>
              </w:rPr>
              <w:t>25</w:t>
            </w:r>
          </w:p>
        </w:tc>
        <w:tc>
          <w:tcPr>
            <w:tcW w:w="2238" w:type="dxa"/>
            <w:tcBorders>
              <w:right w:val="single" w:color="auto" w:sz="4" w:space="0"/>
            </w:tcBorders>
            <w:vAlign w:val="center"/>
          </w:tcPr>
          <w:p>
            <w:pPr>
              <w:pStyle w:val="73"/>
              <w:jc w:val="center"/>
            </w:pPr>
            <w:r>
              <w:rPr>
                <w:rFonts w:hint="eastAsia"/>
                <w:lang w:val="zh-CN"/>
              </w:rPr>
              <w:t>响应文件份数</w:t>
            </w:r>
          </w:p>
        </w:tc>
        <w:tc>
          <w:tcPr>
            <w:tcW w:w="7018" w:type="dxa"/>
            <w:tcBorders>
              <w:left w:val="single" w:color="auto" w:sz="4" w:space="0"/>
            </w:tcBorders>
            <w:vAlign w:val="center"/>
          </w:tcPr>
          <w:p>
            <w:pPr>
              <w:pStyle w:val="73"/>
            </w:pPr>
            <w:r>
              <w:rPr>
                <w:rFonts w:hint="eastAsia"/>
                <w:lang w:val="zh-CN"/>
              </w:rPr>
              <w:t>响应文件正本1份、副本</w:t>
            </w:r>
            <w:r>
              <w:rPr>
                <w:rFonts w:hint="eastAsia"/>
                <w:lang w:val="en-US" w:eastAsia="zh-CN"/>
              </w:rPr>
              <w:t>2</w:t>
            </w:r>
            <w:r>
              <w:rPr>
                <w:rFonts w:hint="eastAsia"/>
                <w:lang w:val="zh-CN"/>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662" w:type="dxa"/>
            <w:vAlign w:val="center"/>
          </w:tcPr>
          <w:p>
            <w:pPr>
              <w:pStyle w:val="73"/>
              <w:ind w:right="264"/>
              <w:jc w:val="center"/>
              <w:rPr>
                <w:kern w:val="2"/>
              </w:rPr>
            </w:pPr>
            <w:r>
              <w:rPr>
                <w:rFonts w:hint="eastAsia"/>
                <w:kern w:val="2"/>
              </w:rPr>
              <w:t>26</w:t>
            </w:r>
          </w:p>
        </w:tc>
        <w:tc>
          <w:tcPr>
            <w:tcW w:w="2238" w:type="dxa"/>
            <w:tcBorders>
              <w:right w:val="single" w:color="auto" w:sz="4" w:space="0"/>
            </w:tcBorders>
            <w:vAlign w:val="center"/>
          </w:tcPr>
          <w:p>
            <w:pPr>
              <w:pStyle w:val="73"/>
              <w:jc w:val="center"/>
            </w:pPr>
            <w:r>
              <w:rPr>
                <w:rFonts w:hint="eastAsia"/>
              </w:rPr>
              <w:t>其他</w:t>
            </w:r>
          </w:p>
        </w:tc>
        <w:tc>
          <w:tcPr>
            <w:tcW w:w="7018" w:type="dxa"/>
            <w:tcBorders>
              <w:left w:val="single" w:color="auto" w:sz="4" w:space="0"/>
            </w:tcBorders>
            <w:vAlign w:val="center"/>
          </w:tcPr>
          <w:p>
            <w:pPr>
              <w:pStyle w:val="73"/>
            </w:pPr>
            <w:r>
              <w:rPr>
                <w:rFonts w:hint="eastAsia"/>
              </w:rPr>
              <w:t>无论磋商的结果如何，供应商自行承担所有与参加磋商有关</w:t>
            </w:r>
          </w:p>
          <w:p>
            <w:pPr>
              <w:pStyle w:val="73"/>
            </w:pPr>
            <w:r>
              <w:rPr>
                <w:rFonts w:hint="eastAsia"/>
              </w:rPr>
              <w:t>的全部费用。</w:t>
            </w:r>
          </w:p>
        </w:tc>
      </w:tr>
    </w:tbl>
    <w:p/>
    <w:p>
      <w:pPr>
        <w:pStyle w:val="12"/>
        <w:ind w:firstLine="680"/>
      </w:pPr>
    </w:p>
    <w:p>
      <w:pPr>
        <w:pStyle w:val="12"/>
        <w:ind w:firstLine="680"/>
      </w:pPr>
    </w:p>
    <w:p>
      <w:pPr>
        <w:pStyle w:val="12"/>
        <w:ind w:firstLine="680"/>
      </w:pPr>
    </w:p>
    <w:p>
      <w:pPr>
        <w:pStyle w:val="12"/>
        <w:ind w:firstLine="680"/>
      </w:pPr>
    </w:p>
    <w:p>
      <w:pPr>
        <w:pStyle w:val="12"/>
        <w:ind w:firstLine="680"/>
      </w:pPr>
    </w:p>
    <w:p>
      <w:pPr>
        <w:pStyle w:val="12"/>
        <w:ind w:firstLine="680"/>
      </w:pPr>
    </w:p>
    <w:p>
      <w:pPr>
        <w:pStyle w:val="12"/>
        <w:ind w:firstLine="680"/>
      </w:pPr>
    </w:p>
    <w:p>
      <w:pPr>
        <w:pStyle w:val="4"/>
      </w:pPr>
    </w:p>
    <w:p/>
    <w:p>
      <w:pPr>
        <w:pStyle w:val="2"/>
      </w:pPr>
    </w:p>
    <w:p/>
    <w:p>
      <w:pPr>
        <w:pStyle w:val="4"/>
        <w:spacing w:line="400" w:lineRule="exact"/>
        <w:jc w:val="center"/>
        <w:rPr>
          <w:rFonts w:ascii="黑体"/>
          <w:bCs w:val="0"/>
        </w:rPr>
      </w:pPr>
      <w:r>
        <w:rPr>
          <w:rFonts w:hint="eastAsia" w:ascii="黑体"/>
          <w:bCs w:val="0"/>
        </w:rPr>
        <w:t>二、总  则</w:t>
      </w:r>
    </w:p>
    <w:p>
      <w:pPr>
        <w:pStyle w:val="5"/>
        <w:spacing w:line="400" w:lineRule="exact"/>
        <w:ind w:firstLine="482" w:firstLineChars="200"/>
        <w:rPr>
          <w:sz w:val="24"/>
        </w:rPr>
      </w:pPr>
      <w:bookmarkStart w:id="13" w:name="_Toc183682342"/>
      <w:bookmarkStart w:id="14" w:name="_Toc183582205"/>
      <w:bookmarkStart w:id="15" w:name="_Toc217446034"/>
      <w:r>
        <w:rPr>
          <w:rFonts w:hint="eastAsia"/>
          <w:sz w:val="24"/>
        </w:rPr>
        <w:t>1.</w:t>
      </w:r>
      <w:bookmarkEnd w:id="13"/>
      <w:bookmarkEnd w:id="14"/>
      <w:r>
        <w:rPr>
          <w:rFonts w:hint="eastAsia"/>
        </w:rPr>
        <w:t xml:space="preserve"> </w:t>
      </w:r>
      <w:r>
        <w:rPr>
          <w:rFonts w:hint="eastAsia"/>
          <w:sz w:val="24"/>
          <w:szCs w:val="24"/>
        </w:rPr>
        <w:t>适用范围</w:t>
      </w:r>
      <w:bookmarkEnd w:id="15"/>
    </w:p>
    <w:p>
      <w:pPr>
        <w:tabs>
          <w:tab w:val="left" w:pos="7665"/>
        </w:tabs>
        <w:spacing w:line="400" w:lineRule="exact"/>
        <w:ind w:firstLine="480" w:firstLineChars="200"/>
        <w:rPr>
          <w:rFonts w:hAnsi="宋体" w:cs="宋体"/>
          <w:sz w:val="24"/>
          <w:szCs w:val="24"/>
        </w:rPr>
      </w:pPr>
      <w:r>
        <w:rPr>
          <w:rFonts w:hint="eastAsia"/>
          <w:sz w:val="24"/>
        </w:rPr>
        <w:t xml:space="preserve">1.1 </w:t>
      </w:r>
      <w:r>
        <w:rPr>
          <w:rFonts w:hint="eastAsia" w:hAnsi="宋体" w:cs="宋体"/>
          <w:sz w:val="24"/>
          <w:szCs w:val="24"/>
        </w:rPr>
        <w:t>本磋商文件仅适用于本次磋商采购项目。</w:t>
      </w:r>
    </w:p>
    <w:p>
      <w:pPr>
        <w:pStyle w:val="2"/>
        <w:rPr>
          <w:rFonts w:ascii="宋体" w:hAnsi="宋体" w:eastAsia="宋体" w:cs="宋体"/>
          <w:sz w:val="24"/>
          <w:szCs w:val="24"/>
        </w:rPr>
      </w:pPr>
      <w:r>
        <w:rPr>
          <w:rFonts w:hint="eastAsia" w:ascii="宋体" w:hAnsi="宋体" w:eastAsia="宋体" w:cs="宋体"/>
          <w:sz w:val="24"/>
          <w:szCs w:val="24"/>
        </w:rPr>
        <w:t xml:space="preserve">    1.2 本磋商文件的解释权归采购人所有。</w:t>
      </w:r>
    </w:p>
    <w:p>
      <w:pPr>
        <w:pStyle w:val="5"/>
        <w:spacing w:line="400" w:lineRule="exact"/>
        <w:ind w:firstLine="482" w:firstLineChars="200"/>
        <w:rPr>
          <w:sz w:val="24"/>
        </w:rPr>
      </w:pPr>
      <w:bookmarkStart w:id="16" w:name="_Toc183682343"/>
      <w:bookmarkStart w:id="17" w:name="_Toc183582206"/>
      <w:bookmarkStart w:id="18" w:name="_Toc217446035"/>
      <w:r>
        <w:rPr>
          <w:rFonts w:hint="eastAsia"/>
          <w:sz w:val="24"/>
        </w:rPr>
        <w:t xml:space="preserve">2. </w:t>
      </w:r>
      <w:bookmarkEnd w:id="16"/>
      <w:bookmarkEnd w:id="17"/>
      <w:r>
        <w:rPr>
          <w:rFonts w:hint="eastAsia"/>
          <w:sz w:val="24"/>
        </w:rPr>
        <w:t>有关</w:t>
      </w:r>
      <w:r>
        <w:rPr>
          <w:rFonts w:hint="eastAsia"/>
          <w:sz w:val="24"/>
          <w:szCs w:val="24"/>
        </w:rPr>
        <w:t>定义</w:t>
      </w:r>
      <w:bookmarkEnd w:id="18"/>
    </w:p>
    <w:p>
      <w:pPr>
        <w:tabs>
          <w:tab w:val="left" w:pos="7665"/>
        </w:tabs>
        <w:spacing w:line="400" w:lineRule="exact"/>
        <w:ind w:firstLine="480" w:firstLineChars="200"/>
        <w:rPr>
          <w:sz w:val="24"/>
        </w:rPr>
      </w:pPr>
      <w:r>
        <w:rPr>
          <w:rFonts w:hint="eastAsia"/>
          <w:sz w:val="24"/>
        </w:rPr>
        <w:t>2.1 “采购人”系指广元市自然资源局朝天区分局。</w:t>
      </w:r>
    </w:p>
    <w:p>
      <w:pPr>
        <w:tabs>
          <w:tab w:val="left" w:pos="7665"/>
        </w:tabs>
        <w:spacing w:line="400" w:lineRule="exact"/>
        <w:ind w:firstLine="480" w:firstLineChars="200"/>
        <w:rPr>
          <w:sz w:val="24"/>
        </w:rPr>
      </w:pPr>
      <w:r>
        <w:rPr>
          <w:rFonts w:hint="eastAsia"/>
          <w:sz w:val="24"/>
        </w:rPr>
        <w:t>2.2 “磋商采购单位”系指“采购人”的统称。</w:t>
      </w:r>
    </w:p>
    <w:p>
      <w:pPr>
        <w:tabs>
          <w:tab w:val="left" w:pos="7665"/>
        </w:tabs>
        <w:spacing w:line="400" w:lineRule="exact"/>
        <w:ind w:firstLine="480" w:firstLineChars="200"/>
        <w:rPr>
          <w:sz w:val="24"/>
        </w:rPr>
      </w:pPr>
      <w:r>
        <w:rPr>
          <w:rFonts w:hint="eastAsia"/>
          <w:sz w:val="24"/>
        </w:rPr>
        <w:t>2.3 “竞磋人”系指购买了</w:t>
      </w:r>
      <w:r>
        <w:rPr>
          <w:rFonts w:hint="eastAsia"/>
          <w:sz w:val="24"/>
          <w:szCs w:val="24"/>
          <w:lang w:val="zh-CN"/>
        </w:rPr>
        <w:t>磋商</w:t>
      </w:r>
      <w:r>
        <w:rPr>
          <w:rFonts w:hint="eastAsia"/>
          <w:sz w:val="24"/>
        </w:rPr>
        <w:t>文件拟参加</w:t>
      </w:r>
      <w:r>
        <w:rPr>
          <w:rFonts w:hint="eastAsia"/>
          <w:sz w:val="24"/>
          <w:szCs w:val="24"/>
          <w:lang w:val="zh-CN"/>
        </w:rPr>
        <w:t>磋商</w:t>
      </w:r>
      <w:r>
        <w:rPr>
          <w:rFonts w:hint="eastAsia"/>
          <w:sz w:val="24"/>
        </w:rPr>
        <w:t>并向采购人提供相应服务的供应商。</w:t>
      </w:r>
    </w:p>
    <w:p>
      <w:pPr>
        <w:tabs>
          <w:tab w:val="left" w:pos="7665"/>
        </w:tabs>
        <w:spacing w:line="400" w:lineRule="exact"/>
        <w:ind w:firstLine="480" w:firstLineChars="200"/>
        <w:rPr>
          <w:sz w:val="24"/>
        </w:rPr>
      </w:pPr>
      <w:r>
        <w:rPr>
          <w:rFonts w:hint="eastAsia"/>
          <w:sz w:val="24"/>
        </w:rPr>
        <w:t>2.4“成交人”系指成交供应商。</w:t>
      </w:r>
    </w:p>
    <w:p>
      <w:pPr>
        <w:tabs>
          <w:tab w:val="left" w:pos="7665"/>
        </w:tabs>
        <w:spacing w:line="400" w:lineRule="exact"/>
        <w:ind w:firstLine="480" w:firstLineChars="200"/>
        <w:rPr>
          <w:sz w:val="24"/>
        </w:rPr>
      </w:pPr>
      <w:r>
        <w:rPr>
          <w:rFonts w:hint="eastAsia"/>
          <w:sz w:val="24"/>
        </w:rPr>
        <w:t>2.5“磋商小组”系指本项目依法组建并承担评标工作的临时性评审组织。</w:t>
      </w:r>
    </w:p>
    <w:p>
      <w:pPr>
        <w:pStyle w:val="5"/>
        <w:spacing w:line="400" w:lineRule="exact"/>
        <w:ind w:firstLine="482" w:firstLineChars="200"/>
        <w:rPr>
          <w:sz w:val="24"/>
        </w:rPr>
      </w:pPr>
      <w:bookmarkStart w:id="19" w:name="_Toc217446036"/>
      <w:bookmarkStart w:id="20" w:name="_Toc183582207"/>
      <w:bookmarkStart w:id="21" w:name="_Toc183682344"/>
      <w:bookmarkStart w:id="22" w:name="_Toc217390843"/>
      <w:r>
        <w:rPr>
          <w:rFonts w:hint="eastAsia"/>
          <w:sz w:val="24"/>
        </w:rPr>
        <w:t>3. 合格</w:t>
      </w:r>
      <w:bookmarkEnd w:id="19"/>
      <w:bookmarkEnd w:id="20"/>
      <w:bookmarkEnd w:id="21"/>
      <w:bookmarkEnd w:id="22"/>
      <w:r>
        <w:rPr>
          <w:rFonts w:hint="eastAsia"/>
          <w:sz w:val="24"/>
        </w:rPr>
        <w:t>的供应商及竞磋产品</w:t>
      </w:r>
    </w:p>
    <w:p>
      <w:pPr>
        <w:tabs>
          <w:tab w:val="left" w:pos="7665"/>
        </w:tabs>
        <w:spacing w:line="400" w:lineRule="exact"/>
        <w:rPr>
          <w:sz w:val="24"/>
        </w:rPr>
      </w:pPr>
      <w:r>
        <w:rPr>
          <w:rFonts w:hint="eastAsia"/>
          <w:b/>
          <w:sz w:val="24"/>
        </w:rPr>
        <w:t xml:space="preserve">   </w:t>
      </w:r>
      <w:r>
        <w:rPr>
          <w:rFonts w:hint="eastAsia"/>
          <w:bCs/>
          <w:sz w:val="24"/>
        </w:rPr>
        <w:t xml:space="preserve"> 3.1</w:t>
      </w:r>
      <w:r>
        <w:rPr>
          <w:rFonts w:hint="eastAsia"/>
          <w:sz w:val="24"/>
        </w:rPr>
        <w:t>合格的供应商应具备以下条件：</w:t>
      </w:r>
    </w:p>
    <w:p>
      <w:pPr>
        <w:tabs>
          <w:tab w:val="left" w:pos="7665"/>
        </w:tabs>
        <w:spacing w:line="400" w:lineRule="exact"/>
        <w:ind w:firstLine="480" w:firstLineChars="200"/>
        <w:rPr>
          <w:spacing w:val="-4"/>
          <w:sz w:val="24"/>
        </w:rPr>
      </w:pPr>
      <w:r>
        <w:rPr>
          <w:rFonts w:hint="eastAsia"/>
          <w:sz w:val="24"/>
        </w:rPr>
        <w:t>（1）本</w:t>
      </w:r>
      <w:r>
        <w:rPr>
          <w:rFonts w:hint="eastAsia"/>
          <w:sz w:val="24"/>
          <w:szCs w:val="32"/>
          <w:lang w:val="zh-CN"/>
        </w:rPr>
        <w:t>磋商</w:t>
      </w:r>
      <w:r>
        <w:rPr>
          <w:rFonts w:hint="eastAsia"/>
          <w:sz w:val="24"/>
        </w:rPr>
        <w:t>文件规定的供应商资格条件</w:t>
      </w:r>
      <w:r>
        <w:rPr>
          <w:rFonts w:hint="eastAsia"/>
          <w:spacing w:val="-4"/>
          <w:sz w:val="24"/>
        </w:rPr>
        <w:t>；</w:t>
      </w:r>
    </w:p>
    <w:p>
      <w:pPr>
        <w:tabs>
          <w:tab w:val="left" w:pos="7665"/>
        </w:tabs>
        <w:spacing w:line="400" w:lineRule="exact"/>
        <w:rPr>
          <w:sz w:val="24"/>
        </w:rPr>
      </w:pPr>
      <w:r>
        <w:rPr>
          <w:rFonts w:hint="eastAsia"/>
          <w:sz w:val="24"/>
        </w:rPr>
        <w:t xml:space="preserve">    （2）遵守国家有关的法律、法规、规章和其他政策制度；</w:t>
      </w:r>
    </w:p>
    <w:p>
      <w:pPr>
        <w:numPr>
          <w:ilvl w:val="0"/>
          <w:numId w:val="6"/>
        </w:numPr>
        <w:tabs>
          <w:tab w:val="left" w:pos="7665"/>
        </w:tabs>
        <w:spacing w:line="400" w:lineRule="exact"/>
        <w:ind w:firstLine="480" w:firstLineChars="200"/>
        <w:rPr>
          <w:sz w:val="24"/>
        </w:rPr>
      </w:pPr>
      <w:r>
        <w:rPr>
          <w:rFonts w:hint="eastAsia"/>
          <w:sz w:val="24"/>
        </w:rPr>
        <w:t>已在规定时间内获取了</w:t>
      </w:r>
      <w:r>
        <w:rPr>
          <w:rFonts w:hint="eastAsia"/>
          <w:sz w:val="24"/>
          <w:szCs w:val="18"/>
          <w:lang w:val="zh-CN"/>
        </w:rPr>
        <w:t>磋商</w:t>
      </w:r>
      <w:r>
        <w:rPr>
          <w:rFonts w:hint="eastAsia"/>
          <w:sz w:val="24"/>
        </w:rPr>
        <w:t>文件；</w:t>
      </w:r>
    </w:p>
    <w:p>
      <w:pPr>
        <w:tabs>
          <w:tab w:val="left" w:pos="7665"/>
        </w:tabs>
        <w:spacing w:line="400" w:lineRule="exact"/>
        <w:rPr>
          <w:rFonts w:hAnsi="宋体" w:cs="宋体"/>
          <w:sz w:val="24"/>
        </w:rPr>
      </w:pPr>
      <w:r>
        <w:rPr>
          <w:rFonts w:hint="eastAsia" w:hAnsi="宋体" w:cs="宋体"/>
          <w:sz w:val="24"/>
        </w:rPr>
        <w:t xml:space="preserve">    （4）完全满足</w:t>
      </w:r>
      <w:r>
        <w:rPr>
          <w:rFonts w:hint="eastAsia"/>
          <w:sz w:val="24"/>
          <w:szCs w:val="32"/>
          <w:lang w:val="zh-CN"/>
        </w:rPr>
        <w:t>磋商</w:t>
      </w:r>
      <w:r>
        <w:rPr>
          <w:rFonts w:hint="eastAsia" w:hAnsi="宋体" w:cs="宋体"/>
          <w:sz w:val="24"/>
        </w:rPr>
        <w:t>文件的实质性要求；</w:t>
      </w:r>
    </w:p>
    <w:p>
      <w:pPr>
        <w:numPr>
          <w:ilvl w:val="0"/>
          <w:numId w:val="7"/>
        </w:numPr>
        <w:tabs>
          <w:tab w:val="left" w:pos="836"/>
        </w:tabs>
        <w:spacing w:line="400" w:lineRule="exact"/>
        <w:ind w:firstLine="480"/>
        <w:rPr>
          <w:rFonts w:hAnsi="宋体" w:cs="宋体"/>
          <w:sz w:val="24"/>
        </w:rPr>
      </w:pPr>
      <w:r>
        <w:rPr>
          <w:rFonts w:hint="eastAsia" w:hAnsi="宋体" w:cs="宋体"/>
          <w:sz w:val="24"/>
        </w:rPr>
        <w:t>有能力提供本次采购的服务；</w:t>
      </w:r>
    </w:p>
    <w:p>
      <w:pPr>
        <w:numPr>
          <w:ilvl w:val="0"/>
          <w:numId w:val="7"/>
        </w:numPr>
        <w:tabs>
          <w:tab w:val="left" w:pos="836"/>
        </w:tabs>
        <w:spacing w:line="400" w:lineRule="exact"/>
        <w:ind w:firstLine="480"/>
        <w:rPr>
          <w:rFonts w:hAnsi="宋体" w:cs="宋体"/>
          <w:sz w:val="24"/>
        </w:rPr>
      </w:pPr>
      <w:r>
        <w:rPr>
          <w:rFonts w:hint="eastAsia" w:hAnsi="宋体" w:cs="宋体"/>
          <w:sz w:val="24"/>
        </w:rPr>
        <w:t>提供的货物和服务应符合中国政府规定的相应技术标准；</w:t>
      </w:r>
    </w:p>
    <w:p>
      <w:pPr>
        <w:numPr>
          <w:ilvl w:val="0"/>
          <w:numId w:val="7"/>
        </w:numPr>
        <w:tabs>
          <w:tab w:val="left" w:pos="836"/>
        </w:tabs>
        <w:spacing w:line="400" w:lineRule="exact"/>
        <w:ind w:firstLine="480"/>
        <w:rPr>
          <w:rFonts w:hAnsi="宋体" w:cs="宋体"/>
          <w:sz w:val="24"/>
        </w:rPr>
      </w:pPr>
      <w:r>
        <w:rPr>
          <w:rFonts w:hint="eastAsia" w:hAnsi="宋体" w:cs="宋体"/>
          <w:sz w:val="24"/>
        </w:rPr>
        <w:t>遵守国家法律、行政法规，具有良好的商业信誉（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pPr>
        <w:pStyle w:val="5"/>
        <w:spacing w:line="400" w:lineRule="exact"/>
        <w:rPr>
          <w:sz w:val="24"/>
        </w:rPr>
      </w:pPr>
      <w:bookmarkStart w:id="23" w:name="_Toc183582208"/>
      <w:bookmarkStart w:id="24" w:name="_Toc217446037"/>
      <w:bookmarkStart w:id="25" w:name="_Toc183682345"/>
      <w:r>
        <w:rPr>
          <w:rFonts w:hint="eastAsia"/>
          <w:sz w:val="24"/>
        </w:rPr>
        <w:t xml:space="preserve">    4.磋商相关费用</w:t>
      </w:r>
      <w:bookmarkEnd w:id="23"/>
      <w:bookmarkEnd w:id="24"/>
      <w:bookmarkEnd w:id="25"/>
      <w:r>
        <w:rPr>
          <w:rFonts w:hint="eastAsia"/>
          <w:sz w:val="24"/>
        </w:rPr>
        <w:t>：竞磋人费用、磋商代理费</w:t>
      </w:r>
    </w:p>
    <w:p>
      <w:pPr>
        <w:tabs>
          <w:tab w:val="left" w:pos="7665"/>
        </w:tabs>
        <w:spacing w:line="400" w:lineRule="exact"/>
        <w:ind w:firstLine="480"/>
        <w:rPr>
          <w:sz w:val="24"/>
        </w:rPr>
      </w:pPr>
      <w:r>
        <w:rPr>
          <w:rFonts w:hint="eastAsia"/>
          <w:sz w:val="24"/>
        </w:rPr>
        <w:t>4.1竞磋人参加磋商的有关费用由竞磋人自行承担。</w:t>
      </w:r>
    </w:p>
    <w:p>
      <w:pPr>
        <w:tabs>
          <w:tab w:val="left" w:pos="7665"/>
        </w:tabs>
        <w:spacing w:line="400" w:lineRule="exact"/>
        <w:ind w:firstLine="480"/>
        <w:rPr>
          <w:sz w:val="24"/>
        </w:rPr>
      </w:pPr>
      <w:r>
        <w:rPr>
          <w:rFonts w:hint="eastAsia"/>
          <w:sz w:val="24"/>
        </w:rPr>
        <w:t>4.2本次不收取磋商代理服务费。</w:t>
      </w:r>
    </w:p>
    <w:p>
      <w:pPr>
        <w:pStyle w:val="5"/>
        <w:spacing w:line="400" w:lineRule="exact"/>
        <w:ind w:firstLine="481"/>
        <w:rPr>
          <w:sz w:val="24"/>
        </w:rPr>
      </w:pPr>
      <w:r>
        <w:rPr>
          <w:rFonts w:hint="eastAsia"/>
          <w:sz w:val="24"/>
        </w:rPr>
        <w:t>5.充分、公平竞争保障措施</w:t>
      </w:r>
    </w:p>
    <w:p>
      <w:pPr>
        <w:pStyle w:val="79"/>
        <w:spacing w:line="460" w:lineRule="exact"/>
        <w:ind w:left="1" w:firstLine="482" w:firstLineChars="200"/>
        <w:rPr>
          <w:b/>
          <w:sz w:val="24"/>
        </w:rPr>
      </w:pPr>
      <w:r>
        <w:rPr>
          <w:rFonts w:hint="eastAsia"/>
          <w:b/>
          <w:sz w:val="24"/>
        </w:rPr>
        <w:t>5.1利害关系代理人处理。</w:t>
      </w:r>
    </w:p>
    <w:p>
      <w:pPr>
        <w:pStyle w:val="79"/>
        <w:spacing w:line="460" w:lineRule="exact"/>
        <w:ind w:left="1" w:firstLine="480" w:firstLineChars="200"/>
        <w:rPr>
          <w:sz w:val="24"/>
        </w:rPr>
      </w:pPr>
      <w:r>
        <w:rPr>
          <w:rFonts w:hint="eastAsia"/>
          <w:sz w:val="24"/>
        </w:rPr>
        <w:t>2家以上的供应商不得在同一合同项下的采购项目中，同时委托同一个自然人、同一家庭的人员、同一单位的人员作为其代理人，否则，其响应文件作为无效处理。</w:t>
      </w:r>
    </w:p>
    <w:p>
      <w:pPr>
        <w:pStyle w:val="79"/>
        <w:spacing w:line="400" w:lineRule="exact"/>
        <w:ind w:left="1" w:firstLine="480" w:firstLineChars="200"/>
        <w:rPr>
          <w:rFonts w:hAnsi="宋体"/>
          <w:sz w:val="24"/>
        </w:rPr>
      </w:pPr>
      <w:r>
        <w:rPr>
          <w:rFonts w:hint="eastAsia" w:hAnsi="宋体"/>
          <w:sz w:val="24"/>
        </w:rPr>
        <w:t>5.2供应商实际控制人或者中高级管理人员，同时是采购单位工作人员，不得参与本项目采购活动。</w:t>
      </w:r>
    </w:p>
    <w:p>
      <w:pPr>
        <w:pStyle w:val="79"/>
        <w:spacing w:line="400" w:lineRule="exact"/>
        <w:ind w:left="1" w:firstLine="480" w:firstLineChars="200"/>
        <w:rPr>
          <w:rFonts w:hAnsi="宋体"/>
          <w:sz w:val="24"/>
        </w:rPr>
      </w:pPr>
      <w:r>
        <w:rPr>
          <w:rFonts w:hint="eastAsia" w:hAnsi="宋体"/>
          <w:sz w:val="24"/>
        </w:rPr>
        <w:t>5.3回避。采购活动中，采购人员及相关人员与供应商有下列利害关系之一的，应当回避：</w:t>
      </w:r>
    </w:p>
    <w:p>
      <w:pPr>
        <w:pStyle w:val="79"/>
        <w:spacing w:line="400" w:lineRule="exact"/>
        <w:ind w:left="1" w:firstLine="480" w:firstLineChars="200"/>
        <w:rPr>
          <w:rFonts w:hAnsi="宋体"/>
          <w:sz w:val="24"/>
        </w:rPr>
      </w:pPr>
      <w:r>
        <w:rPr>
          <w:rFonts w:hint="eastAsia" w:hAnsi="宋体"/>
          <w:sz w:val="24"/>
        </w:rPr>
        <w:t>（1）参加采购活动前3年内与供应商存在劳动关系；</w:t>
      </w:r>
    </w:p>
    <w:p>
      <w:pPr>
        <w:pStyle w:val="79"/>
        <w:spacing w:line="400" w:lineRule="exact"/>
        <w:ind w:left="1" w:firstLine="480" w:firstLineChars="200"/>
        <w:rPr>
          <w:rFonts w:hAnsi="宋体"/>
          <w:sz w:val="24"/>
        </w:rPr>
      </w:pPr>
      <w:r>
        <w:rPr>
          <w:rFonts w:hint="eastAsia" w:hAnsi="宋体"/>
          <w:sz w:val="24"/>
        </w:rPr>
        <w:t>（2）参加采购活动前3年内担任供应商的董事、监事；</w:t>
      </w:r>
    </w:p>
    <w:p>
      <w:pPr>
        <w:pStyle w:val="79"/>
        <w:spacing w:line="400" w:lineRule="exact"/>
        <w:ind w:left="1" w:firstLine="480" w:firstLineChars="200"/>
        <w:rPr>
          <w:rFonts w:hAnsi="宋体"/>
          <w:sz w:val="24"/>
        </w:rPr>
      </w:pPr>
      <w:r>
        <w:rPr>
          <w:rFonts w:hint="eastAsia" w:hAnsi="宋体"/>
          <w:sz w:val="24"/>
        </w:rPr>
        <w:t>（3）参加采购活动前3年内是供应商的控股股东或者实际控制人；</w:t>
      </w:r>
    </w:p>
    <w:p>
      <w:pPr>
        <w:pStyle w:val="79"/>
        <w:spacing w:line="400" w:lineRule="exact"/>
        <w:ind w:left="1" w:firstLine="480" w:firstLineChars="200"/>
        <w:rPr>
          <w:rFonts w:hAnsi="宋体"/>
          <w:sz w:val="24"/>
        </w:rPr>
      </w:pPr>
      <w:r>
        <w:rPr>
          <w:rFonts w:hint="eastAsia" w:hAnsi="宋体"/>
          <w:sz w:val="24"/>
        </w:rPr>
        <w:t>（4）与供应商的法定代表人或者负责人有夫妻、直系血亲、三代以内旁系血亲或者近姻亲关系；</w:t>
      </w:r>
    </w:p>
    <w:p>
      <w:pPr>
        <w:pStyle w:val="79"/>
        <w:spacing w:line="400" w:lineRule="exact"/>
        <w:ind w:left="1" w:firstLine="480" w:firstLineChars="200"/>
        <w:rPr>
          <w:rFonts w:hAnsi="宋体"/>
          <w:sz w:val="24"/>
        </w:rPr>
      </w:pPr>
      <w:r>
        <w:rPr>
          <w:rFonts w:hint="eastAsia" w:hAnsi="宋体"/>
          <w:sz w:val="24"/>
        </w:rPr>
        <w:t>（5）与供应商有其他可能影响采购活动公平、公正进行的关系。</w:t>
      </w:r>
    </w:p>
    <w:p>
      <w:pPr>
        <w:pStyle w:val="79"/>
        <w:spacing w:line="400" w:lineRule="exact"/>
        <w:ind w:left="1" w:firstLine="480" w:firstLineChars="200"/>
        <w:rPr>
          <w:rFonts w:hAnsi="宋体"/>
          <w:sz w:val="24"/>
        </w:rPr>
      </w:pPr>
      <w:r>
        <w:rPr>
          <w:rFonts w:hint="eastAsia" w:hAnsi="宋体"/>
          <w:sz w:val="24"/>
        </w:rPr>
        <w:t>本项目采购活动中需要依法回避的采购人员是指采购人内部负责采购项目的具体经办工作人员和直接分管采购项目的负责人，以及采购单位负责采购项目的具体经办工作人员和直接分管采购活动的负责人。本项目采购活动中需要依法回避的相关人员是指磋商小组成员。</w:t>
      </w:r>
    </w:p>
    <w:p>
      <w:pPr>
        <w:pStyle w:val="79"/>
        <w:spacing w:line="460" w:lineRule="exact"/>
        <w:ind w:left="1" w:firstLine="480" w:firstLineChars="200"/>
        <w:rPr>
          <w:rFonts w:hAnsi="宋体"/>
          <w:sz w:val="24"/>
        </w:rPr>
      </w:pPr>
      <w:r>
        <w:rPr>
          <w:rFonts w:hint="eastAsia" w:hAnsi="宋体"/>
          <w:sz w:val="24"/>
        </w:rPr>
        <w:t>供应商认为采购人员及相关人员与其他供应商有利害关系的，可以向采购单位书面提出回避申请，并说明理由。采购单位将及时询问被申请回避人员，有利害关系的被申请回避人员应当回避。</w:t>
      </w:r>
    </w:p>
    <w:p>
      <w:pPr>
        <w:pStyle w:val="5"/>
        <w:spacing w:line="400" w:lineRule="exact"/>
        <w:ind w:firstLine="241" w:firstLineChars="100"/>
        <w:rPr>
          <w:sz w:val="24"/>
          <w:szCs w:val="24"/>
        </w:rPr>
      </w:pPr>
      <w:bookmarkStart w:id="26" w:name="_Toc217446046"/>
      <w:r>
        <w:rPr>
          <w:rFonts w:hint="eastAsia" w:hAnsi="宋体" w:cs="宋体"/>
          <w:sz w:val="24"/>
          <w:szCs w:val="24"/>
        </w:rPr>
        <w:t xml:space="preserve"> 6. 联合体</w:t>
      </w:r>
      <w:bookmarkEnd w:id="26"/>
      <w:r>
        <w:rPr>
          <w:rFonts w:hint="eastAsia" w:hAnsi="宋体" w:cs="宋体"/>
          <w:sz w:val="24"/>
          <w:szCs w:val="24"/>
        </w:rPr>
        <w:t>竞磋</w:t>
      </w:r>
      <w:r>
        <w:rPr>
          <w:rFonts w:hint="eastAsia"/>
          <w:sz w:val="24"/>
          <w:szCs w:val="24"/>
        </w:rPr>
        <w:t>（实质性要求）</w:t>
      </w:r>
    </w:p>
    <w:p>
      <w:pPr>
        <w:pStyle w:val="5"/>
        <w:spacing w:line="400" w:lineRule="exact"/>
        <w:ind w:firstLine="241" w:firstLineChars="100"/>
        <w:rPr>
          <w:rFonts w:hAnsi="宋体" w:cs="宋体"/>
          <w:sz w:val="24"/>
          <w:szCs w:val="24"/>
        </w:rPr>
      </w:pPr>
      <w:r>
        <w:rPr>
          <w:rFonts w:hint="eastAsia"/>
          <w:sz w:val="24"/>
          <w:szCs w:val="24"/>
        </w:rPr>
        <w:t xml:space="preserve">  本项目不接受联合体竞磋。</w:t>
      </w:r>
    </w:p>
    <w:p>
      <w:pPr>
        <w:pStyle w:val="5"/>
        <w:spacing w:line="400" w:lineRule="exact"/>
        <w:ind w:firstLine="482" w:firstLineChars="200"/>
        <w:rPr>
          <w:bCs w:val="0"/>
          <w:sz w:val="24"/>
        </w:rPr>
      </w:pPr>
      <w:bookmarkStart w:id="27" w:name="_Toc183582223"/>
      <w:bookmarkStart w:id="28" w:name="_Toc308164800"/>
      <w:bookmarkStart w:id="29" w:name="_Toc217446050"/>
      <w:bookmarkStart w:id="30" w:name="_Toc183682360"/>
      <w:r>
        <w:rPr>
          <w:rFonts w:hint="eastAsia"/>
          <w:bCs w:val="0"/>
          <w:sz w:val="24"/>
        </w:rPr>
        <w:t>7.磋商保证金</w:t>
      </w:r>
      <w:bookmarkEnd w:id="27"/>
      <w:bookmarkEnd w:id="28"/>
      <w:bookmarkEnd w:id="29"/>
      <w:bookmarkEnd w:id="30"/>
      <w:r>
        <w:rPr>
          <w:rFonts w:hint="eastAsia"/>
          <w:bCs w:val="0"/>
          <w:sz w:val="24"/>
        </w:rPr>
        <w:t>（本项目不涉及）</w:t>
      </w:r>
    </w:p>
    <w:p>
      <w:pPr>
        <w:spacing w:line="400" w:lineRule="exact"/>
        <w:ind w:firstLine="480" w:firstLineChars="200"/>
        <w:rPr>
          <w:sz w:val="24"/>
        </w:rPr>
      </w:pPr>
      <w:r>
        <w:rPr>
          <w:rFonts w:hint="eastAsia"/>
          <w:sz w:val="24"/>
        </w:rPr>
        <w:t>7.1 竞磋人竞磋时，必须以人民币</w:t>
      </w:r>
      <w:r>
        <w:rPr>
          <w:rFonts w:hint="eastAsia" w:hAnsi="宋体"/>
          <w:sz w:val="24"/>
        </w:rPr>
        <w:t>为计量单位</w:t>
      </w:r>
      <w:r>
        <w:rPr>
          <w:rFonts w:hint="eastAsia"/>
          <w:sz w:val="24"/>
        </w:rPr>
        <w:t>提交磋商文件规定数额的磋商保证金，并作为其响应的一部分。</w:t>
      </w:r>
    </w:p>
    <w:p>
      <w:pPr>
        <w:tabs>
          <w:tab w:val="left" w:pos="1134"/>
        </w:tabs>
        <w:spacing w:line="400" w:lineRule="exact"/>
        <w:ind w:firstLine="424" w:firstLineChars="177"/>
        <w:rPr>
          <w:rFonts w:hAnsi="宋体" w:cs="宋体"/>
          <w:sz w:val="24"/>
          <w:szCs w:val="24"/>
        </w:rPr>
      </w:pPr>
      <w:r>
        <w:rPr>
          <w:rFonts w:hint="eastAsia"/>
          <w:sz w:val="24"/>
        </w:rPr>
        <w:t>7.2磋商保证金交款方式：</w:t>
      </w:r>
      <w:r>
        <w:rPr>
          <w:rFonts w:hint="eastAsia" w:cs="宋体"/>
          <w:sz w:val="24"/>
        </w:rPr>
        <w:t>详见竞磋人须知前附表。</w:t>
      </w:r>
      <w:r>
        <w:rPr>
          <w:rFonts w:hint="eastAsia" w:cs="宋体"/>
          <w:b/>
          <w:bCs/>
          <w:sz w:val="24"/>
        </w:rPr>
        <w:t>。</w:t>
      </w:r>
    </w:p>
    <w:p>
      <w:pPr>
        <w:tabs>
          <w:tab w:val="left" w:pos="1134"/>
        </w:tabs>
        <w:spacing w:line="400" w:lineRule="exact"/>
        <w:ind w:firstLine="424" w:firstLineChars="177"/>
        <w:rPr>
          <w:rFonts w:hAnsi="宋体" w:cs="宋体"/>
          <w:sz w:val="24"/>
        </w:rPr>
      </w:pPr>
      <w:r>
        <w:rPr>
          <w:rFonts w:hint="eastAsia" w:hAnsi="宋体" w:cs="宋体"/>
          <w:sz w:val="24"/>
        </w:rPr>
        <w:t>7.3有效磋商保证金的交纳以采购单位实际到账时间和金额为准。竞磋人未按照磋商文件要求在规定时间内提交足额的磋商保证金的响应文件无效。</w:t>
      </w:r>
    </w:p>
    <w:p>
      <w:pPr>
        <w:tabs>
          <w:tab w:val="left" w:pos="1134"/>
        </w:tabs>
        <w:spacing w:line="400" w:lineRule="exact"/>
        <w:ind w:firstLine="424" w:firstLineChars="177"/>
        <w:rPr>
          <w:rFonts w:hAnsi="宋体" w:cs="宋体"/>
          <w:sz w:val="24"/>
        </w:rPr>
      </w:pPr>
      <w:r>
        <w:rPr>
          <w:rFonts w:hint="eastAsia" w:hAnsi="宋体" w:cs="宋体"/>
          <w:sz w:val="24"/>
        </w:rPr>
        <w:t>7.4竞磋人所交纳的磋商保证金不计利息。</w:t>
      </w:r>
    </w:p>
    <w:p>
      <w:pPr>
        <w:tabs>
          <w:tab w:val="left" w:pos="1134"/>
        </w:tabs>
        <w:spacing w:line="400" w:lineRule="exact"/>
      </w:pPr>
      <w:r>
        <w:rPr>
          <w:rFonts w:hint="eastAsia"/>
          <w:sz w:val="24"/>
        </w:rPr>
        <w:t xml:space="preserve">   7.5</w:t>
      </w:r>
      <w:r>
        <w:rPr>
          <w:rFonts w:hint="eastAsia" w:cs="宋体"/>
          <w:sz w:val="24"/>
        </w:rPr>
        <w:t>未成交供应商的磋商保证金，将在成交通知书发出之日起5个工作日内全额</w:t>
      </w:r>
      <w:r>
        <w:rPr>
          <w:rFonts w:hint="eastAsia" w:hAnsi="宋体"/>
          <w:sz w:val="24"/>
        </w:rPr>
        <w:t>无息原渠道退还到竞磋人帐户</w:t>
      </w:r>
      <w:r>
        <w:rPr>
          <w:rFonts w:hint="eastAsia" w:cs="宋体"/>
          <w:sz w:val="24"/>
        </w:rPr>
        <w:t>。成交人的磋商证金，</w:t>
      </w:r>
      <w:r>
        <w:rPr>
          <w:rFonts w:hint="eastAsia" w:hAnsi="宋体"/>
          <w:sz w:val="24"/>
        </w:rPr>
        <w:t>在按规定交纳了履约保证金，合同签订并送至采购单位</w:t>
      </w:r>
      <w:r>
        <w:rPr>
          <w:rFonts w:hint="eastAsia" w:hAnsi="宋体"/>
          <w:sz w:val="24"/>
          <w:szCs w:val="24"/>
        </w:rPr>
        <w:t>审核编号生</w:t>
      </w:r>
      <w:r>
        <w:rPr>
          <w:rFonts w:hint="eastAsia" w:hAnsi="宋体"/>
          <w:sz w:val="24"/>
        </w:rPr>
        <w:t>效之日</w:t>
      </w:r>
      <w:r>
        <w:rPr>
          <w:rFonts w:hint="eastAsia" w:cs="宋体"/>
          <w:sz w:val="24"/>
        </w:rPr>
        <w:t>起5个工作日内全额</w:t>
      </w:r>
      <w:r>
        <w:rPr>
          <w:rFonts w:hint="eastAsia" w:hAnsi="宋体"/>
          <w:sz w:val="24"/>
        </w:rPr>
        <w:t>无息原渠道退还到成交人帐户</w:t>
      </w:r>
      <w:r>
        <w:rPr>
          <w:rFonts w:hint="eastAsia"/>
          <w:bCs/>
          <w:sz w:val="24"/>
        </w:rPr>
        <w:t>（注：</w:t>
      </w:r>
      <w:r>
        <w:rPr>
          <w:rFonts w:hint="eastAsia" w:cs="宋体"/>
          <w:bCs/>
          <w:sz w:val="24"/>
        </w:rPr>
        <w:fldChar w:fldCharType="begin"/>
      </w:r>
      <w:r>
        <w:rPr>
          <w:rFonts w:hint="eastAsia" w:cs="宋体"/>
          <w:bCs/>
          <w:sz w:val="24"/>
        </w:rPr>
        <w:instrText xml:space="preserve"> = 1 \* GB3 \* MERGEFORMAT </w:instrText>
      </w:r>
      <w:r>
        <w:rPr>
          <w:rFonts w:hint="eastAsia" w:cs="宋体"/>
          <w:bCs/>
          <w:sz w:val="24"/>
        </w:rPr>
        <w:fldChar w:fldCharType="separate"/>
      </w:r>
      <w:r>
        <w:rPr>
          <w:rFonts w:hint="eastAsia" w:cs="宋体"/>
          <w:bCs/>
          <w:sz w:val="24"/>
        </w:rPr>
        <w:t>①</w:t>
      </w:r>
      <w:r>
        <w:rPr>
          <w:rFonts w:hint="eastAsia" w:cs="宋体"/>
          <w:bCs/>
          <w:sz w:val="24"/>
        </w:rPr>
        <w:fldChar w:fldCharType="end"/>
      </w:r>
      <w:r>
        <w:rPr>
          <w:rFonts w:hint="eastAsia" w:cs="宋体"/>
          <w:bCs/>
          <w:sz w:val="24"/>
        </w:rPr>
        <w:t>因竞磋人自身原因造成的保证金延迟退还或者竞磋人和采购单位书面协商可以延迟退还的，采购单位不承担相应责任；</w:t>
      </w:r>
      <w:r>
        <w:rPr>
          <w:rFonts w:hint="eastAsia" w:cs="宋体"/>
          <w:bCs/>
          <w:sz w:val="24"/>
        </w:rPr>
        <w:fldChar w:fldCharType="begin"/>
      </w:r>
      <w:r>
        <w:rPr>
          <w:rFonts w:hint="eastAsia" w:cs="宋体"/>
          <w:bCs/>
          <w:sz w:val="24"/>
        </w:rPr>
        <w:instrText xml:space="preserve"> = 2 \* GB3 \* MERGEFORMAT </w:instrText>
      </w:r>
      <w:r>
        <w:rPr>
          <w:rFonts w:hint="eastAsia" w:cs="宋体"/>
          <w:bCs/>
          <w:sz w:val="24"/>
        </w:rPr>
        <w:fldChar w:fldCharType="separate"/>
      </w:r>
      <w:r>
        <w:rPr>
          <w:rFonts w:hint="eastAsia" w:cs="宋体"/>
          <w:bCs/>
          <w:sz w:val="24"/>
        </w:rPr>
        <w:t>②</w:t>
      </w:r>
      <w:r>
        <w:rPr>
          <w:rFonts w:hint="eastAsia" w:cs="宋体"/>
          <w:bCs/>
          <w:sz w:val="24"/>
        </w:rPr>
        <w:fldChar w:fldCharType="end"/>
      </w:r>
      <w:r>
        <w:rPr>
          <w:rFonts w:hint="eastAsia"/>
          <w:bCs/>
          <w:sz w:val="24"/>
        </w:rPr>
        <w:t>供应商因涉嫌违法违规，按照规定应当不予退还保证金的，有关部门处理认定违法违规行为期间不计入退还保证金时限之内）</w:t>
      </w:r>
      <w:r>
        <w:rPr>
          <w:rFonts w:hint="eastAsia"/>
          <w:sz w:val="24"/>
        </w:rPr>
        <w:t>；</w:t>
      </w:r>
    </w:p>
    <w:p>
      <w:pPr>
        <w:pStyle w:val="5"/>
        <w:spacing w:line="400" w:lineRule="exact"/>
        <w:ind w:firstLine="482" w:firstLineChars="200"/>
        <w:rPr>
          <w:bCs w:val="0"/>
          <w:sz w:val="24"/>
        </w:rPr>
      </w:pPr>
      <w:bookmarkStart w:id="31" w:name="_Toc217446051"/>
      <w:bookmarkStart w:id="32" w:name="_Toc183682361"/>
      <w:bookmarkStart w:id="33" w:name="_Toc308164801"/>
      <w:bookmarkStart w:id="34" w:name="_Toc183582224"/>
      <w:r>
        <w:rPr>
          <w:rFonts w:hint="eastAsia"/>
          <w:bCs w:val="0"/>
          <w:sz w:val="24"/>
        </w:rPr>
        <w:t>8．响应文件有效期</w:t>
      </w:r>
      <w:bookmarkEnd w:id="31"/>
      <w:bookmarkEnd w:id="32"/>
      <w:bookmarkEnd w:id="33"/>
      <w:bookmarkEnd w:id="34"/>
      <w:r>
        <w:rPr>
          <w:rFonts w:hint="eastAsia"/>
          <w:bCs w:val="0"/>
          <w:sz w:val="24"/>
        </w:rPr>
        <w:t>（实质性要求）</w:t>
      </w:r>
    </w:p>
    <w:p>
      <w:pPr>
        <w:tabs>
          <w:tab w:val="left" w:pos="7665"/>
        </w:tabs>
        <w:spacing w:line="400" w:lineRule="exact"/>
        <w:ind w:left="20" w:leftChars="6" w:firstLine="480" w:firstLineChars="200"/>
        <w:rPr>
          <w:sz w:val="24"/>
        </w:rPr>
      </w:pPr>
      <w:r>
        <w:rPr>
          <w:rFonts w:hint="eastAsia"/>
          <w:sz w:val="24"/>
        </w:rPr>
        <w:t>8.1</w:t>
      </w:r>
      <w:r>
        <w:rPr>
          <w:rFonts w:hint="eastAsia"/>
          <w:color w:val="0070C0"/>
          <w:sz w:val="24"/>
        </w:rPr>
        <w:t xml:space="preserve"> 本项目磋商有效期为磋商截止时间届满后</w:t>
      </w:r>
      <w:r>
        <w:rPr>
          <w:rFonts w:hint="eastAsia"/>
          <w:b/>
          <w:bCs/>
          <w:color w:val="0070C0"/>
          <w:sz w:val="24"/>
          <w:u w:val="single"/>
        </w:rPr>
        <w:t>90</w:t>
      </w:r>
      <w:r>
        <w:rPr>
          <w:rFonts w:hint="eastAsia"/>
          <w:b/>
          <w:bCs/>
          <w:color w:val="0070C0"/>
          <w:sz w:val="24"/>
        </w:rPr>
        <w:t>天</w:t>
      </w:r>
      <w:r>
        <w:rPr>
          <w:rFonts w:hint="eastAsia"/>
          <w:color w:val="0070C0"/>
          <w:sz w:val="24"/>
        </w:rPr>
        <w:t>。</w:t>
      </w:r>
      <w:r>
        <w:rPr>
          <w:rFonts w:hint="eastAsia"/>
          <w:sz w:val="24"/>
        </w:rPr>
        <w:t>竞磋人响应文件中必须载明并承诺磋商有效期，响应文件中载明并承诺的磋商有效期可以长于磋商文件规定的期限，但不得短于磋商文件规定的期限。否则，其响应文件将作为无效响应文件处理。</w:t>
      </w:r>
    </w:p>
    <w:p>
      <w:pPr>
        <w:pStyle w:val="2"/>
        <w:ind w:firstLine="480" w:firstLineChars="200"/>
        <w:rPr>
          <w:rFonts w:ascii="宋体" w:hAnsi="宋体" w:eastAsia="宋体" w:cs="宋体"/>
          <w:sz w:val="24"/>
          <w:szCs w:val="24"/>
        </w:rPr>
      </w:pPr>
      <w:r>
        <w:rPr>
          <w:rFonts w:hint="eastAsia" w:ascii="宋体"/>
          <w:sz w:val="24"/>
        </w:rPr>
        <w:t>8.2</w:t>
      </w:r>
      <w:r>
        <w:rPr>
          <w:rFonts w:hint="eastAsia" w:ascii="宋体" w:hAnsi="宋体" w:eastAsia="宋体" w:cs="宋体"/>
          <w:sz w:val="24"/>
          <w:szCs w:val="24"/>
        </w:rPr>
        <w:t xml:space="preserve"> 因不可抗力事件或采购人采购需求作出必要调整等特殊情况，采购人可于磋商有效期届满之前与竞磋人协商延长磋商有效期。竞磋人拒绝延长磋商有效期的，不得再参与该项目后续采购活动，但由此给竞磋人造成的损失，采购人可以自主决定是否可以给予适当补偿。竞磋人同意延长磋商有效期的，不能修改响应文件。</w:t>
      </w:r>
    </w:p>
    <w:p>
      <w:pPr>
        <w:pStyle w:val="5"/>
        <w:spacing w:line="400" w:lineRule="exact"/>
        <w:rPr>
          <w:bCs w:val="0"/>
          <w:sz w:val="24"/>
          <w:szCs w:val="24"/>
        </w:rPr>
      </w:pPr>
      <w:r>
        <w:rPr>
          <w:rFonts w:hint="eastAsia"/>
          <w:sz w:val="24"/>
          <w:szCs w:val="24"/>
        </w:rPr>
        <w:t>　</w:t>
      </w:r>
      <w:bookmarkStart w:id="35" w:name="_Toc308164797"/>
      <w:r>
        <w:rPr>
          <w:rFonts w:hint="eastAsia"/>
          <w:sz w:val="24"/>
          <w:szCs w:val="24"/>
        </w:rPr>
        <w:t>9. 知识产权</w:t>
      </w:r>
      <w:bookmarkEnd w:id="35"/>
    </w:p>
    <w:p>
      <w:pPr>
        <w:pStyle w:val="16"/>
        <w:spacing w:line="400" w:lineRule="exact"/>
        <w:ind w:firstLine="480" w:firstLineChars="200"/>
        <w:rPr>
          <w:sz w:val="24"/>
          <w:szCs w:val="24"/>
        </w:rPr>
      </w:pPr>
      <w:r>
        <w:rPr>
          <w:rFonts w:hint="eastAsia"/>
          <w:sz w:val="24"/>
          <w:szCs w:val="24"/>
        </w:rPr>
        <w:t>9.1 竞磋人应保证在本项目使用的任何产品和服务（包括部分使用）时，不会产生因第三方提出侵犯其专利权、商标权或其它知识产权而引起的法律和经济纠纷，如因专利权、商标权或其它知识产权而引起法律和经济纠纷，由竞磋人承担所有相关责任。</w:t>
      </w:r>
    </w:p>
    <w:p>
      <w:pPr>
        <w:pStyle w:val="16"/>
        <w:spacing w:line="400" w:lineRule="exact"/>
        <w:ind w:firstLine="480" w:firstLineChars="200"/>
        <w:rPr>
          <w:sz w:val="24"/>
          <w:szCs w:val="24"/>
        </w:rPr>
      </w:pPr>
      <w:r>
        <w:rPr>
          <w:rFonts w:hint="eastAsia"/>
          <w:sz w:val="24"/>
          <w:szCs w:val="24"/>
        </w:rPr>
        <w:t>9.2 除非磋商文件特别规定，采购人享有本项目实施过程中产生的知识成果及知识产权。</w:t>
      </w:r>
    </w:p>
    <w:p>
      <w:pPr>
        <w:spacing w:line="400" w:lineRule="exact"/>
        <w:ind w:firstLine="480" w:firstLineChars="200"/>
        <w:rPr>
          <w:sz w:val="24"/>
        </w:rPr>
      </w:pPr>
      <w:r>
        <w:rPr>
          <w:rFonts w:hint="eastAsia"/>
          <w:sz w:val="24"/>
        </w:rPr>
        <w:t>9.3 竞磋人将在采购项目实施过程中采用自有</w:t>
      </w:r>
      <w:r>
        <w:rPr>
          <w:rFonts w:hint="eastAsia" w:hAnsi="宋体"/>
          <w:sz w:val="24"/>
        </w:rPr>
        <w:t>或者第三方</w:t>
      </w:r>
      <w:r>
        <w:rPr>
          <w:rFonts w:hint="eastAsia"/>
          <w:sz w:val="24"/>
        </w:rPr>
        <w:t>知识成果的，应当在响应文件中</w:t>
      </w:r>
      <w:r>
        <w:rPr>
          <w:rFonts w:hint="eastAsia" w:hAnsi="宋体"/>
          <w:sz w:val="24"/>
        </w:rPr>
        <w:t>载明</w:t>
      </w:r>
      <w:r>
        <w:rPr>
          <w:rFonts w:hint="eastAsia"/>
          <w:sz w:val="24"/>
        </w:rPr>
        <w:t>，并提供相关知识产权证明文件。使用该知识成果后，竞磋人需提供开发接口和开发手册等技术资料，并承诺提供无限期支持，采购人享有永久使用权（含采购人委托第三方在该项目后续开发的使用权）。</w:t>
      </w:r>
    </w:p>
    <w:p>
      <w:pPr>
        <w:pStyle w:val="79"/>
        <w:spacing w:line="460" w:lineRule="exact"/>
        <w:ind w:left="1" w:firstLine="480" w:firstLineChars="200"/>
        <w:rPr>
          <w:rFonts w:hAnsi="宋体"/>
          <w:sz w:val="24"/>
        </w:rPr>
      </w:pPr>
      <w:r>
        <w:rPr>
          <w:rFonts w:hint="eastAsia"/>
          <w:sz w:val="24"/>
        </w:rPr>
        <w:t>9.4 如采用竞磋人所不拥有的知识产权，则在响应报价中必须包括合法获取该知识产权的相关费用。</w:t>
      </w:r>
    </w:p>
    <w:p>
      <w:pPr>
        <w:pStyle w:val="4"/>
        <w:spacing w:line="400" w:lineRule="exact"/>
        <w:jc w:val="center"/>
        <w:rPr>
          <w:rFonts w:ascii="黑体"/>
          <w:bCs w:val="0"/>
        </w:rPr>
      </w:pPr>
      <w:bookmarkStart w:id="36" w:name="_Toc183582209"/>
      <w:bookmarkStart w:id="37" w:name="_Toc217446038"/>
      <w:bookmarkStart w:id="38" w:name="_Toc89075875"/>
      <w:bookmarkStart w:id="39" w:name="_Toc77400779"/>
      <w:bookmarkStart w:id="40" w:name="_Toc183682346"/>
      <w:r>
        <w:rPr>
          <w:rFonts w:hint="eastAsia" w:ascii="黑体"/>
          <w:bCs w:val="0"/>
        </w:rPr>
        <w:br w:type="textWrapping"/>
      </w:r>
    </w:p>
    <w:p>
      <w:pPr>
        <w:rPr>
          <w:rFonts w:ascii="黑体"/>
        </w:rPr>
      </w:pPr>
    </w:p>
    <w:p>
      <w:pPr>
        <w:pStyle w:val="12"/>
        <w:ind w:firstLine="680"/>
        <w:rPr>
          <w:rFonts w:ascii="黑体"/>
        </w:rPr>
      </w:pPr>
    </w:p>
    <w:p>
      <w:pPr>
        <w:pStyle w:val="12"/>
        <w:ind w:firstLine="680"/>
        <w:rPr>
          <w:rFonts w:ascii="黑体"/>
        </w:rPr>
      </w:pPr>
    </w:p>
    <w:p>
      <w:pPr>
        <w:pStyle w:val="12"/>
        <w:ind w:firstLine="680"/>
        <w:rPr>
          <w:rFonts w:ascii="黑体"/>
        </w:rPr>
      </w:pPr>
    </w:p>
    <w:p>
      <w:pPr>
        <w:pStyle w:val="12"/>
        <w:ind w:firstLine="680"/>
        <w:rPr>
          <w:rFonts w:ascii="黑体"/>
        </w:rPr>
      </w:pPr>
    </w:p>
    <w:p>
      <w:pPr>
        <w:pStyle w:val="12"/>
        <w:ind w:firstLine="680"/>
        <w:rPr>
          <w:rFonts w:ascii="黑体"/>
        </w:rPr>
      </w:pPr>
    </w:p>
    <w:p>
      <w:pPr>
        <w:pStyle w:val="12"/>
        <w:ind w:firstLine="680"/>
        <w:rPr>
          <w:rFonts w:ascii="黑体"/>
        </w:rPr>
      </w:pPr>
    </w:p>
    <w:p>
      <w:pPr>
        <w:pStyle w:val="12"/>
        <w:ind w:firstLine="680"/>
        <w:rPr>
          <w:rFonts w:ascii="黑体"/>
        </w:rPr>
      </w:pPr>
    </w:p>
    <w:p>
      <w:pPr>
        <w:pStyle w:val="4"/>
        <w:spacing w:line="400" w:lineRule="exact"/>
        <w:jc w:val="center"/>
        <w:rPr>
          <w:rFonts w:ascii="黑体"/>
          <w:bCs w:val="0"/>
        </w:rPr>
      </w:pPr>
      <w:r>
        <w:rPr>
          <w:rFonts w:hint="eastAsia" w:ascii="黑体"/>
          <w:bCs w:val="0"/>
        </w:rPr>
        <w:t>三、磋商文件</w:t>
      </w:r>
      <w:bookmarkEnd w:id="36"/>
      <w:bookmarkEnd w:id="37"/>
      <w:bookmarkEnd w:id="38"/>
      <w:bookmarkEnd w:id="39"/>
      <w:bookmarkEnd w:id="40"/>
    </w:p>
    <w:p>
      <w:pPr>
        <w:pStyle w:val="5"/>
        <w:spacing w:line="400" w:lineRule="exact"/>
        <w:ind w:firstLine="482" w:firstLineChars="200"/>
        <w:rPr>
          <w:sz w:val="24"/>
        </w:rPr>
      </w:pPr>
      <w:bookmarkStart w:id="41" w:name="_Toc217446039"/>
      <w:bookmarkStart w:id="42" w:name="_Toc183582210"/>
      <w:bookmarkStart w:id="43" w:name="_Toc183682347"/>
      <w:r>
        <w:rPr>
          <w:rFonts w:hint="eastAsia"/>
          <w:sz w:val="24"/>
        </w:rPr>
        <w:t>10．磋商文件的构成</w:t>
      </w:r>
      <w:bookmarkEnd w:id="41"/>
      <w:bookmarkEnd w:id="42"/>
      <w:bookmarkEnd w:id="43"/>
    </w:p>
    <w:p>
      <w:pPr>
        <w:tabs>
          <w:tab w:val="left" w:pos="720"/>
        </w:tabs>
        <w:spacing w:line="360" w:lineRule="auto"/>
        <w:ind w:firstLine="420" w:firstLineChars="175"/>
        <w:rPr>
          <w:rFonts w:hAnsi="宋体" w:cs="宋体"/>
          <w:sz w:val="24"/>
          <w:szCs w:val="24"/>
        </w:rPr>
      </w:pPr>
      <w:r>
        <w:rPr>
          <w:rFonts w:hint="eastAsia"/>
          <w:sz w:val="24"/>
        </w:rPr>
        <w:t xml:space="preserve">  10.1 磋商文件是供应商准备响应文件和参加磋商的依据，同时也是磋商评审的重要依据，具有准法律文件性质。磋商文件用以阐明磋商项目所需的资质、技术、服务及报价等要求、磋商程序、有关规定和注意事项以及合同主要条款等。</w:t>
      </w:r>
    </w:p>
    <w:p>
      <w:pPr>
        <w:tabs>
          <w:tab w:val="left" w:pos="7665"/>
        </w:tabs>
        <w:adjustRightInd w:val="0"/>
        <w:spacing w:line="480" w:lineRule="exact"/>
        <w:ind w:firstLine="480" w:firstLineChars="200"/>
        <w:rPr>
          <w:sz w:val="24"/>
        </w:rPr>
      </w:pPr>
      <w:r>
        <w:rPr>
          <w:rFonts w:hint="eastAsia" w:hAnsi="宋体"/>
          <w:sz w:val="24"/>
        </w:rPr>
        <w:t>10.2竞磋人应认真阅读和充分理解磋商文件中的所有事项、格式条款和规范要求。竞磋人应详细阅读磋商文件的全部内容，按照磋商文件的要求提供响应文件，并保证所提供的全部资料的真实性和有效性，一经发现有虚假行为的，将取消其参加磋商或成交资格，并承担相应的法律责任。竞磋人没有对磋商文件全面做出实质性响应是竞磋人的风险。没有按照磋商文件要求作出实质性响应的响应文件将视为无效响应。</w:t>
      </w:r>
    </w:p>
    <w:p>
      <w:pPr>
        <w:pStyle w:val="5"/>
        <w:spacing w:line="400" w:lineRule="exact"/>
        <w:ind w:firstLine="482" w:firstLineChars="200"/>
        <w:rPr>
          <w:sz w:val="24"/>
        </w:rPr>
      </w:pPr>
      <w:bookmarkStart w:id="44" w:name="_Toc183582211"/>
      <w:bookmarkStart w:id="45" w:name="_Toc183682348"/>
      <w:bookmarkStart w:id="46" w:name="_Toc217446040"/>
      <w:r>
        <w:rPr>
          <w:rFonts w:hint="eastAsia"/>
          <w:sz w:val="24"/>
        </w:rPr>
        <w:t>11. 磋商文件的澄清</w:t>
      </w:r>
      <w:bookmarkEnd w:id="44"/>
      <w:bookmarkEnd w:id="45"/>
      <w:r>
        <w:rPr>
          <w:rFonts w:hint="eastAsia"/>
          <w:sz w:val="24"/>
        </w:rPr>
        <w:t>和修改</w:t>
      </w:r>
      <w:bookmarkEnd w:id="46"/>
    </w:p>
    <w:p>
      <w:pPr>
        <w:tabs>
          <w:tab w:val="left" w:pos="7665"/>
        </w:tabs>
        <w:spacing w:line="400" w:lineRule="exact"/>
        <w:ind w:firstLine="480" w:firstLineChars="200"/>
        <w:rPr>
          <w:sz w:val="24"/>
        </w:rPr>
      </w:pPr>
      <w:r>
        <w:rPr>
          <w:rFonts w:hint="eastAsia"/>
          <w:sz w:val="24"/>
        </w:rPr>
        <w:t>11.1在</w:t>
      </w:r>
      <w:r>
        <w:rPr>
          <w:rFonts w:hint="eastAsia" w:hAnsi="宋体"/>
          <w:sz w:val="24"/>
        </w:rPr>
        <w:t>响应文件递交</w:t>
      </w:r>
      <w:r>
        <w:rPr>
          <w:rFonts w:hint="eastAsia"/>
          <w:sz w:val="24"/>
        </w:rPr>
        <w:t>截止时间前，磋商采购单位可以依法对磋商文件进行澄清或者修改。</w:t>
      </w:r>
    </w:p>
    <w:p>
      <w:pPr>
        <w:tabs>
          <w:tab w:val="left" w:pos="7665"/>
        </w:tabs>
        <w:spacing w:line="400" w:lineRule="exact"/>
        <w:ind w:firstLine="480" w:firstLineChars="200"/>
        <w:rPr>
          <w:sz w:val="24"/>
        </w:rPr>
      </w:pPr>
      <w:r>
        <w:rPr>
          <w:rFonts w:hint="eastAsia"/>
          <w:sz w:val="24"/>
        </w:rPr>
        <w:t xml:space="preserve">11.2 </w:t>
      </w:r>
      <w:r>
        <w:rPr>
          <w:rFonts w:hint="eastAsia" w:hAnsi="宋体"/>
          <w:sz w:val="24"/>
        </w:rPr>
        <w:t>采购单位对已发出的磋商文件进行澄清或者修改，应当以书面形式将澄清或者修改的内容通知所有购买了磋商文件的供应商。该澄清或者修改的内容为磋商文件的组成部分，澄清或者修改的内容可能影响响应文件编制的，采购人发布公告并书面通知供应商的时间，应当在</w:t>
      </w:r>
      <w:r>
        <w:rPr>
          <w:rFonts w:hint="eastAsia" w:hAnsi="宋体" w:cs="宋体"/>
          <w:sz w:val="24"/>
        </w:rPr>
        <w:t>提交</w:t>
      </w:r>
      <w:r>
        <w:rPr>
          <w:rFonts w:hint="eastAsia" w:hAnsi="宋体"/>
          <w:sz w:val="24"/>
        </w:rPr>
        <w:t>首次响应文件截</w:t>
      </w:r>
      <w:r>
        <w:rPr>
          <w:rFonts w:hint="eastAsia" w:hAnsi="宋体" w:cs="宋体"/>
          <w:sz w:val="24"/>
        </w:rPr>
        <w:t>止之日起3个工作日前</w:t>
      </w:r>
      <w:r>
        <w:rPr>
          <w:rFonts w:hint="eastAsia" w:hAnsi="宋体"/>
          <w:sz w:val="24"/>
        </w:rPr>
        <w:t>。</w:t>
      </w:r>
    </w:p>
    <w:p>
      <w:pPr>
        <w:tabs>
          <w:tab w:val="left" w:pos="7665"/>
        </w:tabs>
        <w:spacing w:line="400" w:lineRule="exact"/>
        <w:ind w:firstLine="480" w:firstLineChars="200"/>
        <w:rPr>
          <w:sz w:val="24"/>
        </w:rPr>
      </w:pPr>
      <w:r>
        <w:rPr>
          <w:rFonts w:hint="eastAsia"/>
          <w:sz w:val="24"/>
        </w:rPr>
        <w:t>11.3</w:t>
      </w:r>
      <w:r>
        <w:rPr>
          <w:rFonts w:hint="eastAsia" w:hAnsi="宋体"/>
          <w:sz w:val="24"/>
        </w:rPr>
        <w:t>在响应文件递交截止时间前，磋商采购单位可以视采购具体情况，延长响应文件递交截止时间和磋商时间，并以电话</w:t>
      </w:r>
      <w:r>
        <w:rPr>
          <w:rFonts w:hint="eastAsia"/>
          <w:sz w:val="24"/>
        </w:rPr>
        <w:t>形式通知所有领取了磋商文件的供应商。</w:t>
      </w:r>
    </w:p>
    <w:p>
      <w:pPr>
        <w:topLinePunct/>
        <w:spacing w:line="480" w:lineRule="exact"/>
        <w:ind w:firstLine="480" w:firstLineChars="200"/>
        <w:jc w:val="left"/>
        <w:rPr>
          <w:rFonts w:hAnsi="宋体"/>
          <w:bCs/>
          <w:spacing w:val="8"/>
          <w:sz w:val="24"/>
        </w:rPr>
      </w:pPr>
      <w:r>
        <w:rPr>
          <w:rFonts w:hint="eastAsia"/>
          <w:sz w:val="24"/>
        </w:rPr>
        <w:t>11.4</w:t>
      </w:r>
      <w:r>
        <w:rPr>
          <w:rFonts w:hint="eastAsia" w:hAnsi="宋体"/>
          <w:bCs/>
          <w:spacing w:val="8"/>
          <w:sz w:val="24"/>
        </w:rPr>
        <w:t>磋商文件中采购人编制的内容前后有矛盾或不一致，有时间先后顺序的，以时间在后的修改、澄清或补正文件为准；没有时间先后顺序的，按有利于供应商的原则进行处理。</w:t>
      </w:r>
    </w:p>
    <w:p>
      <w:pPr>
        <w:tabs>
          <w:tab w:val="left" w:pos="7665"/>
        </w:tabs>
        <w:spacing w:line="400" w:lineRule="exact"/>
        <w:ind w:firstLine="512" w:firstLineChars="200"/>
        <w:rPr>
          <w:sz w:val="24"/>
        </w:rPr>
      </w:pPr>
      <w:r>
        <w:rPr>
          <w:rFonts w:hint="eastAsia" w:hAnsi="宋体"/>
          <w:bCs/>
          <w:spacing w:val="8"/>
          <w:sz w:val="24"/>
        </w:rPr>
        <w:t>11.5本磋商文件的解释权归磋商采购单位。</w:t>
      </w:r>
    </w:p>
    <w:p>
      <w:pPr>
        <w:pStyle w:val="5"/>
        <w:spacing w:line="400" w:lineRule="exact"/>
        <w:ind w:firstLine="482" w:firstLineChars="200"/>
        <w:rPr>
          <w:sz w:val="24"/>
        </w:rPr>
      </w:pPr>
      <w:bookmarkStart w:id="47" w:name="_Toc217446041"/>
      <w:bookmarkStart w:id="48" w:name="_Toc208848971"/>
      <w:r>
        <w:rPr>
          <w:rFonts w:hint="eastAsia"/>
          <w:sz w:val="24"/>
        </w:rPr>
        <w:t>12. 答疑会和现场考察</w:t>
      </w:r>
      <w:bookmarkEnd w:id="47"/>
      <w:bookmarkEnd w:id="48"/>
    </w:p>
    <w:p>
      <w:pPr>
        <w:tabs>
          <w:tab w:val="left" w:pos="7665"/>
        </w:tabs>
        <w:spacing w:line="400" w:lineRule="exact"/>
        <w:ind w:firstLine="480" w:firstLineChars="200"/>
        <w:rPr>
          <w:sz w:val="24"/>
        </w:rPr>
      </w:pPr>
      <w:r>
        <w:rPr>
          <w:rFonts w:hint="eastAsia"/>
          <w:sz w:val="24"/>
        </w:rPr>
        <w:t>12.1 根据采购项目和具体情况，本项目不组织潜在竞磋人现场考察或者召开磋商前答疑会。</w:t>
      </w:r>
    </w:p>
    <w:p>
      <w:pPr>
        <w:tabs>
          <w:tab w:val="left" w:pos="7665"/>
        </w:tabs>
        <w:spacing w:line="400" w:lineRule="exact"/>
        <w:ind w:firstLine="480" w:firstLineChars="200"/>
        <w:rPr>
          <w:sz w:val="24"/>
        </w:rPr>
      </w:pPr>
      <w:r>
        <w:rPr>
          <w:rFonts w:hint="eastAsia"/>
          <w:sz w:val="24"/>
        </w:rPr>
        <w:t>12.2 供应商考察现场所发生的一切费用由供应商自己承担。</w:t>
      </w:r>
    </w:p>
    <w:p>
      <w:pPr>
        <w:tabs>
          <w:tab w:val="left" w:pos="7665"/>
        </w:tabs>
        <w:spacing w:line="400" w:lineRule="exact"/>
        <w:ind w:firstLine="480" w:firstLineChars="200"/>
        <w:rPr>
          <w:sz w:val="24"/>
        </w:rPr>
      </w:pPr>
    </w:p>
    <w:p>
      <w:pPr>
        <w:pStyle w:val="4"/>
        <w:spacing w:line="400" w:lineRule="exact"/>
        <w:jc w:val="center"/>
        <w:rPr>
          <w:rFonts w:ascii="黑体"/>
          <w:bCs w:val="0"/>
        </w:rPr>
      </w:pPr>
      <w:bookmarkStart w:id="49" w:name="_Toc217446042"/>
      <w:bookmarkStart w:id="50" w:name="_Toc183582214"/>
      <w:bookmarkStart w:id="51" w:name="_Toc77400780"/>
      <w:bookmarkStart w:id="52" w:name="_Toc183682351"/>
      <w:bookmarkStart w:id="53" w:name="_Toc89075876"/>
      <w:r>
        <w:rPr>
          <w:rFonts w:hint="eastAsia" w:ascii="黑体"/>
          <w:bCs w:val="0"/>
        </w:rPr>
        <w:t>四、</w:t>
      </w:r>
      <w:bookmarkEnd w:id="49"/>
      <w:bookmarkEnd w:id="50"/>
      <w:bookmarkEnd w:id="51"/>
      <w:bookmarkEnd w:id="52"/>
      <w:bookmarkEnd w:id="53"/>
      <w:r>
        <w:rPr>
          <w:rFonts w:hint="eastAsia" w:ascii="黑体"/>
          <w:bCs w:val="0"/>
        </w:rPr>
        <w:t>响应文件</w:t>
      </w:r>
    </w:p>
    <w:p>
      <w:pPr>
        <w:pStyle w:val="5"/>
        <w:spacing w:line="400" w:lineRule="exact"/>
        <w:rPr>
          <w:bCs w:val="0"/>
          <w:sz w:val="24"/>
        </w:rPr>
      </w:pPr>
      <w:bookmarkStart w:id="54" w:name="_Toc183682352"/>
      <w:bookmarkStart w:id="55" w:name="_Toc217446043"/>
      <w:bookmarkStart w:id="56" w:name="_Toc183582215"/>
      <w:r>
        <w:rPr>
          <w:rFonts w:hint="eastAsia"/>
          <w:bCs w:val="0"/>
          <w:sz w:val="24"/>
        </w:rPr>
        <w:t>13．响应文件的语言</w:t>
      </w:r>
      <w:bookmarkEnd w:id="54"/>
      <w:bookmarkEnd w:id="55"/>
      <w:bookmarkEnd w:id="56"/>
      <w:r>
        <w:rPr>
          <w:rFonts w:hint="eastAsia"/>
          <w:bCs w:val="0"/>
          <w:sz w:val="24"/>
        </w:rPr>
        <w:t>（实质性要求）</w:t>
      </w:r>
    </w:p>
    <w:p>
      <w:pPr>
        <w:tabs>
          <w:tab w:val="left" w:pos="1134"/>
        </w:tabs>
        <w:spacing w:line="360" w:lineRule="auto"/>
        <w:ind w:firstLine="480" w:firstLineChars="200"/>
        <w:jc w:val="left"/>
        <w:rPr>
          <w:sz w:val="24"/>
        </w:rPr>
      </w:pPr>
      <w:bookmarkStart w:id="57" w:name="_Toc183682353"/>
      <w:bookmarkStart w:id="58" w:name="_Toc183582216"/>
      <w:bookmarkStart w:id="59" w:name="_Toc217446044"/>
      <w:r>
        <w:rPr>
          <w:rFonts w:hint="eastAsia"/>
          <w:sz w:val="24"/>
        </w:rPr>
        <w:t>13.1 竞磋人提交的响应文件以及竞磋人与磋商采购单位就有关磋商的所有来往书面文件均须使用中文</w:t>
      </w:r>
      <w:r>
        <w:rPr>
          <w:rFonts w:hint="eastAsia" w:hAnsi="宋体"/>
          <w:bCs/>
          <w:sz w:val="24"/>
          <w:szCs w:val="24"/>
        </w:rPr>
        <w:t>（规格、型号辅助符号例外）</w:t>
      </w:r>
      <w:r>
        <w:rPr>
          <w:rFonts w:hint="eastAsia"/>
          <w:sz w:val="24"/>
        </w:rPr>
        <w:t>。响应文件中如附有外文资料，必须逐一对应翻译成中文并加盖竞磋人公章后附在相关外文资料后面，否则，所提供的外文资料将可能被视为无效材料。（说明：供应商的法定代表人为外籍人士的，法定代表人的签字和护照除外。）</w:t>
      </w:r>
    </w:p>
    <w:p>
      <w:pPr>
        <w:spacing w:line="400" w:lineRule="exact"/>
        <w:ind w:firstLine="480" w:firstLineChars="200"/>
        <w:rPr>
          <w:rFonts w:hAnsi="宋体" w:cs="宋体"/>
          <w:sz w:val="24"/>
        </w:rPr>
      </w:pPr>
      <w:r>
        <w:rPr>
          <w:rFonts w:hint="eastAsia"/>
          <w:sz w:val="24"/>
        </w:rPr>
        <w:t>13.2 翻译的中文资料与外文资料如果出现差异和矛盾时，以中文为准。</w:t>
      </w:r>
      <w:r>
        <w:rPr>
          <w:rFonts w:hint="eastAsia" w:hAnsi="宋体"/>
          <w:sz w:val="24"/>
        </w:rPr>
        <w:t>但不能故意错误翻译，否则，供应商的响应文件将作为无效处理。</w:t>
      </w:r>
      <w:r>
        <w:rPr>
          <w:rFonts w:hint="eastAsia" w:hAnsi="宋体" w:cs="宋体"/>
          <w:sz w:val="24"/>
        </w:rPr>
        <w:t>实质性翻译错误的，所提供的外文资料将被视为无效材料。涉嫌虚假响应的按照相关法律法规处理。</w:t>
      </w:r>
    </w:p>
    <w:p>
      <w:pPr>
        <w:pStyle w:val="5"/>
        <w:spacing w:line="400" w:lineRule="exact"/>
        <w:ind w:firstLine="482" w:firstLineChars="200"/>
        <w:rPr>
          <w:sz w:val="24"/>
        </w:rPr>
      </w:pPr>
      <w:r>
        <w:rPr>
          <w:rFonts w:hint="eastAsia"/>
          <w:sz w:val="24"/>
        </w:rPr>
        <w:t>14．计量单位</w:t>
      </w:r>
      <w:bookmarkEnd w:id="57"/>
      <w:bookmarkEnd w:id="58"/>
      <w:bookmarkEnd w:id="59"/>
    </w:p>
    <w:p>
      <w:pPr>
        <w:spacing w:line="400" w:lineRule="exact"/>
        <w:ind w:firstLine="470" w:firstLineChars="196"/>
        <w:rPr>
          <w:sz w:val="24"/>
        </w:rPr>
      </w:pPr>
      <w:r>
        <w:rPr>
          <w:rFonts w:hint="eastAsia"/>
          <w:sz w:val="24"/>
        </w:rPr>
        <w:t>除磋商文件中另有规定外，本次采购项目所有合同项下的磋商均采用国家法定的计量单位。</w:t>
      </w:r>
    </w:p>
    <w:p>
      <w:pPr>
        <w:pStyle w:val="5"/>
        <w:spacing w:line="400" w:lineRule="exact"/>
        <w:rPr>
          <w:sz w:val="24"/>
          <w:szCs w:val="24"/>
        </w:rPr>
      </w:pPr>
      <w:r>
        <w:rPr>
          <w:rFonts w:hint="eastAsia"/>
        </w:rPr>
        <w:t xml:space="preserve"> </w:t>
      </w:r>
      <w:bookmarkStart w:id="60" w:name="_Toc217446045"/>
      <w:r>
        <w:rPr>
          <w:rFonts w:hint="eastAsia"/>
        </w:rPr>
        <w:t xml:space="preserve">  </w:t>
      </w:r>
      <w:r>
        <w:rPr>
          <w:rFonts w:hint="eastAsia"/>
          <w:sz w:val="24"/>
          <w:szCs w:val="24"/>
        </w:rPr>
        <w:t>15. 磋商货币</w:t>
      </w:r>
      <w:bookmarkEnd w:id="60"/>
    </w:p>
    <w:p>
      <w:pPr>
        <w:tabs>
          <w:tab w:val="left" w:pos="7665"/>
        </w:tabs>
        <w:spacing w:line="400" w:lineRule="exact"/>
        <w:ind w:left="13" w:hanging="118"/>
        <w:rPr>
          <w:sz w:val="24"/>
        </w:rPr>
      </w:pPr>
      <w:r>
        <w:rPr>
          <w:rFonts w:hint="eastAsia"/>
          <w:b/>
          <w:sz w:val="24"/>
        </w:rPr>
        <w:t xml:space="preserve">    </w:t>
      </w:r>
      <w:r>
        <w:rPr>
          <w:rFonts w:hint="eastAsia"/>
          <w:sz w:val="24"/>
        </w:rPr>
        <w:t xml:space="preserve"> 本次磋商项目的磋商均以人民币报价，报价以磋商文件规定为准。 </w:t>
      </w:r>
    </w:p>
    <w:p>
      <w:pPr>
        <w:pStyle w:val="5"/>
        <w:spacing w:line="400" w:lineRule="exact"/>
        <w:ind w:firstLine="482" w:firstLineChars="200"/>
        <w:rPr>
          <w:sz w:val="24"/>
        </w:rPr>
      </w:pPr>
      <w:bookmarkStart w:id="61" w:name="_Toc183582217"/>
      <w:bookmarkStart w:id="62" w:name="_Toc183682354"/>
      <w:bookmarkStart w:id="63" w:name="_Toc308164798"/>
      <w:bookmarkStart w:id="64" w:name="_Toc217446048"/>
      <w:r>
        <w:rPr>
          <w:rFonts w:hint="eastAsia"/>
          <w:sz w:val="24"/>
        </w:rPr>
        <w:t>16．响应文件的组成</w:t>
      </w:r>
      <w:bookmarkEnd w:id="61"/>
      <w:bookmarkEnd w:id="62"/>
      <w:bookmarkEnd w:id="63"/>
      <w:bookmarkEnd w:id="64"/>
    </w:p>
    <w:p>
      <w:pPr>
        <w:tabs>
          <w:tab w:val="left" w:pos="7665"/>
        </w:tabs>
        <w:spacing w:line="400" w:lineRule="exact"/>
        <w:ind w:left="13" w:hanging="118"/>
        <w:rPr>
          <w:sz w:val="24"/>
        </w:rPr>
      </w:pPr>
      <w:r>
        <w:rPr>
          <w:rFonts w:hint="eastAsia"/>
        </w:rPr>
        <w:t xml:space="preserve">    </w:t>
      </w:r>
      <w:r>
        <w:rPr>
          <w:rFonts w:hint="eastAsia"/>
          <w:sz w:val="24"/>
        </w:rPr>
        <w:t>竞磋人应按照磋商文件的规定和要求编制响应文件。竞磋人拟在成交后将成交项目的非主体、非关键性工作交由他人分包完成的，应当在响应文件中载明或</w:t>
      </w:r>
      <w:r>
        <w:rPr>
          <w:rFonts w:hint="eastAsia" w:hAnsi="宋体"/>
          <w:sz w:val="24"/>
        </w:rPr>
        <w:t>磋商过程中澄清</w:t>
      </w:r>
      <w:r>
        <w:rPr>
          <w:rFonts w:hint="eastAsia"/>
          <w:sz w:val="24"/>
        </w:rPr>
        <w:t>。</w:t>
      </w:r>
    </w:p>
    <w:p>
      <w:pPr>
        <w:tabs>
          <w:tab w:val="left" w:pos="7665"/>
        </w:tabs>
        <w:spacing w:line="400" w:lineRule="exact"/>
        <w:ind w:firstLine="480" w:firstLineChars="200"/>
        <w:rPr>
          <w:rFonts w:hAnsi="宋体" w:cs="宋体"/>
          <w:sz w:val="24"/>
        </w:rPr>
      </w:pPr>
      <w:r>
        <w:rPr>
          <w:rFonts w:hint="eastAsia"/>
          <w:sz w:val="24"/>
        </w:rPr>
        <w:t>供应商编写的响应文件应包括资格性响应文件、其他响应文件两部分，可不进行分册装订</w:t>
      </w:r>
      <w:r>
        <w:rPr>
          <w:rFonts w:hint="eastAsia" w:hAnsi="宋体" w:cs="宋体"/>
          <w:color w:val="0000FF"/>
          <w:sz w:val="24"/>
        </w:rPr>
        <w:t>。供应商对其提交的响应文件的真实性、合法性承担法律责任。</w:t>
      </w:r>
      <w:r>
        <w:rPr>
          <w:rFonts w:hint="eastAsia"/>
          <w:b/>
          <w:bCs/>
          <w:color w:val="0000FF"/>
          <w:sz w:val="24"/>
        </w:rPr>
        <w:t>（实质性要求）</w:t>
      </w:r>
    </w:p>
    <w:p>
      <w:pPr>
        <w:spacing w:line="400" w:lineRule="exact"/>
        <w:rPr>
          <w:rFonts w:hAnsi="宋体" w:cs="宋体"/>
          <w:color w:val="0000FF"/>
          <w:sz w:val="24"/>
        </w:rPr>
      </w:pPr>
      <w:r>
        <w:rPr>
          <w:rFonts w:hint="eastAsia" w:hAnsi="宋体" w:cs="宋体"/>
          <w:b/>
          <w:bCs/>
          <w:sz w:val="24"/>
        </w:rPr>
        <w:t>16.1</w:t>
      </w:r>
      <w:r>
        <w:rPr>
          <w:rFonts w:hint="eastAsia" w:hAnsi="宋体" w:cs="宋体"/>
          <w:b/>
          <w:bCs/>
          <w:color w:val="0000FF"/>
          <w:sz w:val="24"/>
        </w:rPr>
        <w:t>资格性响应文件主要包括（但不限于）第四章要求提供的内容</w:t>
      </w:r>
      <w:r>
        <w:rPr>
          <w:rFonts w:hint="eastAsia" w:hAnsi="宋体" w:cs="宋体"/>
          <w:color w:val="0000FF"/>
          <w:sz w:val="24"/>
        </w:rPr>
        <w:t>；</w:t>
      </w:r>
    </w:p>
    <w:p>
      <w:pPr>
        <w:spacing w:line="400" w:lineRule="exact"/>
        <w:rPr>
          <w:rFonts w:hAnsi="宋体" w:cs="宋体"/>
          <w:bCs/>
          <w:color w:val="0000FF"/>
          <w:sz w:val="24"/>
          <w:szCs w:val="24"/>
        </w:rPr>
      </w:pPr>
      <w:r>
        <w:rPr>
          <w:rFonts w:hint="eastAsia" w:hAnsi="宋体" w:cs="宋体"/>
          <w:b/>
          <w:color w:val="0000FF"/>
          <w:sz w:val="24"/>
          <w:szCs w:val="24"/>
        </w:rPr>
        <w:t>16.2其他响应文件包括（但不限于）以下内容</w:t>
      </w:r>
      <w:r>
        <w:rPr>
          <w:rFonts w:hint="eastAsia" w:hAnsi="宋体" w:cs="宋体"/>
          <w:bCs/>
          <w:color w:val="0000FF"/>
          <w:sz w:val="24"/>
          <w:szCs w:val="24"/>
        </w:rPr>
        <w:t>：</w:t>
      </w:r>
    </w:p>
    <w:p>
      <w:pPr>
        <w:spacing w:line="520" w:lineRule="exact"/>
        <w:ind w:firstLine="592" w:firstLineChars="247"/>
        <w:rPr>
          <w:rFonts w:hAnsi="宋体" w:cs="宋体"/>
          <w:bCs/>
          <w:color w:val="0000FF"/>
          <w:sz w:val="24"/>
          <w:szCs w:val="24"/>
        </w:rPr>
      </w:pPr>
      <w:r>
        <w:rPr>
          <w:rFonts w:hint="eastAsia" w:hAnsi="宋体" w:cs="宋体"/>
          <w:bCs/>
          <w:color w:val="0000FF"/>
          <w:sz w:val="24"/>
          <w:szCs w:val="24"/>
        </w:rPr>
        <w:t>16.2.1报价表（格式见附件）；</w:t>
      </w:r>
    </w:p>
    <w:p>
      <w:pPr>
        <w:spacing w:line="360" w:lineRule="auto"/>
        <w:ind w:firstLine="592" w:firstLineChars="247"/>
        <w:rPr>
          <w:rFonts w:hAnsi="宋体" w:cs="宋体"/>
          <w:bCs/>
          <w:color w:val="0000FF"/>
          <w:sz w:val="24"/>
          <w:szCs w:val="24"/>
        </w:rPr>
      </w:pPr>
      <w:r>
        <w:rPr>
          <w:rFonts w:hint="eastAsia" w:hAnsi="宋体" w:cs="宋体"/>
          <w:bCs/>
          <w:color w:val="0000FF"/>
          <w:sz w:val="24"/>
          <w:szCs w:val="24"/>
        </w:rPr>
        <w:t>16.2.2技术服务要求响应表；</w:t>
      </w:r>
    </w:p>
    <w:p>
      <w:pPr>
        <w:spacing w:line="360" w:lineRule="auto"/>
        <w:ind w:firstLine="592" w:firstLineChars="247"/>
        <w:rPr>
          <w:rFonts w:hAnsi="宋体" w:cs="宋体"/>
          <w:color w:val="0000FF"/>
          <w:kern w:val="2"/>
          <w:sz w:val="24"/>
          <w:szCs w:val="24"/>
        </w:rPr>
      </w:pPr>
      <w:r>
        <w:rPr>
          <w:rFonts w:hint="eastAsia" w:hAnsi="宋体" w:cs="宋体"/>
          <w:bCs/>
          <w:color w:val="0000FF"/>
          <w:sz w:val="24"/>
          <w:szCs w:val="24"/>
        </w:rPr>
        <w:t>16.2.3商务要求响应表；</w:t>
      </w:r>
    </w:p>
    <w:p>
      <w:pPr>
        <w:spacing w:line="360" w:lineRule="auto"/>
        <w:rPr>
          <w:rFonts w:hAnsi="宋体" w:cs="宋体"/>
          <w:color w:val="0000FF"/>
          <w:kern w:val="2"/>
          <w:sz w:val="24"/>
          <w:szCs w:val="24"/>
        </w:rPr>
      </w:pPr>
      <w:r>
        <w:rPr>
          <w:rFonts w:hint="eastAsia" w:hAnsi="宋体" w:cs="宋体"/>
          <w:color w:val="0000FF"/>
          <w:kern w:val="2"/>
          <w:sz w:val="24"/>
          <w:szCs w:val="24"/>
        </w:rPr>
        <w:t xml:space="preserve">     16.2.4</w:t>
      </w:r>
      <w:r>
        <w:rPr>
          <w:rFonts w:hint="eastAsia" w:hAnsi="宋体" w:cs="宋体"/>
          <w:bCs/>
          <w:color w:val="0000FF"/>
          <w:sz w:val="24"/>
          <w:szCs w:val="24"/>
        </w:rPr>
        <w:t>拟投入本项目管理、服务、其他人员情况表；</w:t>
      </w:r>
    </w:p>
    <w:p>
      <w:pPr>
        <w:spacing w:line="360" w:lineRule="auto"/>
        <w:rPr>
          <w:rFonts w:hAnsi="宋体" w:cs="宋体"/>
          <w:bCs/>
          <w:color w:val="0000FF"/>
          <w:sz w:val="24"/>
          <w:szCs w:val="24"/>
        </w:rPr>
      </w:pPr>
      <w:r>
        <w:rPr>
          <w:rFonts w:hint="eastAsia" w:hAnsi="宋体" w:cs="宋体"/>
          <w:color w:val="0000FF"/>
          <w:kern w:val="2"/>
          <w:sz w:val="24"/>
          <w:szCs w:val="24"/>
        </w:rPr>
        <w:t xml:space="preserve">     </w:t>
      </w:r>
      <w:r>
        <w:rPr>
          <w:rFonts w:hint="eastAsia" w:hAnsi="宋体" w:cs="宋体"/>
          <w:bCs/>
          <w:color w:val="0000FF"/>
          <w:sz w:val="24"/>
          <w:szCs w:val="24"/>
        </w:rPr>
        <w:t>16.2.5磋商文件要求的其他非资格要求的证明材料；</w:t>
      </w:r>
    </w:p>
    <w:p>
      <w:pPr>
        <w:spacing w:line="360" w:lineRule="auto"/>
        <w:rPr>
          <w:rFonts w:hAnsi="宋体" w:cs="宋体"/>
          <w:color w:val="0000FF"/>
          <w:kern w:val="2"/>
          <w:sz w:val="24"/>
          <w:szCs w:val="24"/>
        </w:rPr>
      </w:pPr>
      <w:r>
        <w:rPr>
          <w:rFonts w:hint="eastAsia" w:hAnsi="宋体" w:cs="宋体"/>
          <w:color w:val="0000FF"/>
          <w:kern w:val="2"/>
          <w:sz w:val="24"/>
          <w:szCs w:val="24"/>
        </w:rPr>
        <w:t xml:space="preserve">     </w:t>
      </w:r>
      <w:r>
        <w:rPr>
          <w:rFonts w:hint="eastAsia" w:hAnsi="宋体" w:cs="宋体"/>
          <w:bCs/>
          <w:color w:val="0000FF"/>
          <w:sz w:val="24"/>
          <w:szCs w:val="24"/>
        </w:rPr>
        <w:t>16.2.6竞磋人认为需提供的其他材料。</w:t>
      </w:r>
    </w:p>
    <w:p>
      <w:pPr>
        <w:spacing w:line="560" w:lineRule="exact"/>
        <w:ind w:firstLine="482" w:firstLineChars="200"/>
        <w:rPr>
          <w:sz w:val="24"/>
        </w:rPr>
      </w:pPr>
      <w:r>
        <w:rPr>
          <w:rFonts w:hint="eastAsia" w:ascii="楷体_GB2312" w:eastAsia="楷体_GB2312"/>
          <w:b/>
          <w:sz w:val="24"/>
          <w:u w:val="thick"/>
        </w:rPr>
        <w:t>▲特别提醒：</w:t>
      </w:r>
      <w:r>
        <w:rPr>
          <w:rFonts w:hint="eastAsia"/>
          <w:sz w:val="24"/>
        </w:rPr>
        <w:t>以上证明材料要求提供复印件的必须加盖竞磋人(法定名称)鲜章,不得使用专用印章（如经济合同章、投标专用章等）或下属单位印章代替。同时，以上材料应逐一审查通过。</w:t>
      </w:r>
    </w:p>
    <w:p>
      <w:pPr>
        <w:tabs>
          <w:tab w:val="left" w:pos="1050"/>
        </w:tabs>
        <w:spacing w:line="480" w:lineRule="exact"/>
        <w:rPr>
          <w:rFonts w:hAnsi="宋体" w:cs="宋体"/>
          <w:b/>
          <w:bCs/>
          <w:sz w:val="24"/>
          <w:szCs w:val="24"/>
        </w:rPr>
      </w:pPr>
      <w:r>
        <w:rPr>
          <w:rFonts w:hint="eastAsia" w:hAnsi="宋体" w:cs="宋体"/>
          <w:b/>
          <w:bCs/>
          <w:sz w:val="24"/>
          <w:szCs w:val="24"/>
        </w:rPr>
        <w:t xml:space="preserve"> 17.无效响应文件的确认</w:t>
      </w:r>
    </w:p>
    <w:p>
      <w:pPr>
        <w:tabs>
          <w:tab w:val="left" w:pos="1050"/>
        </w:tabs>
        <w:spacing w:line="480" w:lineRule="exact"/>
        <w:rPr>
          <w:rFonts w:hAnsi="宋体" w:cs="宋体"/>
          <w:bCs/>
          <w:sz w:val="24"/>
          <w:szCs w:val="24"/>
        </w:rPr>
      </w:pPr>
      <w:r>
        <w:rPr>
          <w:rFonts w:hint="eastAsia" w:hAnsi="宋体" w:cs="宋体"/>
          <w:bCs/>
          <w:sz w:val="24"/>
          <w:szCs w:val="24"/>
        </w:rPr>
        <w:t>供应商有下列情况之一者，其响应文件无效；</w:t>
      </w:r>
    </w:p>
    <w:p>
      <w:pPr>
        <w:tabs>
          <w:tab w:val="left" w:pos="930"/>
        </w:tabs>
        <w:spacing w:line="480" w:lineRule="exact"/>
        <w:ind w:firstLine="480" w:firstLineChars="200"/>
        <w:rPr>
          <w:rFonts w:hAnsi="宋体" w:cs="宋体"/>
          <w:bCs/>
          <w:sz w:val="24"/>
          <w:szCs w:val="24"/>
        </w:rPr>
      </w:pPr>
      <w:r>
        <w:rPr>
          <w:rFonts w:hint="eastAsia" w:hAnsi="宋体" w:cs="宋体"/>
          <w:bCs/>
          <w:sz w:val="24"/>
          <w:szCs w:val="24"/>
        </w:rPr>
        <w:t>17.1未按规定交纳磋商保证金的；（本项目不涉及此项要求）</w:t>
      </w:r>
    </w:p>
    <w:p>
      <w:pPr>
        <w:spacing w:line="480" w:lineRule="exact"/>
        <w:ind w:firstLine="480" w:firstLineChars="200"/>
        <w:rPr>
          <w:rFonts w:hAnsi="宋体" w:cs="宋体"/>
          <w:bCs/>
          <w:sz w:val="24"/>
          <w:szCs w:val="24"/>
        </w:rPr>
      </w:pPr>
      <w:r>
        <w:rPr>
          <w:rFonts w:hint="eastAsia" w:hAnsi="宋体" w:cs="宋体"/>
          <w:bCs/>
          <w:sz w:val="24"/>
          <w:szCs w:val="24"/>
        </w:rPr>
        <w:t>17.2响应文件未按规定的期限、地点送达的；</w:t>
      </w:r>
    </w:p>
    <w:p>
      <w:pPr>
        <w:spacing w:line="480" w:lineRule="exact"/>
        <w:ind w:firstLine="480" w:firstLineChars="200"/>
        <w:rPr>
          <w:rFonts w:hAnsi="宋体" w:cs="宋体"/>
          <w:bCs/>
          <w:sz w:val="24"/>
          <w:szCs w:val="24"/>
        </w:rPr>
      </w:pPr>
      <w:r>
        <w:rPr>
          <w:rFonts w:hint="eastAsia" w:hAnsi="宋体" w:cs="宋体"/>
          <w:bCs/>
          <w:sz w:val="24"/>
          <w:szCs w:val="24"/>
        </w:rPr>
        <w:t>17.3响应文件正副本数量不足的；</w:t>
      </w:r>
    </w:p>
    <w:p>
      <w:pPr>
        <w:spacing w:line="480" w:lineRule="exact"/>
        <w:ind w:firstLine="480" w:firstLineChars="200"/>
        <w:rPr>
          <w:rFonts w:hAnsi="宋体" w:cs="宋体"/>
          <w:bCs/>
          <w:sz w:val="24"/>
          <w:szCs w:val="24"/>
        </w:rPr>
      </w:pPr>
      <w:r>
        <w:rPr>
          <w:rFonts w:hint="eastAsia" w:hAnsi="宋体" w:cs="宋体"/>
          <w:bCs/>
          <w:sz w:val="24"/>
          <w:szCs w:val="24"/>
        </w:rPr>
        <w:t>17.4响应文件未按要求密封、签署、盖章的（磋商文件明确不作为实质性要求的除外）；</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17.5</w:t>
      </w:r>
      <w:r>
        <w:rPr>
          <w:rFonts w:hint="eastAsia" w:hAnsi="宋体" w:cs="宋体"/>
          <w:bCs/>
          <w:sz w:val="24"/>
          <w:szCs w:val="24"/>
        </w:rPr>
        <w:tab/>
      </w:r>
      <w:r>
        <w:rPr>
          <w:rFonts w:hint="eastAsia" w:hAnsi="宋体" w:cs="宋体"/>
          <w:bCs/>
          <w:sz w:val="24"/>
          <w:szCs w:val="24"/>
        </w:rPr>
        <w:t>供应商的法定代表人或法定代表人授权代表，未准时参加磋商会议的；</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17.6供应商的法定代表人授权代表，无法定代表人授权委托书的；</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17.7</w:t>
      </w:r>
      <w:r>
        <w:rPr>
          <w:rFonts w:hint="eastAsia" w:hAnsi="宋体" w:cs="宋体"/>
          <w:bCs/>
          <w:sz w:val="24"/>
          <w:szCs w:val="24"/>
        </w:rPr>
        <w:tab/>
      </w:r>
      <w:r>
        <w:rPr>
          <w:rFonts w:hint="eastAsia" w:hAnsi="宋体" w:cs="宋体"/>
          <w:bCs/>
          <w:sz w:val="24"/>
          <w:szCs w:val="24"/>
        </w:rPr>
        <w:t>不具备磋商文件中规定的资格要求及未按磋商文件规定的要求提供资格证明文件的；</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17.8</w:t>
      </w:r>
      <w:r>
        <w:rPr>
          <w:rFonts w:hint="eastAsia" w:hAnsi="宋体" w:cs="宋体"/>
          <w:sz w:val="24"/>
          <w:szCs w:val="24"/>
        </w:rPr>
        <w:t>响应文件的格式、语言、计量单位、报价货币、知识产权、磋商有效期等不符合磋商文件的规定，影响磋商小组评判的</w:t>
      </w:r>
      <w:r>
        <w:rPr>
          <w:rFonts w:hint="eastAsia" w:hAnsi="宋体" w:cs="宋体"/>
          <w:bCs/>
          <w:sz w:val="24"/>
          <w:szCs w:val="24"/>
        </w:rPr>
        <w:t>；</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17.9</w:t>
      </w:r>
      <w:r>
        <w:rPr>
          <w:rFonts w:hint="eastAsia" w:hAnsi="宋体" w:cs="宋体"/>
          <w:bCs/>
          <w:sz w:val="24"/>
          <w:szCs w:val="24"/>
        </w:rPr>
        <w:tab/>
      </w:r>
      <w:r>
        <w:rPr>
          <w:rFonts w:hint="eastAsia" w:hAnsi="宋体" w:cs="宋体"/>
          <w:bCs/>
          <w:sz w:val="24"/>
          <w:szCs w:val="24"/>
        </w:rPr>
        <w:t>响应文件书写潦草、字迹模糊不清、无法辨认的；</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17.10响应文件中有磋商文件未允许提供的选择性内容的；</w:t>
      </w:r>
    </w:p>
    <w:p>
      <w:pPr>
        <w:spacing w:line="360" w:lineRule="auto"/>
        <w:ind w:firstLine="480"/>
        <w:rPr>
          <w:rFonts w:ascii="新宋体" w:hAnsi="新宋体" w:eastAsia="新宋体" w:cs="新宋体"/>
          <w:szCs w:val="24"/>
        </w:rPr>
      </w:pPr>
      <w:r>
        <w:rPr>
          <w:rFonts w:hint="eastAsia" w:hAnsi="宋体" w:cs="宋体"/>
          <w:bCs/>
          <w:sz w:val="24"/>
          <w:szCs w:val="24"/>
        </w:rPr>
        <w:t>17.11</w:t>
      </w:r>
      <w:r>
        <w:rPr>
          <w:rFonts w:hint="eastAsia" w:hAnsi="宋体" w:cs="宋体"/>
          <w:sz w:val="24"/>
          <w:szCs w:val="24"/>
        </w:rPr>
        <w:t>报价不符合磋商文件规定的价格标底和其他报价规定的；</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17.12提供虚假材料的（包括工商营业执照、财务报表、资格证明文件等磋商文件要求的证明材料）；</w:t>
      </w:r>
    </w:p>
    <w:p>
      <w:pPr>
        <w:tabs>
          <w:tab w:val="left" w:pos="1050"/>
        </w:tabs>
        <w:spacing w:line="480" w:lineRule="exact"/>
        <w:ind w:firstLine="480" w:firstLineChars="200"/>
        <w:rPr>
          <w:rFonts w:hAnsi="宋体" w:cs="宋体"/>
          <w:bCs/>
          <w:sz w:val="24"/>
          <w:szCs w:val="24"/>
        </w:rPr>
      </w:pPr>
      <w:r>
        <w:rPr>
          <w:rFonts w:hint="eastAsia" w:hAnsi="宋体" w:cs="宋体"/>
          <w:bCs/>
          <w:sz w:val="24"/>
          <w:szCs w:val="24"/>
        </w:rPr>
        <w:t>17.13响应文件内容不全或不符合法律法规和采购文件中规定的其它实质性要求的。</w:t>
      </w:r>
    </w:p>
    <w:p>
      <w:pPr>
        <w:pStyle w:val="2"/>
        <w:ind w:firstLine="480" w:firstLineChars="200"/>
        <w:rPr>
          <w:sz w:val="24"/>
        </w:rPr>
      </w:pPr>
      <w:r>
        <w:rPr>
          <w:rFonts w:hint="eastAsia" w:ascii="宋体" w:hAnsi="宋体" w:eastAsia="宋体" w:cs="宋体"/>
          <w:sz w:val="24"/>
          <w:szCs w:val="24"/>
        </w:rPr>
        <w:t>17.14</w:t>
      </w:r>
      <w:r>
        <w:rPr>
          <w:rFonts w:hint="eastAsia" w:hAnsi="宋体" w:eastAsia="宋体" w:cs="宋体"/>
          <w:sz w:val="24"/>
          <w:szCs w:val="24"/>
        </w:rPr>
        <w:t>法律、法规或磋商文件规定的其他作无效竞磋处理或响应文件无效的情形。</w:t>
      </w:r>
    </w:p>
    <w:p>
      <w:pPr>
        <w:pStyle w:val="5"/>
        <w:tabs>
          <w:tab w:val="left" w:pos="3480"/>
        </w:tabs>
        <w:spacing w:line="400" w:lineRule="exact"/>
        <w:ind w:firstLine="482" w:firstLineChars="200"/>
        <w:rPr>
          <w:sz w:val="24"/>
        </w:rPr>
      </w:pPr>
      <w:bookmarkStart w:id="65" w:name="_Toc308164799"/>
      <w:bookmarkStart w:id="66" w:name="_Toc183682355"/>
      <w:bookmarkStart w:id="67" w:name="_Toc217446049"/>
      <w:bookmarkStart w:id="68" w:name="_Toc183582218"/>
      <w:r>
        <w:rPr>
          <w:rFonts w:hint="eastAsia"/>
          <w:sz w:val="24"/>
        </w:rPr>
        <w:t>18．响应文件格式</w:t>
      </w:r>
      <w:bookmarkEnd w:id="65"/>
      <w:bookmarkEnd w:id="66"/>
      <w:bookmarkEnd w:id="67"/>
      <w:bookmarkEnd w:id="68"/>
    </w:p>
    <w:p>
      <w:pPr>
        <w:tabs>
          <w:tab w:val="left" w:pos="7665"/>
        </w:tabs>
        <w:spacing w:line="400" w:lineRule="exact"/>
        <w:ind w:left="20" w:leftChars="6" w:firstLine="480" w:firstLineChars="200"/>
        <w:rPr>
          <w:sz w:val="24"/>
        </w:rPr>
      </w:pPr>
      <w:r>
        <w:rPr>
          <w:rFonts w:hint="eastAsia"/>
          <w:sz w:val="24"/>
        </w:rPr>
        <w:t>18.1 竞磋人应执行磋商文件第七章的规定要求。竞磋人响应文件相关资料和该章所制格式不一致的，磋商小组将在评分时以响应文件不规范予以扣分处理。</w:t>
      </w:r>
    </w:p>
    <w:p>
      <w:pPr>
        <w:tabs>
          <w:tab w:val="left" w:pos="7665"/>
        </w:tabs>
        <w:spacing w:line="400" w:lineRule="exact"/>
        <w:ind w:left="20" w:leftChars="6" w:firstLine="480" w:firstLineChars="200"/>
        <w:rPr>
          <w:sz w:val="24"/>
        </w:rPr>
      </w:pPr>
      <w:r>
        <w:rPr>
          <w:rFonts w:hint="eastAsia"/>
          <w:sz w:val="24"/>
        </w:rPr>
        <w:t>18.2该章所制响应文件格式有关表格中的备注栏，由竞磋人根据自身情况作解释性说明，不作为必填项。</w:t>
      </w:r>
    </w:p>
    <w:p>
      <w:pPr>
        <w:tabs>
          <w:tab w:val="left" w:pos="7665"/>
        </w:tabs>
        <w:spacing w:line="400" w:lineRule="exact"/>
        <w:ind w:left="20" w:leftChars="6" w:firstLine="480" w:firstLineChars="200"/>
        <w:rPr>
          <w:sz w:val="24"/>
        </w:rPr>
      </w:pPr>
      <w:r>
        <w:rPr>
          <w:rFonts w:hint="eastAsia"/>
          <w:sz w:val="24"/>
        </w:rPr>
        <w:t>18.3该章所制响应文件格式中需要填写的相关内容事项，可能会与本采购项目无关，在不改变响应文件原义、不影响本项目采购需求的情况下，竞磋人可以不予填写，但应当注明。</w:t>
      </w:r>
    </w:p>
    <w:p>
      <w:pPr>
        <w:tabs>
          <w:tab w:val="left" w:pos="7665"/>
        </w:tabs>
        <w:spacing w:line="400" w:lineRule="exact"/>
        <w:ind w:left="20" w:leftChars="6" w:firstLine="480" w:firstLineChars="200"/>
        <w:rPr>
          <w:sz w:val="24"/>
        </w:rPr>
      </w:pPr>
      <w:r>
        <w:rPr>
          <w:rFonts w:hint="eastAsia"/>
          <w:sz w:val="24"/>
        </w:rPr>
        <w:t>18.2 对于没有格式要求的响应文件由竞磋人自行编写。</w:t>
      </w:r>
    </w:p>
    <w:p>
      <w:pPr>
        <w:tabs>
          <w:tab w:val="left" w:pos="7665"/>
        </w:tabs>
        <w:spacing w:line="400" w:lineRule="exact"/>
        <w:ind w:left="20" w:leftChars="6" w:firstLine="360" w:firstLineChars="150"/>
        <w:rPr>
          <w:sz w:val="24"/>
        </w:rPr>
      </w:pPr>
      <w:r>
        <w:rPr>
          <w:rFonts w:hint="eastAsia"/>
          <w:sz w:val="24"/>
        </w:rPr>
        <w:t xml:space="preserve"> </w:t>
      </w:r>
    </w:p>
    <w:p>
      <w:pPr>
        <w:spacing w:beforeLines="100" w:afterLines="100" w:line="500" w:lineRule="exact"/>
        <w:ind w:firstLine="482" w:firstLineChars="200"/>
        <w:jc w:val="left"/>
        <w:rPr>
          <w:rFonts w:hAnsi="宋体" w:cs="宋体"/>
          <w:b/>
          <w:sz w:val="24"/>
          <w:szCs w:val="24"/>
        </w:rPr>
      </w:pPr>
      <w:r>
        <w:rPr>
          <w:rFonts w:hint="eastAsia" w:hAnsi="宋体" w:cs="宋体"/>
          <w:b/>
          <w:sz w:val="24"/>
          <w:szCs w:val="24"/>
        </w:rPr>
        <w:t>19.响应文件的递交</w:t>
      </w:r>
    </w:p>
    <w:p>
      <w:pPr>
        <w:spacing w:line="520" w:lineRule="exact"/>
        <w:ind w:firstLine="475" w:firstLineChars="198"/>
        <w:rPr>
          <w:rFonts w:hAnsi="宋体" w:cs="宋体"/>
          <w:b/>
          <w:bCs/>
          <w:sz w:val="24"/>
          <w:szCs w:val="24"/>
        </w:rPr>
      </w:pPr>
      <w:r>
        <w:rPr>
          <w:rFonts w:hint="eastAsia" w:hAnsi="宋体" w:cs="宋体"/>
          <w:sz w:val="24"/>
          <w:szCs w:val="24"/>
        </w:rPr>
        <w:t xml:space="preserve">19.1 </w:t>
      </w:r>
      <w:r>
        <w:rPr>
          <w:rFonts w:hint="eastAsia" w:hAnsi="宋体" w:cs="宋体"/>
          <w:b/>
          <w:bCs/>
          <w:sz w:val="24"/>
          <w:szCs w:val="24"/>
        </w:rPr>
        <w:t>响应文件的密封和标记</w:t>
      </w:r>
    </w:p>
    <w:p>
      <w:pPr>
        <w:spacing w:line="360" w:lineRule="auto"/>
        <w:ind w:firstLine="480" w:firstLineChars="200"/>
        <w:rPr>
          <w:rFonts w:hAnsi="宋体" w:cs="宋体"/>
          <w:sz w:val="24"/>
          <w:szCs w:val="24"/>
        </w:rPr>
      </w:pPr>
      <w:r>
        <w:rPr>
          <w:rFonts w:hint="eastAsia" w:hAnsi="宋体" w:cs="宋体"/>
          <w:sz w:val="24"/>
          <w:szCs w:val="24"/>
        </w:rPr>
        <w:t>19.1.1竞磋人应当准备响应文件</w:t>
      </w:r>
      <w:r>
        <w:rPr>
          <w:rFonts w:hint="eastAsia" w:hAnsi="宋体" w:cs="宋体"/>
          <w:b/>
          <w:bCs/>
          <w:sz w:val="24"/>
          <w:szCs w:val="24"/>
        </w:rPr>
        <w:t>正本</w:t>
      </w:r>
      <w:r>
        <w:rPr>
          <w:rFonts w:hint="eastAsia" w:hAnsi="宋体" w:cs="宋体"/>
          <w:b/>
          <w:bCs/>
          <w:sz w:val="24"/>
          <w:szCs w:val="24"/>
          <w:u w:val="single"/>
        </w:rPr>
        <w:t xml:space="preserve"> 1 </w:t>
      </w:r>
      <w:r>
        <w:rPr>
          <w:rFonts w:hint="eastAsia" w:hAnsi="宋体" w:cs="宋体"/>
          <w:b/>
          <w:bCs/>
          <w:sz w:val="24"/>
          <w:szCs w:val="24"/>
        </w:rPr>
        <w:t>份、副本</w:t>
      </w:r>
      <w:r>
        <w:rPr>
          <w:rFonts w:hint="eastAsia" w:hAnsi="宋体" w:cs="宋体"/>
          <w:b/>
          <w:bCs/>
          <w:sz w:val="24"/>
          <w:szCs w:val="24"/>
          <w:u w:val="single"/>
          <w:lang w:val="en-US" w:eastAsia="zh-CN"/>
        </w:rPr>
        <w:t>2</w:t>
      </w:r>
      <w:r>
        <w:rPr>
          <w:rFonts w:hint="eastAsia" w:hAnsi="宋体" w:cs="宋体"/>
          <w:b/>
          <w:bCs/>
          <w:sz w:val="24"/>
          <w:szCs w:val="24"/>
          <w:u w:val="single"/>
        </w:rPr>
        <w:t xml:space="preserve"> </w:t>
      </w:r>
      <w:r>
        <w:rPr>
          <w:rFonts w:hint="eastAsia" w:hAnsi="宋体" w:cs="宋体"/>
          <w:b/>
          <w:bCs/>
          <w:sz w:val="24"/>
          <w:szCs w:val="24"/>
        </w:rPr>
        <w:t>份。</w:t>
      </w:r>
      <w:r>
        <w:rPr>
          <w:rFonts w:hint="eastAsia" w:hAnsi="宋体" w:cs="宋体"/>
          <w:sz w:val="24"/>
          <w:szCs w:val="24"/>
        </w:rPr>
        <w:t>响应文件的正本和副本应在其封面右上角清楚地标明“正本”或“副本”字样。若正本和副本有不一致的内容，以正本书面响应文件为准。</w:t>
      </w:r>
    </w:p>
    <w:p>
      <w:pPr>
        <w:tabs>
          <w:tab w:val="left" w:pos="425"/>
        </w:tabs>
        <w:spacing w:line="520" w:lineRule="exact"/>
        <w:ind w:firstLine="480" w:firstLineChars="200"/>
        <w:rPr>
          <w:rFonts w:hAnsi="宋体" w:cs="宋体"/>
          <w:color w:val="0000FF"/>
          <w:sz w:val="24"/>
          <w:szCs w:val="24"/>
        </w:rPr>
      </w:pPr>
      <w:r>
        <w:rPr>
          <w:rFonts w:hint="eastAsia" w:hAnsi="宋体" w:cs="宋体"/>
          <w:sz w:val="24"/>
          <w:szCs w:val="24"/>
        </w:rPr>
        <w:t xml:space="preserve">19.1.2 </w:t>
      </w:r>
      <w:r>
        <w:rPr>
          <w:rFonts w:hint="eastAsia" w:hAnsi="宋体" w:cs="宋体"/>
          <w:color w:val="0000FF"/>
          <w:sz w:val="24"/>
          <w:szCs w:val="24"/>
        </w:rPr>
        <w:t>响应文件正本、副本应分别封装于不同的密封袋内，密封袋上应分别标上“正本”、“副本”字样。响应文件外层密封袋封面、响应文件封面均须注明竞磋文件编号、项目名称、供应商名称、日期并加盖竞磋人公章。</w:t>
      </w:r>
      <w:r>
        <w:rPr>
          <w:rFonts w:hint="eastAsia"/>
          <w:color w:val="0000FF"/>
          <w:sz w:val="24"/>
        </w:rPr>
        <w:t>所有外层密封袋的封口处应粘贴牢固。</w:t>
      </w:r>
    </w:p>
    <w:p>
      <w:pPr>
        <w:tabs>
          <w:tab w:val="left" w:pos="425"/>
        </w:tabs>
        <w:spacing w:line="520" w:lineRule="exact"/>
        <w:ind w:firstLine="475" w:firstLineChars="198"/>
        <w:rPr>
          <w:rFonts w:hAnsi="宋体" w:cs="宋体"/>
          <w:sz w:val="24"/>
          <w:szCs w:val="24"/>
        </w:rPr>
      </w:pPr>
      <w:r>
        <w:rPr>
          <w:rFonts w:hint="eastAsia" w:hAnsi="宋体" w:cs="宋体"/>
          <w:sz w:val="24"/>
          <w:szCs w:val="24"/>
        </w:rPr>
        <w:t>19.1.3响应文件统一用A4幅面纸（图、表及证件可以除外）编制和复印。</w:t>
      </w:r>
    </w:p>
    <w:p>
      <w:pPr>
        <w:tabs>
          <w:tab w:val="left" w:pos="425"/>
        </w:tabs>
        <w:spacing w:line="520" w:lineRule="exact"/>
        <w:ind w:firstLine="475" w:firstLineChars="198"/>
        <w:rPr>
          <w:rFonts w:hAnsi="宋体" w:cs="宋体"/>
          <w:sz w:val="24"/>
          <w:szCs w:val="24"/>
        </w:rPr>
      </w:pPr>
      <w:r>
        <w:rPr>
          <w:rFonts w:hint="eastAsia" w:hAnsi="宋体" w:cs="宋体"/>
          <w:sz w:val="24"/>
          <w:szCs w:val="24"/>
        </w:rPr>
        <w:t>19.1.4</w:t>
      </w:r>
      <w:r>
        <w:rPr>
          <w:rFonts w:hint="eastAsia" w:hAnsi="宋体" w:cs="宋体"/>
          <w:b/>
          <w:bCs/>
          <w:sz w:val="24"/>
          <w:szCs w:val="24"/>
        </w:rPr>
        <w:t>（实质性要求）响应文件需逐页编目编码并胶装成册（宣传资料等彩页可不编码）。不得使用合页装订，装订应牢固、不易散落</w:t>
      </w:r>
      <w:r>
        <w:rPr>
          <w:rFonts w:hint="eastAsia" w:hAnsi="宋体" w:cs="宋体"/>
          <w:sz w:val="24"/>
          <w:szCs w:val="24"/>
        </w:rPr>
        <w:t>。若同一册的内容较多，可装订成若干分册，并在封面标明次序及册数。响应文件中的证明、证件及附件等应集中紧附在相应正文内容后面，须与前面正文部分的顺序相对应。</w:t>
      </w:r>
    </w:p>
    <w:p>
      <w:pPr>
        <w:tabs>
          <w:tab w:val="left" w:pos="425"/>
        </w:tabs>
        <w:spacing w:line="360" w:lineRule="auto"/>
        <w:ind w:firstLine="475" w:firstLineChars="198"/>
        <w:rPr>
          <w:rFonts w:hAnsi="宋体" w:cs="宋体"/>
          <w:sz w:val="24"/>
          <w:szCs w:val="24"/>
        </w:rPr>
      </w:pPr>
      <w:r>
        <w:rPr>
          <w:rFonts w:hint="eastAsia" w:ascii="Calibri" w:hAnsi="宋体" w:cs="宋体"/>
          <w:sz w:val="24"/>
          <w:szCs w:val="24"/>
        </w:rPr>
        <w:t>19.1.5</w:t>
      </w:r>
      <w:r>
        <w:rPr>
          <w:rFonts w:hint="eastAsia" w:hAnsi="宋体" w:cs="宋体"/>
          <w:b/>
          <w:bCs/>
          <w:sz w:val="24"/>
          <w:szCs w:val="24"/>
        </w:rPr>
        <w:t>响应文件正本需用不褪色、不变质的墨水书写或打印，并逐页盖鲜章确认。</w:t>
      </w:r>
      <w:r>
        <w:rPr>
          <w:rFonts w:hint="eastAsia" w:hAnsi="宋体" w:cs="宋体"/>
          <w:sz w:val="24"/>
          <w:szCs w:val="24"/>
        </w:rPr>
        <w:t>响应文件副本可用正本的复印件。如有修改错漏处，必须由竞磋人的法定代表人或其授权代表签字并盖供应商公章。</w:t>
      </w:r>
    </w:p>
    <w:p>
      <w:pPr>
        <w:pStyle w:val="2"/>
        <w:spacing w:line="360" w:lineRule="auto"/>
        <w:rPr>
          <w:rFonts w:ascii="宋体" w:hAnsi="宋体" w:eastAsia="宋体" w:cs="宋体"/>
          <w:sz w:val="24"/>
          <w:szCs w:val="24"/>
        </w:rPr>
      </w:pPr>
      <w:r>
        <w:rPr>
          <w:rFonts w:hint="eastAsia" w:hAnsi="宋体" w:eastAsia="宋体" w:cs="宋体"/>
          <w:sz w:val="24"/>
          <w:szCs w:val="24"/>
        </w:rPr>
        <w:t xml:space="preserve"> </w:t>
      </w:r>
      <w:r>
        <w:rPr>
          <w:rFonts w:hint="eastAsia"/>
        </w:rPr>
        <w:t xml:space="preserve">  </w:t>
      </w:r>
      <w:r>
        <w:rPr>
          <w:rFonts w:hint="eastAsia" w:ascii="宋体" w:hAnsi="宋体" w:eastAsia="宋体" w:cs="宋体"/>
          <w:sz w:val="24"/>
          <w:szCs w:val="24"/>
        </w:rPr>
        <w:t>19.1.6响应文件的打印和书写应清楚工整，任何行间插字、涂改或增删，必须由竞磋人的法定代表人或授权代理人签字并加盖公章。字迹潦草、表达不清或可能导致非唯一理解的响应文件可能视为无效响应文件。</w:t>
      </w:r>
    </w:p>
    <w:p>
      <w:pPr>
        <w:spacing w:line="400" w:lineRule="exact"/>
        <w:ind w:firstLine="470" w:firstLineChars="195"/>
        <w:rPr>
          <w:rFonts w:hAnsi="宋体" w:cs="宋体"/>
          <w:sz w:val="24"/>
          <w:szCs w:val="24"/>
        </w:rPr>
      </w:pPr>
      <w:r>
        <w:rPr>
          <w:rFonts w:hint="eastAsia" w:hAnsi="宋体" w:cs="宋体"/>
          <w:b/>
          <w:bCs/>
          <w:sz w:val="24"/>
          <w:szCs w:val="24"/>
        </w:rPr>
        <w:t>19.1.7</w:t>
      </w:r>
      <w:r>
        <w:rPr>
          <w:rFonts w:hint="eastAsia" w:hAnsi="宋体"/>
          <w:b/>
          <w:sz w:val="24"/>
        </w:rPr>
        <w:t>响应文件应由供应商法定代表人或其授权代表在响应文件要求的地方签字（或加盖私人印章），要求加盖公章的地方须加盖单位公章，不得使用专用章（如经济合同章、投标专用章等）或下属单位印章代替。</w:t>
      </w:r>
    </w:p>
    <w:p>
      <w:pPr>
        <w:tabs>
          <w:tab w:val="left" w:pos="425"/>
        </w:tabs>
        <w:spacing w:line="520" w:lineRule="exact"/>
        <w:ind w:firstLine="480" w:firstLineChars="200"/>
        <w:rPr>
          <w:rFonts w:hAnsi="宋体" w:cs="宋体"/>
          <w:sz w:val="24"/>
          <w:szCs w:val="24"/>
        </w:rPr>
      </w:pPr>
      <w:r>
        <w:rPr>
          <w:rFonts w:hint="eastAsia" w:hAnsi="宋体" w:cs="宋体"/>
          <w:sz w:val="24"/>
          <w:szCs w:val="24"/>
        </w:rPr>
        <w:t>19.1.7采购人对于未按以上要求标注和密封的响应文件有权拒收或要求其在时间允许的范围内修改完善后接收。</w:t>
      </w:r>
    </w:p>
    <w:p>
      <w:pPr>
        <w:spacing w:line="520" w:lineRule="exact"/>
        <w:ind w:firstLine="477" w:firstLineChars="198"/>
        <w:rPr>
          <w:rFonts w:hAnsi="宋体" w:cs="宋体"/>
          <w:b/>
          <w:bCs/>
          <w:sz w:val="24"/>
          <w:szCs w:val="24"/>
        </w:rPr>
      </w:pPr>
      <w:r>
        <w:rPr>
          <w:rFonts w:hint="eastAsia" w:hAnsi="宋体" w:cs="宋体"/>
          <w:b/>
          <w:bCs/>
          <w:sz w:val="24"/>
          <w:szCs w:val="24"/>
        </w:rPr>
        <w:t>19.2 响应文件的递交、修改和撤回</w:t>
      </w:r>
    </w:p>
    <w:p>
      <w:pPr>
        <w:spacing w:line="520" w:lineRule="exact"/>
        <w:ind w:firstLine="475" w:firstLineChars="198"/>
        <w:rPr>
          <w:rFonts w:hAnsi="宋体" w:cs="宋体"/>
          <w:sz w:val="24"/>
          <w:szCs w:val="24"/>
        </w:rPr>
      </w:pPr>
      <w:r>
        <w:rPr>
          <w:rFonts w:hint="eastAsia" w:hAnsi="宋体" w:cs="宋体"/>
          <w:sz w:val="24"/>
          <w:szCs w:val="24"/>
        </w:rPr>
        <w:t>19.2.1竞磋人在递交响应文件时，须单独准备</w:t>
      </w:r>
      <w:r>
        <w:rPr>
          <w:rFonts w:hint="eastAsia" w:hAnsi="宋体" w:cs="宋体"/>
          <w:b/>
          <w:bCs/>
          <w:sz w:val="24"/>
          <w:szCs w:val="24"/>
        </w:rPr>
        <w:t>手持件</w:t>
      </w:r>
      <w:r>
        <w:rPr>
          <w:rFonts w:hint="eastAsia" w:hAnsi="宋体" w:cs="宋体"/>
          <w:color w:val="FF0000"/>
          <w:sz w:val="24"/>
          <w:szCs w:val="24"/>
        </w:rPr>
        <w:t>{</w:t>
      </w:r>
      <w:r>
        <w:rPr>
          <w:rFonts w:hint="eastAsia" w:hAnsi="宋体" w:cs="宋体"/>
          <w:b/>
          <w:bCs/>
          <w:color w:val="FF0000"/>
          <w:sz w:val="24"/>
          <w:szCs w:val="24"/>
        </w:rPr>
        <w:t>加盖竞磋人鲜章的供应商营业执照副本复印件、法定代表人身份证明书原件、法定代表人身份证复印件（非法定代表人参加的还须同时准备法定代表人授权委托书及授权代理人复印件）</w:t>
      </w:r>
      <w:r>
        <w:rPr>
          <w:rFonts w:hint="eastAsia" w:hAnsi="宋体" w:cs="宋体"/>
          <w:color w:val="FF0000"/>
          <w:sz w:val="24"/>
          <w:szCs w:val="24"/>
        </w:rPr>
        <w:t>}一</w:t>
      </w:r>
      <w:r>
        <w:rPr>
          <w:rFonts w:hint="eastAsia" w:hAnsi="宋体" w:cs="宋体"/>
          <w:sz w:val="24"/>
          <w:szCs w:val="24"/>
        </w:rPr>
        <w:t>并同时递交。</w:t>
      </w:r>
    </w:p>
    <w:p>
      <w:pPr>
        <w:pStyle w:val="72"/>
        <w:spacing w:line="420" w:lineRule="exact"/>
        <w:ind w:firstLine="0" w:firstLineChars="0"/>
        <w:rPr>
          <w:rFonts w:hAnsi="宋体" w:cs="宋体"/>
          <w:sz w:val="24"/>
          <w:szCs w:val="24"/>
        </w:rPr>
      </w:pPr>
      <w:r>
        <w:rPr>
          <w:rFonts w:hint="eastAsia" w:hAnsi="宋体" w:cs="宋体"/>
          <w:sz w:val="24"/>
          <w:szCs w:val="24"/>
        </w:rPr>
        <w:t xml:space="preserve">    19.2.2竞磋人应在竞磋截止时间前将密封合格的响应文件送达</w:t>
      </w:r>
      <w:r>
        <w:rPr>
          <w:rFonts w:hint="eastAsia" w:hAnsi="宋体" w:cs="宋体"/>
          <w:bCs/>
          <w:sz w:val="24"/>
        </w:rPr>
        <w:t>广元市自然资源局朝天区分局（广元市朝天区朝天镇潜溪路31号广元市自然资源局朝天区分局会议室</w:t>
      </w:r>
      <w:r>
        <w:rPr>
          <w:rFonts w:hint="eastAsia"/>
          <w:sz w:val="24"/>
        </w:rPr>
        <w:t>），</w:t>
      </w:r>
      <w:r>
        <w:rPr>
          <w:rFonts w:hint="eastAsia" w:hAnsi="宋体" w:cs="宋体"/>
          <w:sz w:val="24"/>
          <w:szCs w:val="24"/>
        </w:rPr>
        <w:t>电报、电话、传真、邮寄的响应文件概不接受。</w:t>
      </w:r>
    </w:p>
    <w:p>
      <w:pPr>
        <w:pStyle w:val="12"/>
        <w:spacing w:line="400" w:lineRule="exact"/>
        <w:ind w:firstLine="480"/>
        <w:rPr>
          <w:sz w:val="24"/>
        </w:rPr>
      </w:pPr>
      <w:r>
        <w:rPr>
          <w:rFonts w:hint="eastAsia" w:hAnsi="宋体" w:cs="宋体"/>
          <w:sz w:val="24"/>
          <w:szCs w:val="24"/>
        </w:rPr>
        <w:t>19.2.3</w:t>
      </w:r>
      <w:r>
        <w:rPr>
          <w:rFonts w:hint="eastAsia"/>
          <w:sz w:val="24"/>
        </w:rPr>
        <w:t>竞磋人在提交响应文件后可对其响应文件进行修改或撤回，但该修改或撤回的书面通知须在递交截止时间之前送达采购单位，补充、修改的内容作为响应文件的组成部分。且该通知需经正式授权的供应商代表签字方为有效。 竞磋人在提交响应文件截止时间前，可以对所提交的响应文件进行补充、修改或者撤回，补充、修改的内容与响应文件不一致的，以补充、修改的内容为准。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Ansi="宋体"/>
          <w:sz w:val="24"/>
        </w:rPr>
      </w:pPr>
      <w:r>
        <w:rPr>
          <w:rFonts w:hint="eastAsia" w:hAnsi="宋体"/>
          <w:sz w:val="24"/>
        </w:rPr>
        <w:t>19</w:t>
      </w:r>
      <w:r>
        <w:rPr>
          <w:rFonts w:hAnsi="宋体"/>
          <w:sz w:val="24"/>
        </w:rPr>
        <w:t>.</w:t>
      </w:r>
      <w:r>
        <w:rPr>
          <w:rFonts w:hint="eastAsia" w:hAnsi="宋体"/>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Ansi="宋体"/>
          <w:sz w:val="24"/>
        </w:rPr>
      </w:pPr>
      <w:r>
        <w:rPr>
          <w:rFonts w:hint="eastAsia" w:hAnsi="宋体"/>
          <w:sz w:val="24"/>
        </w:rPr>
        <w:t>19</w:t>
      </w:r>
      <w:r>
        <w:rPr>
          <w:rFonts w:hAnsi="宋体"/>
          <w:sz w:val="24"/>
        </w:rPr>
        <w:t>.</w:t>
      </w:r>
      <w:r>
        <w:rPr>
          <w:rFonts w:hint="eastAsia" w:hAnsi="宋体"/>
          <w:sz w:val="24"/>
        </w:rPr>
        <w:t>3供应商不得在递交截止时间起至响应文件有效期限满前撤销其响应文件。</w:t>
      </w:r>
    </w:p>
    <w:p>
      <w:pPr>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19.4 响应文件中报价如果出现下列不一致的，可按以下原则进行修改：</w:t>
      </w:r>
    </w:p>
    <w:p>
      <w:pPr>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（一）大写金额和小写金额不一致的，以大写金额为准，但大写金额文字存在错误的，应当先对大写金额的文字错误进行澄清、说明或者更正，再行修正。</w:t>
      </w:r>
    </w:p>
    <w:p>
      <w:pPr>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（二）总价金额与按单价汇总金额不一致的，以单价金额计算结果为准，但单价或者单价汇总金额存在数字或者文字错误的，应当先对数字或者文字错误进行澄清、说明或者更正，再行修正。</w:t>
      </w:r>
    </w:p>
    <w:p>
      <w:pPr>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（三）单价金额小数点或者百分比有明显错位的，以总价为准，修正单价。</w:t>
      </w:r>
    </w:p>
    <w:p>
      <w:pPr>
        <w:ind w:firstLine="480" w:firstLineChars="200"/>
        <w:jc w:val="left"/>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Calibri" w:eastAsia="宋体" w:cs="黑体"/>
          <w:sz w:val="24"/>
          <w:szCs w:val="22"/>
          <w:lang w:val="en-US" w:eastAsia="zh-CN" w:bidi="ar-SA"/>
        </w:rPr>
      </w:pPr>
      <w:r>
        <w:rPr>
          <w:rFonts w:hint="eastAsia" w:ascii="宋体" w:hAnsi="Calibri" w:eastAsia="宋体" w:cs="黑体"/>
          <w:sz w:val="24"/>
          <w:szCs w:val="22"/>
          <w:lang w:val="en-US" w:eastAsia="zh-CN" w:bidi="ar-SA"/>
        </w:rPr>
        <w:t>19.5供应商对其提交的响应文件的真实性、合法性承担法律责任。</w:t>
      </w: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
      <w:pPr>
        <w:pStyle w:val="4"/>
        <w:jc w:val="center"/>
      </w:pPr>
      <w:bookmarkStart w:id="69" w:name="_Toc8854"/>
      <w:r>
        <w:rPr>
          <w:rFonts w:hint="eastAsia"/>
        </w:rPr>
        <w:t>五、磋商</w:t>
      </w:r>
      <w:bookmarkEnd w:id="69"/>
      <w:r>
        <w:rPr>
          <w:rFonts w:hint="eastAsia"/>
        </w:rPr>
        <w:t>会议及成交事项</w:t>
      </w:r>
    </w:p>
    <w:p>
      <w:pPr>
        <w:spacing w:line="400" w:lineRule="exact"/>
        <w:ind w:firstLine="480" w:firstLineChars="200"/>
        <w:rPr>
          <w:rFonts w:hAnsi="宋体" w:cs="宋体"/>
          <w:b/>
          <w:bCs/>
          <w:color w:val="FF0000"/>
          <w:sz w:val="24"/>
          <w:szCs w:val="24"/>
        </w:rPr>
      </w:pPr>
      <w:r>
        <w:rPr>
          <w:rFonts w:hint="eastAsia" w:hAnsi="宋体" w:cs="宋体"/>
          <w:color w:val="FF0000"/>
          <w:sz w:val="24"/>
          <w:szCs w:val="24"/>
        </w:rPr>
        <w:t>20.1、磋商会议在磋商文件规定的时间和地点公开进行，</w:t>
      </w:r>
      <w:r>
        <w:rPr>
          <w:rFonts w:hint="eastAsia" w:hAnsi="宋体" w:cs="宋体"/>
          <w:b/>
          <w:bCs/>
          <w:color w:val="FF0000"/>
          <w:sz w:val="24"/>
          <w:szCs w:val="24"/>
        </w:rPr>
        <w:t>采购方监督人员、竞磋人须派代表（法定代表人或授权代理人）参加并签到以证明其出席。（实质性要求）</w:t>
      </w:r>
    </w:p>
    <w:p>
      <w:pPr>
        <w:spacing w:line="400" w:lineRule="exact"/>
        <w:ind w:firstLine="480" w:firstLineChars="200"/>
        <w:rPr>
          <w:rFonts w:hAnsi="宋体" w:cs="宋体"/>
          <w:color w:val="FF0000"/>
          <w:sz w:val="24"/>
          <w:szCs w:val="24"/>
        </w:rPr>
      </w:pPr>
      <w:r>
        <w:rPr>
          <w:rFonts w:hint="eastAsia" w:hAnsi="宋体" w:cs="宋体"/>
          <w:color w:val="FF0000"/>
          <w:sz w:val="24"/>
          <w:szCs w:val="24"/>
        </w:rPr>
        <w:t>20.2、磋商会议时，磋商采购单位可能根据具体情况邀请有关监督人员对磋商活动进行现场监督。</w:t>
      </w:r>
    </w:p>
    <w:p>
      <w:pPr>
        <w:spacing w:line="400" w:lineRule="exact"/>
        <w:ind w:firstLine="480" w:firstLineChars="200"/>
        <w:rPr>
          <w:rFonts w:hAnsi="宋体" w:cs="宋体"/>
          <w:color w:val="FF0000"/>
          <w:sz w:val="24"/>
          <w:szCs w:val="24"/>
        </w:rPr>
      </w:pPr>
      <w:r>
        <w:rPr>
          <w:rFonts w:hint="eastAsia" w:hAnsi="宋体" w:cs="宋体"/>
          <w:color w:val="FF0000"/>
          <w:sz w:val="24"/>
          <w:szCs w:val="24"/>
        </w:rPr>
        <w:t>20.3、磋商会议主持人按照磋商文件规定的响应文件递交截止时间时间宣布会议开始，并主持磋商会议。磋商将按以下程序进行：</w:t>
      </w:r>
    </w:p>
    <w:p>
      <w:pPr>
        <w:spacing w:line="360" w:lineRule="auto"/>
        <w:ind w:firstLine="480" w:firstLineChars="200"/>
        <w:rPr>
          <w:rFonts w:hAnsi="宋体" w:cs="宋体"/>
          <w:color w:val="FF0000"/>
          <w:sz w:val="24"/>
          <w:szCs w:val="24"/>
        </w:rPr>
      </w:pPr>
      <w:r>
        <w:rPr>
          <w:rFonts w:hint="eastAsia" w:hAnsi="宋体" w:cs="宋体"/>
          <w:color w:val="FF0000"/>
          <w:sz w:val="24"/>
          <w:szCs w:val="24"/>
        </w:rPr>
        <w:t>（1）宣布磋商会议开始。当众宣布参加磋商会议主持人、会议记录人以及根据情况邀请的现场监督人等工作人员，根据“供应商签到表”宣布参加竞磋的供应商名单。</w:t>
      </w:r>
    </w:p>
    <w:p>
      <w:pPr>
        <w:spacing w:line="360" w:lineRule="auto"/>
        <w:ind w:firstLine="480" w:firstLineChars="200"/>
        <w:rPr>
          <w:rFonts w:hAnsi="宋体" w:cs="宋体"/>
          <w:color w:val="FF0000"/>
          <w:sz w:val="24"/>
          <w:szCs w:val="24"/>
        </w:rPr>
      </w:pPr>
      <w:r>
        <w:rPr>
          <w:rFonts w:hint="eastAsia" w:hAnsi="宋体" w:cs="宋体"/>
          <w:color w:val="FF0000"/>
          <w:sz w:val="24"/>
          <w:szCs w:val="24"/>
        </w:rPr>
        <w:t>（2）根据竞磋人代表对响应文件密封的检查结果，当众宣布响应文件的密封情况。</w:t>
      </w:r>
    </w:p>
    <w:p>
      <w:pPr>
        <w:spacing w:line="360" w:lineRule="auto"/>
        <w:ind w:firstLine="480" w:firstLineChars="200"/>
        <w:rPr>
          <w:rFonts w:hAnsi="宋体" w:cs="宋体"/>
          <w:color w:val="FF0000"/>
          <w:sz w:val="24"/>
          <w:szCs w:val="24"/>
        </w:rPr>
      </w:pPr>
      <w:r>
        <w:rPr>
          <w:rFonts w:hint="eastAsia" w:hAnsi="宋体" w:cs="宋体"/>
          <w:color w:val="FF0000"/>
          <w:sz w:val="24"/>
          <w:szCs w:val="24"/>
        </w:rPr>
        <w:t>由竞磋人代表先检查其自己递交的响应文件的密封情况。竞磋人代表确认响应文件情况，仅限于确认其自己递交的响应文件的密封情况，不代表对其他竞磋人的响应文件的密封情况确认。竞磋人代表对其他竞磋人的响应文件密封情况有异议的，可以当场反映会议主持人或者现场监督人员，要求会议现场记录人员予以记录，并在评审时予以认定处理，但不得干扰、阻挠会议工作的正常进行。</w:t>
      </w:r>
    </w:p>
    <w:p>
      <w:pPr>
        <w:spacing w:line="360" w:lineRule="auto"/>
        <w:ind w:firstLine="480" w:firstLineChars="200"/>
        <w:rPr>
          <w:rFonts w:hAnsi="宋体" w:cs="宋体"/>
          <w:color w:val="FF0000"/>
          <w:sz w:val="24"/>
          <w:szCs w:val="24"/>
        </w:rPr>
      </w:pPr>
      <w:r>
        <w:rPr>
          <w:rFonts w:hint="eastAsia" w:hAnsi="宋体" w:cs="宋体"/>
          <w:color w:val="FF0000"/>
          <w:sz w:val="24"/>
          <w:szCs w:val="24"/>
        </w:rPr>
        <w:t>（3）介绍磋商程序。</w:t>
      </w:r>
    </w:p>
    <w:p>
      <w:pPr>
        <w:spacing w:line="360" w:lineRule="auto"/>
        <w:ind w:firstLine="480" w:firstLineChars="200"/>
        <w:rPr>
          <w:b/>
          <w:bCs/>
          <w:color w:val="FF0000"/>
          <w:sz w:val="24"/>
        </w:rPr>
      </w:pPr>
      <w:r>
        <w:rPr>
          <w:rFonts w:hint="eastAsia" w:hAnsi="宋体" w:cs="宋体"/>
          <w:color w:val="FF0000"/>
          <w:sz w:val="24"/>
          <w:szCs w:val="24"/>
        </w:rPr>
        <w:t>（4）宣布磋商会议结束。主持人宣布磋商会议结束。所有竞磋人代表应立即退场（磋商文件要求有演示、介绍等的除外）。同时所有竞磋人代表应保持通讯设备的畅通，以方便在评审过程中磋商小组要求竞磋人参与磋商过程或对响应文件的必要澄清、说明或者纠正。评审过程因需要涉及通知竞磋人代表的，均由磋商采购单位以电话通知的形式通知相关竞磋人代表，竞磋人代表需在接到电话通知后30分钟内赶到磋商现场，竞磋人代表逾期未赶到磋商现场或因竞磋人代表通讯设备无法接通（经监督人员证实）的，磋商采购单位及磋商小组有权认定该竞磋人不予配合，主动放弃该权利的使用，其可能引发的后果由竞磋人自行承担。</w:t>
      </w:r>
      <w:r>
        <w:rPr>
          <w:rFonts w:hint="eastAsia" w:hAnsi="宋体" w:cs="宋体"/>
          <w:b/>
          <w:bCs/>
          <w:color w:val="FF0000"/>
          <w:sz w:val="24"/>
          <w:szCs w:val="24"/>
        </w:rPr>
        <w:t>本项目评审结果由竞磋人自行在广元市自然资源局网站查询。</w:t>
      </w:r>
    </w:p>
    <w:p>
      <w:pPr>
        <w:spacing w:line="400" w:lineRule="exact"/>
        <w:ind w:firstLine="482" w:firstLineChars="200"/>
        <w:rPr>
          <w:b/>
          <w:sz w:val="24"/>
        </w:rPr>
      </w:pPr>
      <w:bookmarkStart w:id="70" w:name="_Toc183582238"/>
      <w:bookmarkStart w:id="71" w:name="_Toc183682375"/>
      <w:bookmarkStart w:id="72" w:name="_Toc217446063"/>
      <w:bookmarkStart w:id="73" w:name="_Toc308164809"/>
      <w:r>
        <w:rPr>
          <w:rFonts w:hint="eastAsia"/>
          <w:b/>
          <w:sz w:val="24"/>
        </w:rPr>
        <w:t>21．竞磋过程存档</w:t>
      </w:r>
    </w:p>
    <w:p>
      <w:pPr>
        <w:spacing w:line="400" w:lineRule="exact"/>
        <w:ind w:firstLine="480" w:firstLineChars="200"/>
        <w:rPr>
          <w:sz w:val="24"/>
        </w:rPr>
      </w:pPr>
      <w:r>
        <w:rPr>
          <w:rFonts w:hint="eastAsia"/>
          <w:sz w:val="24"/>
        </w:rPr>
        <w:t>磋商和评审过程进行全过程监督。</w:t>
      </w:r>
    </w:p>
    <w:p>
      <w:pPr>
        <w:spacing w:line="360" w:lineRule="auto"/>
        <w:ind w:firstLine="482" w:firstLineChars="200"/>
        <w:rPr>
          <w:rFonts w:hAnsi="宋体"/>
          <w:b/>
          <w:bCs/>
          <w:sz w:val="24"/>
          <w:szCs w:val="24"/>
        </w:rPr>
      </w:pPr>
      <w:r>
        <w:rPr>
          <w:rFonts w:hint="eastAsia" w:hAnsi="宋体"/>
          <w:b/>
          <w:bCs/>
          <w:sz w:val="24"/>
          <w:szCs w:val="24"/>
        </w:rPr>
        <w:t>22.确定成交供应商</w:t>
      </w:r>
    </w:p>
    <w:p>
      <w:pPr>
        <w:spacing w:line="360" w:lineRule="auto"/>
        <w:ind w:firstLine="480" w:firstLineChars="200"/>
        <w:rPr>
          <w:rFonts w:hint="eastAsia" w:ascii="宋体" w:eastAsia="宋体"/>
          <w:sz w:val="24"/>
          <w:szCs w:val="18"/>
        </w:rPr>
      </w:pPr>
      <w:r>
        <w:rPr>
          <w:rFonts w:hint="eastAsia" w:ascii="宋体" w:eastAsia="宋体"/>
          <w:sz w:val="24"/>
          <w:szCs w:val="18"/>
        </w:rPr>
        <w:t>采购人将按磋商小组推荐的成交候选供应商顺序确定成交供应商。</w:t>
      </w:r>
    </w:p>
    <w:p>
      <w:pPr>
        <w:spacing w:line="360" w:lineRule="auto"/>
        <w:ind w:firstLine="480" w:firstLineChars="200"/>
        <w:rPr>
          <w:sz w:val="24"/>
          <w:szCs w:val="18"/>
        </w:rPr>
      </w:pPr>
      <w:r>
        <w:rPr>
          <w:rFonts w:hint="eastAsia"/>
          <w:sz w:val="24"/>
          <w:szCs w:val="18"/>
        </w:rPr>
        <w:t>22.1采购单位自评审结束后</w:t>
      </w:r>
      <w:r>
        <w:rPr>
          <w:rFonts w:hint="eastAsia"/>
          <w:sz w:val="24"/>
          <w:szCs w:val="18"/>
          <w:lang w:val="en-US" w:eastAsia="zh-CN"/>
        </w:rPr>
        <w:t>3</w:t>
      </w:r>
      <w:r>
        <w:rPr>
          <w:rFonts w:hint="eastAsia"/>
          <w:sz w:val="24"/>
          <w:szCs w:val="18"/>
        </w:rPr>
        <w:t>个工作日内将有关资料送交采购人确定成交供应商。</w:t>
      </w:r>
    </w:p>
    <w:p>
      <w:pPr>
        <w:spacing w:line="360" w:lineRule="auto"/>
        <w:ind w:firstLine="480" w:firstLineChars="200"/>
        <w:rPr>
          <w:sz w:val="24"/>
          <w:szCs w:val="18"/>
        </w:rPr>
      </w:pPr>
      <w:r>
        <w:rPr>
          <w:rFonts w:hint="eastAsia"/>
          <w:sz w:val="24"/>
          <w:szCs w:val="18"/>
        </w:rPr>
        <w:t>22.2采购人收到有关资料后，将在5个工作日内按照推荐的成交候选供应商顺序确定成交供应商。成交候选供应商并列的，采购人自主采取公平、择优的方式选择成交供应商。</w:t>
      </w:r>
    </w:p>
    <w:p>
      <w:pPr>
        <w:spacing w:line="360" w:lineRule="auto"/>
        <w:ind w:firstLine="480" w:firstLineChars="200"/>
        <w:rPr>
          <w:rFonts w:hint="eastAsia" w:ascii="宋体" w:eastAsia="宋体"/>
          <w:sz w:val="24"/>
          <w:szCs w:val="18"/>
        </w:rPr>
      </w:pPr>
      <w:r>
        <w:rPr>
          <w:rFonts w:hint="eastAsia" w:ascii="宋体" w:eastAsia="宋体"/>
          <w:sz w:val="24"/>
          <w:szCs w:val="18"/>
        </w:rPr>
        <w:t>22.3采购人确定成交供应商过程中，发现成交候选供应商有下列情形之一的，应当不予确定其为成交供应商：</w:t>
      </w:r>
    </w:p>
    <w:p>
      <w:pPr>
        <w:spacing w:line="360" w:lineRule="auto"/>
        <w:ind w:firstLine="480" w:firstLineChars="200"/>
        <w:rPr>
          <w:rFonts w:hint="eastAsia" w:ascii="宋体" w:eastAsia="宋体"/>
          <w:sz w:val="24"/>
          <w:szCs w:val="18"/>
        </w:rPr>
      </w:pPr>
      <w:r>
        <w:rPr>
          <w:rFonts w:hint="eastAsia" w:ascii="宋体" w:eastAsia="宋体"/>
          <w:sz w:val="24"/>
          <w:szCs w:val="18"/>
        </w:rPr>
        <w:t>（1）发现成交候选供应商存在禁止参加本项目采购活动的违法行为的；</w:t>
      </w:r>
    </w:p>
    <w:p>
      <w:pPr>
        <w:spacing w:line="360" w:lineRule="auto"/>
        <w:ind w:firstLine="480" w:firstLineChars="200"/>
        <w:rPr>
          <w:rFonts w:hint="eastAsia" w:ascii="宋体" w:eastAsia="宋体"/>
          <w:sz w:val="24"/>
          <w:szCs w:val="18"/>
        </w:rPr>
      </w:pPr>
      <w:r>
        <w:rPr>
          <w:rFonts w:hint="eastAsia" w:ascii="宋体" w:eastAsia="宋体"/>
          <w:sz w:val="24"/>
          <w:szCs w:val="18"/>
        </w:rPr>
        <w:t>（2）成交候选供应商因不可抗力，不能继续参加采购活动。</w:t>
      </w:r>
    </w:p>
    <w:p>
      <w:pPr>
        <w:spacing w:line="360" w:lineRule="auto"/>
        <w:ind w:firstLine="480" w:firstLineChars="200"/>
        <w:rPr>
          <w:rFonts w:hint="eastAsia" w:ascii="宋体" w:eastAsia="宋体"/>
          <w:sz w:val="24"/>
          <w:szCs w:val="18"/>
        </w:rPr>
      </w:pPr>
      <w:r>
        <w:rPr>
          <w:rFonts w:hint="eastAsia" w:ascii="宋体" w:eastAsia="宋体"/>
          <w:sz w:val="24"/>
          <w:szCs w:val="18"/>
        </w:rPr>
        <w:t>（3）成交候选供应商无偿赠与或者低于成本价竞争；</w:t>
      </w:r>
    </w:p>
    <w:p>
      <w:pPr>
        <w:spacing w:line="360" w:lineRule="auto"/>
        <w:ind w:firstLine="480" w:firstLineChars="200"/>
        <w:rPr>
          <w:rFonts w:hint="eastAsia" w:ascii="宋体" w:eastAsia="宋体"/>
          <w:sz w:val="24"/>
          <w:szCs w:val="18"/>
        </w:rPr>
      </w:pPr>
      <w:r>
        <w:rPr>
          <w:rFonts w:hint="eastAsia" w:ascii="宋体" w:eastAsia="宋体"/>
          <w:sz w:val="24"/>
          <w:szCs w:val="18"/>
        </w:rPr>
        <w:t>（4）成交候选供应商提供虚假材料；</w:t>
      </w:r>
    </w:p>
    <w:p>
      <w:pPr>
        <w:spacing w:line="360" w:lineRule="auto"/>
        <w:ind w:firstLine="480" w:firstLineChars="200"/>
        <w:rPr>
          <w:rFonts w:hint="eastAsia" w:ascii="宋体" w:eastAsia="宋体"/>
          <w:sz w:val="24"/>
          <w:szCs w:val="18"/>
        </w:rPr>
      </w:pPr>
      <w:r>
        <w:rPr>
          <w:rFonts w:hint="eastAsia" w:ascii="宋体" w:eastAsia="宋体"/>
          <w:sz w:val="24"/>
          <w:szCs w:val="18"/>
        </w:rPr>
        <w:t>（5）成交候选供应商恶意串通。</w:t>
      </w:r>
    </w:p>
    <w:p>
      <w:pPr>
        <w:spacing w:line="360" w:lineRule="auto"/>
        <w:ind w:firstLine="480" w:firstLineChars="200"/>
      </w:pPr>
      <w:r>
        <w:rPr>
          <w:rFonts w:hint="eastAsia"/>
          <w:sz w:val="24"/>
          <w:szCs w:val="18"/>
        </w:rPr>
        <w:t>成交候选供应商有本条情形之一的，采购人可以确定后一位成交候选供应商为成交供应商，依次类推。无法确定成交供应商的，应当重新组织采购。</w:t>
      </w:r>
    </w:p>
    <w:p>
      <w:pPr>
        <w:spacing w:line="360" w:lineRule="auto"/>
        <w:ind w:firstLine="482" w:firstLineChars="200"/>
        <w:rPr>
          <w:b/>
          <w:bCs/>
          <w:sz w:val="24"/>
          <w:szCs w:val="24"/>
        </w:rPr>
      </w:pPr>
      <w:r>
        <w:rPr>
          <w:rFonts w:hint="eastAsia"/>
          <w:b/>
          <w:bCs/>
          <w:sz w:val="24"/>
          <w:szCs w:val="24"/>
        </w:rPr>
        <w:t>23.行贿犯罪的承诺</w:t>
      </w:r>
    </w:p>
    <w:p>
      <w:pPr>
        <w:spacing w:line="360" w:lineRule="auto"/>
        <w:ind w:firstLine="480" w:firstLineChars="200"/>
        <w:rPr>
          <w:sz w:val="24"/>
          <w:szCs w:val="24"/>
        </w:rPr>
      </w:pPr>
      <w:r>
        <w:rPr>
          <w:rFonts w:hint="eastAsia"/>
          <w:sz w:val="24"/>
          <w:szCs w:val="24"/>
        </w:rPr>
        <w:t>23.1供应商单位及现任法定代表人在参加采购活动前三年内应无行贿犯罪记录。</w:t>
      </w:r>
    </w:p>
    <w:p>
      <w:pPr>
        <w:spacing w:line="360" w:lineRule="auto"/>
        <w:ind w:firstLine="480" w:firstLineChars="200"/>
        <w:rPr>
          <w:color w:val="FF0000"/>
          <w:sz w:val="24"/>
          <w:szCs w:val="24"/>
        </w:rPr>
      </w:pPr>
      <w:r>
        <w:rPr>
          <w:rFonts w:hint="eastAsia"/>
          <w:color w:val="FF0000"/>
          <w:sz w:val="24"/>
          <w:szCs w:val="24"/>
        </w:rPr>
        <w:t>23.2供应商在资格响应文件中提供供应商单位及现任法定代表人在参加本次采购活动前三年内无行贿犯罪记录的承诺函。</w:t>
      </w:r>
    </w:p>
    <w:p>
      <w:pPr>
        <w:spacing w:line="360" w:lineRule="auto"/>
        <w:ind w:firstLine="480" w:firstLineChars="200"/>
        <w:rPr>
          <w:sz w:val="24"/>
          <w:szCs w:val="24"/>
        </w:rPr>
      </w:pPr>
      <w:r>
        <w:rPr>
          <w:rFonts w:hint="eastAsia"/>
          <w:sz w:val="24"/>
          <w:szCs w:val="24"/>
        </w:rPr>
        <w:t>23.3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pStyle w:val="4"/>
        <w:spacing w:before="0" w:after="0" w:line="400" w:lineRule="exact"/>
        <w:ind w:firstLine="482" w:firstLineChars="200"/>
        <w:rPr>
          <w:rFonts w:ascii="宋体" w:hAnsi="宋体" w:eastAsia="宋体"/>
          <w:sz w:val="24"/>
          <w:szCs w:val="24"/>
        </w:rPr>
      </w:pPr>
      <w:r>
        <w:rPr>
          <w:rFonts w:hint="eastAsia" w:ascii="宋体" w:hAnsi="宋体" w:eastAsia="宋体"/>
          <w:sz w:val="24"/>
          <w:szCs w:val="24"/>
        </w:rPr>
        <w:t>24.成交结果</w:t>
      </w:r>
    </w:p>
    <w:p>
      <w:pPr>
        <w:pStyle w:val="4"/>
        <w:spacing w:before="0" w:after="0" w:line="360" w:lineRule="auto"/>
        <w:ind w:firstLine="480" w:firstLineChars="200"/>
        <w:rPr>
          <w:rFonts w:ascii="宋体" w:hAnsi="宋体" w:eastAsia="宋体"/>
          <w:b w:val="0"/>
          <w:color w:val="FF0000"/>
          <w:sz w:val="24"/>
          <w:szCs w:val="24"/>
        </w:rPr>
      </w:pPr>
      <w:r>
        <w:rPr>
          <w:rFonts w:hint="eastAsia" w:ascii="宋体" w:hAnsi="宋体" w:eastAsia="宋体"/>
          <w:b w:val="0"/>
          <w:color w:val="FF0000"/>
          <w:sz w:val="24"/>
          <w:szCs w:val="24"/>
        </w:rPr>
        <w:t>24.1采购人确定成交供应商后，将及时书面通知采购单位，</w:t>
      </w:r>
      <w:r>
        <w:rPr>
          <w:rFonts w:hint="eastAsia" w:ascii="宋体" w:hAnsi="宋体" w:eastAsia="宋体"/>
          <w:b w:val="0"/>
          <w:color w:val="FF0000"/>
          <w:sz w:val="24"/>
          <w:szCs w:val="24"/>
          <w:lang w:eastAsia="zh-CN"/>
        </w:rPr>
        <w:t>在</w:t>
      </w:r>
      <w:r>
        <w:rPr>
          <w:rFonts w:hint="eastAsia" w:ascii="宋体" w:hAnsi="宋体" w:eastAsia="宋体"/>
          <w:b w:val="0"/>
          <w:color w:val="FF0000"/>
          <w:sz w:val="24"/>
          <w:szCs w:val="24"/>
          <w:lang w:val="en-US" w:eastAsia="zh-CN"/>
        </w:rPr>
        <w:t>广元市自然资源局网站上</w:t>
      </w:r>
      <w:r>
        <w:rPr>
          <w:rFonts w:hint="eastAsia" w:ascii="宋体" w:hAnsi="宋体" w:eastAsia="宋体"/>
          <w:b w:val="0"/>
          <w:color w:val="FF0000"/>
          <w:sz w:val="24"/>
          <w:szCs w:val="24"/>
        </w:rPr>
        <w:t>发布成交结果公告。</w:t>
      </w:r>
    </w:p>
    <w:p>
      <w:pPr>
        <w:spacing w:line="360" w:lineRule="auto"/>
        <w:ind w:firstLine="465"/>
        <w:rPr>
          <w:rFonts w:hAnsi="宋体"/>
          <w:color w:val="FF0000"/>
          <w:sz w:val="24"/>
        </w:rPr>
      </w:pPr>
      <w:r>
        <w:rPr>
          <w:rFonts w:hint="eastAsia" w:hAnsi="宋体"/>
          <w:color w:val="FF0000"/>
          <w:sz w:val="24"/>
        </w:rPr>
        <w:t>24.2成交供应商应当及时领取成交通知书。</w:t>
      </w:r>
    </w:p>
    <w:p>
      <w:pPr>
        <w:spacing w:line="360" w:lineRule="auto"/>
        <w:ind w:firstLine="480" w:firstLineChars="200"/>
        <w:rPr>
          <w:rFonts w:hAnsi="宋体"/>
          <w:color w:val="FF0000"/>
          <w:sz w:val="24"/>
        </w:rPr>
      </w:pPr>
      <w:r>
        <w:rPr>
          <w:rFonts w:hint="eastAsia" w:hAnsi="宋体"/>
          <w:color w:val="FF0000"/>
          <w:sz w:val="24"/>
        </w:rPr>
        <w:t>24.3成交供应商不能及时领取成交通知书，采购人应当通过邮寄、快递等方式将项目成交通知书送达成交供应商，邮寄风险及相关费用由成交供应商自行承担。</w:t>
      </w:r>
    </w:p>
    <w:p>
      <w:pPr>
        <w:spacing w:line="360" w:lineRule="auto"/>
        <w:ind w:firstLine="480" w:firstLineChars="200"/>
        <w:rPr>
          <w:rFonts w:hAnsi="宋体"/>
          <w:color w:val="FF0000"/>
          <w:sz w:val="24"/>
        </w:rPr>
      </w:pPr>
      <w:r>
        <w:rPr>
          <w:rFonts w:hint="eastAsia" w:hAnsi="宋体"/>
          <w:color w:val="FF0000"/>
          <w:sz w:val="24"/>
        </w:rPr>
        <w:t>24.4成交供应商在采购单位电话通知成交结果及成交通知书领取事宜之日起5个工作日内，拒不领取成交通知书的，采购人有权取消其成交资格。</w:t>
      </w:r>
    </w:p>
    <w:p>
      <w:pPr>
        <w:pStyle w:val="5"/>
        <w:spacing w:line="400" w:lineRule="exact"/>
        <w:ind w:firstLine="482" w:firstLineChars="200"/>
        <w:rPr>
          <w:bCs w:val="0"/>
          <w:sz w:val="24"/>
          <w:szCs w:val="24"/>
        </w:rPr>
      </w:pPr>
      <w:r>
        <w:rPr>
          <w:rFonts w:hint="eastAsia"/>
          <w:bCs w:val="0"/>
          <w:sz w:val="24"/>
          <w:szCs w:val="24"/>
        </w:rPr>
        <w:t>25.成交通知</w:t>
      </w:r>
      <w:bookmarkEnd w:id="70"/>
      <w:bookmarkEnd w:id="71"/>
      <w:r>
        <w:rPr>
          <w:rFonts w:hint="eastAsia"/>
          <w:bCs w:val="0"/>
          <w:sz w:val="24"/>
          <w:szCs w:val="24"/>
        </w:rPr>
        <w:t>书</w:t>
      </w:r>
      <w:bookmarkEnd w:id="72"/>
      <w:bookmarkEnd w:id="73"/>
    </w:p>
    <w:p>
      <w:pPr>
        <w:tabs>
          <w:tab w:val="left" w:pos="7665"/>
        </w:tabs>
        <w:spacing w:line="360" w:lineRule="auto"/>
        <w:ind w:firstLine="480" w:firstLineChars="200"/>
        <w:rPr>
          <w:sz w:val="24"/>
        </w:rPr>
      </w:pPr>
      <w:r>
        <w:rPr>
          <w:rFonts w:hint="eastAsia"/>
          <w:bCs/>
          <w:sz w:val="24"/>
        </w:rPr>
        <w:t>25.</w:t>
      </w:r>
      <w:r>
        <w:rPr>
          <w:rFonts w:hint="eastAsia"/>
          <w:sz w:val="24"/>
        </w:rPr>
        <w:t>1 成交通知书为签订采购合同的依据之一，是合同的有效组成部分。</w:t>
      </w:r>
    </w:p>
    <w:p>
      <w:pPr>
        <w:tabs>
          <w:tab w:val="left" w:pos="7665"/>
        </w:tabs>
        <w:spacing w:line="360" w:lineRule="auto"/>
        <w:ind w:firstLine="480" w:firstLineChars="200"/>
        <w:rPr>
          <w:sz w:val="24"/>
        </w:rPr>
      </w:pPr>
      <w:r>
        <w:rPr>
          <w:rFonts w:hint="eastAsia"/>
          <w:sz w:val="24"/>
        </w:rPr>
        <w:t>25.2 采购单位将成交结果电话通知后，成交供应商须在三个工作日内</w:t>
      </w:r>
      <w:r>
        <w:rPr>
          <w:rFonts w:hint="eastAsia"/>
          <w:sz w:val="24"/>
          <w:lang w:val="en-US" w:eastAsia="zh-CN"/>
        </w:rPr>
        <w:t>领取</w:t>
      </w:r>
      <w:r>
        <w:rPr>
          <w:rFonts w:hint="eastAsia"/>
          <w:sz w:val="24"/>
        </w:rPr>
        <w:t>成交通知书。</w:t>
      </w:r>
    </w:p>
    <w:p>
      <w:pPr>
        <w:tabs>
          <w:tab w:val="left" w:pos="7665"/>
        </w:tabs>
        <w:spacing w:line="360" w:lineRule="auto"/>
        <w:rPr>
          <w:sz w:val="24"/>
        </w:rPr>
      </w:pPr>
      <w:r>
        <w:rPr>
          <w:rFonts w:hint="eastAsia"/>
          <w:sz w:val="24"/>
        </w:rPr>
        <w:t xml:space="preserve">    25.3 成交通知书对采购人和成交供应商均具有法律效力。成交通知书发出后，采购人改变成交结果，或者成交供应商无正当理由放弃成交的，应当承担相应的法律责任。</w:t>
      </w:r>
    </w:p>
    <w:p>
      <w:pPr>
        <w:tabs>
          <w:tab w:val="left" w:pos="7665"/>
        </w:tabs>
        <w:spacing w:line="360" w:lineRule="auto"/>
        <w:ind w:firstLine="480"/>
        <w:rPr>
          <w:sz w:val="24"/>
        </w:rPr>
      </w:pPr>
      <w:r>
        <w:rPr>
          <w:rFonts w:hint="eastAsia"/>
          <w:sz w:val="24"/>
        </w:rPr>
        <w:t>25．4成交供应商的响应文件本应作为无效投标处理或者有相关法律法规规章制度规定的成交无效情形的，磋商采购单位在取得有权主体的认定以后，将宣布发出的成交通知书无效，并收回发出的成交通知书（成交供应商也应当缴回），依法重新确定成交供应商或者重新开展采购活动。</w:t>
      </w:r>
    </w:p>
    <w:p>
      <w:pPr>
        <w:tabs>
          <w:tab w:val="left" w:pos="7665"/>
        </w:tabs>
        <w:spacing w:line="360" w:lineRule="auto"/>
        <w:ind w:firstLine="480"/>
        <w:rPr>
          <w:rFonts w:hint="eastAsia"/>
          <w:sz w:val="24"/>
        </w:rPr>
      </w:pPr>
      <w:r>
        <w:rPr>
          <w:rFonts w:hint="eastAsia"/>
          <w:sz w:val="24"/>
        </w:rPr>
        <w:t>25.5成交通知书领取地址为：</w:t>
      </w:r>
      <w:r>
        <w:rPr>
          <w:rFonts w:hint="eastAsia"/>
          <w:sz w:val="24"/>
          <w:szCs w:val="28"/>
        </w:rPr>
        <w:t>广元市自然资源局朝天区分局（广元市朝天区朝天镇潜溪路31号广元市自然资源局朝天区分局会议室）</w:t>
      </w:r>
      <w:r>
        <w:rPr>
          <w:rFonts w:hint="eastAsia"/>
          <w:sz w:val="24"/>
        </w:rPr>
        <w:t>。联系人：王宏东，联系电话：</w:t>
      </w:r>
      <w:r>
        <w:rPr>
          <w:rFonts w:hint="eastAsia" w:hAnsi="宋体" w:cs="宋体"/>
          <w:sz w:val="24"/>
          <w:szCs w:val="24"/>
          <w:lang w:eastAsia="zh-CN"/>
        </w:rPr>
        <w:t>13881298829</w:t>
      </w:r>
      <w:r>
        <w:rPr>
          <w:rFonts w:hint="eastAsia"/>
          <w:sz w:val="24"/>
        </w:rPr>
        <w:t>。</w:t>
      </w: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rPr>
      </w:pPr>
    </w:p>
    <w:p>
      <w:pPr>
        <w:pStyle w:val="2"/>
        <w:rPr>
          <w:rFonts w:hint="eastAsia"/>
          <w:lang w:eastAsia="zh-CN"/>
        </w:rPr>
      </w:pPr>
    </w:p>
    <w:p>
      <w:pPr>
        <w:pStyle w:val="4"/>
        <w:spacing w:line="400" w:lineRule="exact"/>
        <w:jc w:val="center"/>
        <w:rPr>
          <w:rFonts w:ascii="黑体"/>
          <w:szCs w:val="28"/>
        </w:rPr>
      </w:pPr>
      <w:bookmarkStart w:id="74" w:name="_Toc308164810"/>
      <w:bookmarkStart w:id="75" w:name="_Toc217446064"/>
      <w:bookmarkStart w:id="76" w:name="_Toc183582240"/>
      <w:bookmarkStart w:id="77" w:name="_Toc183682377"/>
      <w:r>
        <w:rPr>
          <w:rFonts w:hint="eastAsia" w:ascii="黑体"/>
          <w:szCs w:val="28"/>
        </w:rPr>
        <w:t>六、签订及履行合同和验收</w:t>
      </w:r>
      <w:bookmarkEnd w:id="74"/>
      <w:bookmarkEnd w:id="75"/>
    </w:p>
    <w:p>
      <w:pPr>
        <w:pStyle w:val="5"/>
        <w:spacing w:line="400" w:lineRule="exact"/>
        <w:ind w:firstLine="482" w:firstLineChars="200"/>
        <w:rPr>
          <w:b w:val="0"/>
          <w:sz w:val="24"/>
          <w:szCs w:val="24"/>
        </w:rPr>
      </w:pPr>
      <w:bookmarkStart w:id="78" w:name="_Toc308164811"/>
      <w:bookmarkStart w:id="79" w:name="_Toc217446065"/>
      <w:r>
        <w:rPr>
          <w:rFonts w:hint="eastAsia"/>
          <w:sz w:val="24"/>
        </w:rPr>
        <w:t>26.</w:t>
      </w:r>
      <w:r>
        <w:rPr>
          <w:rFonts w:hint="eastAsia"/>
          <w:b w:val="0"/>
          <w:sz w:val="24"/>
        </w:rPr>
        <w:t xml:space="preserve"> </w:t>
      </w:r>
      <w:r>
        <w:rPr>
          <w:rFonts w:hint="eastAsia"/>
          <w:sz w:val="24"/>
          <w:szCs w:val="24"/>
        </w:rPr>
        <w:t>签订合同</w:t>
      </w:r>
      <w:bookmarkEnd w:id="78"/>
      <w:bookmarkEnd w:id="79"/>
    </w:p>
    <w:p>
      <w:pPr>
        <w:spacing w:line="400" w:lineRule="exact"/>
        <w:ind w:firstLine="480" w:firstLineChars="200"/>
        <w:rPr>
          <w:sz w:val="24"/>
        </w:rPr>
      </w:pPr>
      <w:r>
        <w:rPr>
          <w:rFonts w:hint="eastAsia"/>
          <w:sz w:val="24"/>
        </w:rPr>
        <w:t>26.1 成交供应商应在成交通知书发出后及时内与采购人签订采购合同。由于成交供应商的原因逾期未与采购人签订采购合同的，将视为放弃成交，取消其成交资格并将按相关规定进行处理。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Ansi="宋体"/>
          <w:sz w:val="24"/>
        </w:rPr>
      </w:pPr>
      <w:r>
        <w:rPr>
          <w:rFonts w:hint="eastAsia" w:hAnsi="宋体"/>
          <w:sz w:val="24"/>
        </w:rPr>
        <w:t>26.2 磋商文件、成交供应商的响应文件及双方确认的澄清文件等，均为有法律约束力的合同组成部分。</w:t>
      </w:r>
    </w:p>
    <w:p>
      <w:pPr>
        <w:spacing w:line="400" w:lineRule="exact"/>
        <w:ind w:firstLine="480" w:firstLineChars="200"/>
        <w:rPr>
          <w:sz w:val="24"/>
        </w:rPr>
      </w:pPr>
      <w:r>
        <w:rPr>
          <w:rFonts w:hint="eastAsia"/>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20" w:firstLineChars="175"/>
        <w:rPr>
          <w:sz w:val="24"/>
        </w:rPr>
      </w:pPr>
      <w:r>
        <w:rPr>
          <w:rFonts w:hint="eastAsia"/>
          <w:sz w:val="24"/>
        </w:rPr>
        <w:t>26.4 有下列情形之一的，采购人可以与排在成交供应商之后第一位的成交候选人签订采购合同，以此类推：</w:t>
      </w:r>
    </w:p>
    <w:p>
      <w:pPr>
        <w:spacing w:line="400" w:lineRule="exact"/>
        <w:ind w:firstLine="470" w:firstLineChars="196"/>
        <w:rPr>
          <w:rFonts w:hAnsi="宋体" w:cs="宋体"/>
          <w:sz w:val="24"/>
        </w:rPr>
      </w:pPr>
      <w:r>
        <w:rPr>
          <w:rFonts w:hint="eastAsia" w:hAnsi="宋体" w:cs="宋体"/>
          <w:sz w:val="24"/>
        </w:rPr>
        <w:t>26.4.1在采购人确定</w:t>
      </w:r>
      <w:r>
        <w:rPr>
          <w:rFonts w:hint="eastAsia"/>
          <w:sz w:val="24"/>
        </w:rPr>
        <w:t>成交供应商</w:t>
      </w:r>
      <w:r>
        <w:rPr>
          <w:rFonts w:hint="eastAsia" w:hAnsi="宋体" w:cs="宋体"/>
          <w:sz w:val="24"/>
        </w:rPr>
        <w:t>以前放弃成交候选资格的；</w:t>
      </w:r>
    </w:p>
    <w:p>
      <w:pPr>
        <w:spacing w:line="400" w:lineRule="exact"/>
        <w:ind w:firstLine="470" w:firstLineChars="196"/>
        <w:rPr>
          <w:rFonts w:hAnsi="宋体" w:cs="宋体"/>
          <w:sz w:val="24"/>
        </w:rPr>
      </w:pPr>
      <w:r>
        <w:rPr>
          <w:rFonts w:hint="eastAsia" w:hAnsi="宋体" w:cs="宋体"/>
          <w:sz w:val="24"/>
        </w:rPr>
        <w:t>26.4.2成交后放弃成交、不在规定时间内领取或者不接收成交通知书的；</w:t>
      </w:r>
    </w:p>
    <w:p>
      <w:pPr>
        <w:spacing w:line="400" w:lineRule="exact"/>
        <w:ind w:firstLine="470" w:firstLineChars="196"/>
        <w:rPr>
          <w:rFonts w:hAnsi="宋体" w:cs="宋体"/>
          <w:sz w:val="24"/>
        </w:rPr>
      </w:pPr>
      <w:r>
        <w:rPr>
          <w:rFonts w:hint="eastAsia" w:hAnsi="宋体" w:cs="宋体"/>
          <w:sz w:val="24"/>
        </w:rPr>
        <w:t>26.4.3由于</w:t>
      </w:r>
      <w:r>
        <w:rPr>
          <w:rFonts w:hint="eastAsia"/>
          <w:sz w:val="24"/>
        </w:rPr>
        <w:t>成交供应商</w:t>
      </w:r>
      <w:r>
        <w:rPr>
          <w:rFonts w:hint="eastAsia" w:hAnsi="宋体" w:cs="宋体"/>
          <w:sz w:val="24"/>
        </w:rPr>
        <w:t>的原因未能按照磋商文件的规定与采购人签订合同的；</w:t>
      </w:r>
    </w:p>
    <w:p>
      <w:pPr>
        <w:spacing w:line="400" w:lineRule="exact"/>
        <w:ind w:firstLine="470" w:firstLineChars="196"/>
        <w:rPr>
          <w:rFonts w:hAnsi="宋体" w:cs="宋体"/>
          <w:sz w:val="24"/>
        </w:rPr>
      </w:pPr>
      <w:r>
        <w:rPr>
          <w:rFonts w:hint="eastAsia" w:hAnsi="宋体" w:cs="宋体"/>
          <w:sz w:val="24"/>
        </w:rPr>
        <w:t>26.4.4由于</w:t>
      </w:r>
      <w:r>
        <w:rPr>
          <w:rFonts w:hint="eastAsia"/>
          <w:sz w:val="24"/>
        </w:rPr>
        <w:t>成交供应商</w:t>
      </w:r>
      <w:r>
        <w:rPr>
          <w:rFonts w:hint="eastAsia" w:hAnsi="宋体" w:cs="宋体"/>
          <w:sz w:val="24"/>
        </w:rPr>
        <w:t>的原因未能按照磋商文件的规定交纳履约保证金的；</w:t>
      </w:r>
    </w:p>
    <w:p>
      <w:pPr>
        <w:spacing w:line="400" w:lineRule="exact"/>
        <w:ind w:firstLine="470" w:firstLineChars="196"/>
        <w:rPr>
          <w:rFonts w:hAnsi="宋体" w:cs="宋体"/>
          <w:sz w:val="24"/>
        </w:rPr>
      </w:pPr>
      <w:r>
        <w:rPr>
          <w:rFonts w:hint="eastAsia" w:hAnsi="宋体" w:cs="宋体"/>
          <w:sz w:val="24"/>
        </w:rPr>
        <w:t>26.4.5</w:t>
      </w:r>
      <w:r>
        <w:rPr>
          <w:rFonts w:hint="eastAsia"/>
          <w:sz w:val="24"/>
        </w:rPr>
        <w:t>成交供应商</w:t>
      </w:r>
      <w:r>
        <w:rPr>
          <w:rFonts w:hint="eastAsia" w:hAnsi="宋体" w:cs="宋体"/>
          <w:sz w:val="24"/>
        </w:rPr>
        <w:t>向采购人提出任何不合理的要求作为签订合同的条件；</w:t>
      </w:r>
    </w:p>
    <w:p>
      <w:pPr>
        <w:spacing w:line="400" w:lineRule="exact"/>
        <w:ind w:firstLine="470" w:firstLineChars="196"/>
        <w:rPr>
          <w:rFonts w:hAnsi="宋体" w:cs="宋体"/>
          <w:sz w:val="24"/>
        </w:rPr>
      </w:pPr>
      <w:r>
        <w:rPr>
          <w:rFonts w:hint="eastAsia" w:hAnsi="宋体" w:cs="宋体"/>
          <w:sz w:val="24"/>
        </w:rPr>
        <w:t>26.4.6将成交项目转让给他人，或者在响应文件中未说明，且未经采购招标机构同意，将成交项目分包给他人的；</w:t>
      </w:r>
    </w:p>
    <w:p>
      <w:pPr>
        <w:spacing w:line="400" w:lineRule="exact"/>
        <w:ind w:firstLine="470" w:firstLineChars="196"/>
        <w:rPr>
          <w:rFonts w:hAnsi="宋体" w:cs="宋体"/>
          <w:sz w:val="24"/>
        </w:rPr>
      </w:pPr>
      <w:r>
        <w:rPr>
          <w:rFonts w:hint="eastAsia" w:hAnsi="宋体" w:cs="宋体"/>
          <w:sz w:val="24"/>
        </w:rPr>
        <w:t>26.4.7</w:t>
      </w:r>
      <w:r>
        <w:rPr>
          <w:rFonts w:hint="eastAsia"/>
          <w:sz w:val="24"/>
        </w:rPr>
        <w:t>成交供应商</w:t>
      </w:r>
      <w:r>
        <w:rPr>
          <w:rFonts w:hint="eastAsia" w:hAnsi="宋体" w:cs="宋体"/>
          <w:sz w:val="24"/>
        </w:rPr>
        <w:t>因不可抗力原因不能履行采购合同或拒绝履行合同义务的；</w:t>
      </w:r>
    </w:p>
    <w:p>
      <w:pPr>
        <w:spacing w:line="400" w:lineRule="exact"/>
        <w:ind w:firstLine="470" w:firstLineChars="196"/>
        <w:rPr>
          <w:rFonts w:hAnsi="宋体" w:cs="宋体"/>
          <w:sz w:val="24"/>
        </w:rPr>
      </w:pPr>
      <w:r>
        <w:rPr>
          <w:rFonts w:hint="eastAsia" w:hAnsi="宋体" w:cs="宋体"/>
          <w:sz w:val="24"/>
        </w:rPr>
        <w:t>26.4.8磋商有效期内，竞磋人在采购活动中有违法、违规、违纪行为；</w:t>
      </w:r>
    </w:p>
    <w:p>
      <w:pPr>
        <w:spacing w:line="400" w:lineRule="exact"/>
        <w:ind w:firstLine="470" w:firstLineChars="196"/>
        <w:rPr>
          <w:rFonts w:hAnsi="宋体" w:cs="宋体"/>
          <w:sz w:val="24"/>
        </w:rPr>
      </w:pPr>
      <w:r>
        <w:rPr>
          <w:rFonts w:hint="eastAsia" w:hAnsi="宋体" w:cs="宋体"/>
          <w:sz w:val="24"/>
        </w:rPr>
        <w:t>26.4.9磋商文件及其他法律法规规定的可以与排在</w:t>
      </w:r>
      <w:r>
        <w:rPr>
          <w:rFonts w:hint="eastAsia"/>
          <w:sz w:val="24"/>
        </w:rPr>
        <w:t>成交供应商</w:t>
      </w:r>
      <w:r>
        <w:rPr>
          <w:rFonts w:hint="eastAsia" w:hAnsi="宋体" w:cs="宋体"/>
          <w:sz w:val="24"/>
        </w:rPr>
        <w:t>人之后第一位的成交候选人签订采购合同的情形。</w:t>
      </w:r>
    </w:p>
    <w:p>
      <w:pPr>
        <w:spacing w:line="400" w:lineRule="exact"/>
        <w:ind w:firstLine="420" w:firstLineChars="175"/>
        <w:rPr>
          <w:rFonts w:hAnsi="宋体" w:cs="宋体"/>
          <w:sz w:val="24"/>
        </w:rPr>
      </w:pPr>
      <w:r>
        <w:rPr>
          <w:rFonts w:hint="eastAsia" w:hAnsi="宋体" w:cs="宋体"/>
          <w:sz w:val="24"/>
        </w:rPr>
        <w:t>26.5</w:t>
      </w:r>
      <w:r>
        <w:rPr>
          <w:rFonts w:hint="eastAsia" w:hAnsi="宋体"/>
          <w:sz w:val="24"/>
        </w:rPr>
        <w:t>竞争性磋商文件、成交供应商提交的响应文件、磋商中的最后报价、成交供应商承诺书、成交通知书等均称为有法律约束力的合同组成内容。</w:t>
      </w:r>
    </w:p>
    <w:p>
      <w:pPr>
        <w:spacing w:line="400" w:lineRule="exact"/>
        <w:ind w:firstLine="420" w:firstLineChars="175"/>
        <w:rPr>
          <w:rFonts w:hAnsi="宋体" w:cs="宋体"/>
          <w:sz w:val="24"/>
        </w:rPr>
      </w:pPr>
      <w:r>
        <w:rPr>
          <w:rFonts w:hint="eastAsia"/>
          <w:sz w:val="24"/>
        </w:rPr>
        <w:t>26.6成交供应商</w:t>
      </w:r>
      <w:r>
        <w:rPr>
          <w:rFonts w:hint="eastAsia" w:hAnsi="宋体" w:cs="宋体"/>
          <w:sz w:val="24"/>
        </w:rPr>
        <w:t>在合同签订之后，将签订的合同（份数自定）送广元市自然资源局朝天区分局</w:t>
      </w:r>
      <w:r>
        <w:rPr>
          <w:rFonts w:hint="eastAsia" w:hAnsi="宋体" w:cs="宋体"/>
          <w:sz w:val="24"/>
          <w:lang w:val="en-US" w:eastAsia="zh-CN"/>
        </w:rPr>
        <w:t>2</w:t>
      </w:r>
      <w:r>
        <w:rPr>
          <w:rFonts w:hint="eastAsia" w:hAnsi="宋体" w:cs="宋体"/>
          <w:sz w:val="24"/>
        </w:rPr>
        <w:t>份合同原件作为归档资料。联系人：王宏东，联系电话：</w:t>
      </w:r>
      <w:r>
        <w:rPr>
          <w:rFonts w:hint="eastAsia" w:hAnsi="宋体" w:cs="宋体"/>
          <w:sz w:val="24"/>
          <w:lang w:eastAsia="zh-CN"/>
        </w:rPr>
        <w:t>13881298829</w:t>
      </w:r>
      <w:r>
        <w:rPr>
          <w:rFonts w:hint="eastAsia" w:hAnsi="宋体" w:cs="宋体"/>
          <w:sz w:val="24"/>
        </w:rPr>
        <w:t>。</w:t>
      </w:r>
    </w:p>
    <w:p>
      <w:pPr>
        <w:pStyle w:val="4"/>
        <w:spacing w:line="400" w:lineRule="exact"/>
        <w:ind w:firstLine="482" w:firstLineChars="200"/>
        <w:rPr>
          <w:rFonts w:ascii="宋体"/>
          <w:sz w:val="24"/>
        </w:rPr>
      </w:pPr>
      <w:r>
        <w:rPr>
          <w:rFonts w:hint="eastAsia" w:ascii="宋体" w:eastAsia="宋体"/>
          <w:sz w:val="24"/>
          <w:szCs w:val="24"/>
        </w:rPr>
        <w:t>27. 合同分包（实质性要求）</w:t>
      </w:r>
    </w:p>
    <w:p>
      <w:pPr>
        <w:spacing w:line="400" w:lineRule="exact"/>
        <w:ind w:firstLine="540" w:firstLineChars="225"/>
        <w:rPr>
          <w:sz w:val="24"/>
        </w:rPr>
      </w:pPr>
      <w:r>
        <w:rPr>
          <w:rFonts w:hint="eastAsia"/>
          <w:sz w:val="24"/>
        </w:rPr>
        <w:t>本项目不允许成交供应商采取分包方式履行合同。</w:t>
      </w:r>
    </w:p>
    <w:p>
      <w:pPr>
        <w:pStyle w:val="4"/>
        <w:spacing w:line="400" w:lineRule="exact"/>
        <w:ind w:firstLine="482" w:firstLineChars="200"/>
        <w:rPr>
          <w:rFonts w:ascii="宋体" w:eastAsia="宋体"/>
          <w:sz w:val="24"/>
          <w:szCs w:val="24"/>
        </w:rPr>
      </w:pPr>
      <w:r>
        <w:rPr>
          <w:rFonts w:hint="eastAsia" w:ascii="宋体" w:eastAsia="宋体"/>
          <w:sz w:val="24"/>
          <w:szCs w:val="24"/>
        </w:rPr>
        <w:t>28.合同转包（实质性要求）</w:t>
      </w:r>
    </w:p>
    <w:p>
      <w:pPr>
        <w:spacing w:line="400" w:lineRule="exact"/>
        <w:ind w:firstLine="540" w:firstLineChars="225"/>
        <w:rPr>
          <w:sz w:val="24"/>
        </w:rPr>
      </w:pPr>
      <w:r>
        <w:rPr>
          <w:rFonts w:hint="eastAsia"/>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540" w:firstLineChars="225"/>
        <w:rPr>
          <w:sz w:val="24"/>
        </w:rPr>
      </w:pPr>
      <w:r>
        <w:rPr>
          <w:rFonts w:hint="eastAsia"/>
          <w:sz w:val="24"/>
        </w:rPr>
        <w:t>成交供应商转包的，视同拒绝履行采购合同义务，将依法追究法律责任。</w:t>
      </w:r>
    </w:p>
    <w:p>
      <w:pPr>
        <w:pStyle w:val="4"/>
        <w:spacing w:line="400" w:lineRule="exact"/>
        <w:ind w:firstLine="482" w:firstLineChars="200"/>
        <w:rPr>
          <w:rFonts w:ascii="宋体" w:eastAsia="宋体"/>
          <w:sz w:val="24"/>
          <w:szCs w:val="24"/>
        </w:rPr>
      </w:pPr>
      <w:bookmarkStart w:id="80" w:name="_Toc217446066"/>
      <w:r>
        <w:rPr>
          <w:rFonts w:hint="eastAsia" w:ascii="宋体" w:eastAsia="宋体"/>
          <w:sz w:val="24"/>
          <w:szCs w:val="24"/>
        </w:rPr>
        <w:t>29</w:t>
      </w:r>
      <w:r>
        <w:rPr>
          <w:rFonts w:hint="eastAsia" w:ascii="宋体" w:hAnsi="宋体" w:eastAsia="宋体" w:cs="宋体"/>
          <w:sz w:val="24"/>
          <w:szCs w:val="24"/>
        </w:rPr>
        <w:t>.</w:t>
      </w:r>
      <w:bookmarkEnd w:id="80"/>
      <w:r>
        <w:rPr>
          <w:rFonts w:hint="eastAsia" w:ascii="宋体" w:hAnsi="宋体" w:eastAsia="宋体" w:cs="宋体"/>
          <w:sz w:val="24"/>
          <w:szCs w:val="24"/>
        </w:rPr>
        <w:t xml:space="preserve"> </w:t>
      </w:r>
      <w:r>
        <w:rPr>
          <w:rFonts w:hint="eastAsia" w:ascii="宋体" w:hAnsi="宋体" w:eastAsia="宋体" w:cs="宋体"/>
          <w:sz w:val="24"/>
        </w:rPr>
        <w:t>补充合同</w:t>
      </w:r>
    </w:p>
    <w:p>
      <w:pPr>
        <w:spacing w:line="400" w:lineRule="exact"/>
        <w:ind w:firstLine="480" w:firstLineChars="200"/>
        <w:rPr>
          <w:sz w:val="24"/>
        </w:rPr>
      </w:pPr>
      <w:r>
        <w:rPr>
          <w:rFonts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w:t>
      </w:r>
      <w:r>
        <w:rPr>
          <w:rFonts w:hint="eastAsia" w:ascii="新宋体" w:hAnsi="新宋体" w:eastAsia="新宋体" w:cs="新宋体"/>
          <w:sz w:val="24"/>
          <w:szCs w:val="24"/>
        </w:rPr>
        <w:t>采购货物的名称、价格、履约方式、验收标准</w:t>
      </w:r>
      <w:r>
        <w:rPr>
          <w:rFonts w:hint="eastAsia"/>
          <w:sz w:val="24"/>
          <w:szCs w:val="24"/>
        </w:rPr>
        <w:t>等必须</w:t>
      </w:r>
      <w:r>
        <w:rPr>
          <w:rFonts w:hint="eastAsia"/>
          <w:sz w:val="24"/>
        </w:rPr>
        <w:t xml:space="preserve">与原采购合同一致。 </w:t>
      </w:r>
    </w:p>
    <w:p>
      <w:pPr>
        <w:pStyle w:val="5"/>
        <w:spacing w:line="400" w:lineRule="exact"/>
        <w:ind w:firstLine="482" w:firstLineChars="200"/>
        <w:rPr>
          <w:b w:val="0"/>
          <w:sz w:val="24"/>
          <w:szCs w:val="24"/>
        </w:rPr>
      </w:pPr>
      <w:bookmarkStart w:id="81" w:name="_Toc217446068"/>
      <w:bookmarkStart w:id="82" w:name="_Toc308164812"/>
      <w:r>
        <w:rPr>
          <w:rFonts w:hint="eastAsia"/>
          <w:sz w:val="24"/>
          <w:szCs w:val="24"/>
        </w:rPr>
        <w:t>30</w:t>
      </w:r>
      <w:r>
        <w:rPr>
          <w:rFonts w:hint="eastAsia"/>
          <w:b w:val="0"/>
          <w:sz w:val="24"/>
          <w:szCs w:val="24"/>
        </w:rPr>
        <w:t xml:space="preserve">. </w:t>
      </w:r>
      <w:r>
        <w:rPr>
          <w:rFonts w:hint="eastAsia"/>
          <w:sz w:val="24"/>
          <w:szCs w:val="24"/>
        </w:rPr>
        <w:t>履约保证金</w:t>
      </w:r>
      <w:bookmarkEnd w:id="81"/>
      <w:bookmarkEnd w:id="82"/>
      <w:r>
        <w:rPr>
          <w:rFonts w:hint="eastAsia"/>
          <w:sz w:val="24"/>
          <w:szCs w:val="24"/>
        </w:rPr>
        <w:t>（本项目不收取履约保证金）</w:t>
      </w:r>
    </w:p>
    <w:p>
      <w:pPr>
        <w:spacing w:line="400" w:lineRule="exact"/>
        <w:ind w:firstLine="480" w:firstLineChars="200"/>
        <w:rPr>
          <w:rFonts w:hint="eastAsia" w:ascii="宋体" w:eastAsia="宋体"/>
          <w:sz w:val="24"/>
        </w:rPr>
      </w:pPr>
      <w:r>
        <w:rPr>
          <w:rFonts w:hint="eastAsia" w:ascii="宋体" w:eastAsia="宋体"/>
          <w:sz w:val="24"/>
        </w:rPr>
        <w:t>30.1 本项目履约保证金缴纳为项目成交金额的0%，由成交供应商在签订合同签订向采购人支付。</w:t>
      </w:r>
    </w:p>
    <w:p>
      <w:pPr>
        <w:spacing w:line="400" w:lineRule="exact"/>
        <w:ind w:firstLine="480" w:firstLineChars="200"/>
        <w:rPr>
          <w:rFonts w:hint="eastAsia" w:ascii="宋体" w:eastAsia="宋体"/>
          <w:sz w:val="24"/>
        </w:rPr>
      </w:pPr>
      <w:r>
        <w:rPr>
          <w:rFonts w:hint="eastAsia" w:ascii="宋体" w:eastAsia="宋体"/>
          <w:sz w:val="24"/>
        </w:rPr>
        <w:t>30.2履约保证金退款时间以成交供应商与采购人合同约定时间为准。</w:t>
      </w:r>
    </w:p>
    <w:p>
      <w:pPr>
        <w:spacing w:line="400" w:lineRule="exact"/>
        <w:ind w:firstLine="480" w:firstLineChars="200"/>
        <w:rPr>
          <w:rFonts w:hint="eastAsia" w:ascii="宋体" w:eastAsia="宋体"/>
          <w:sz w:val="24"/>
        </w:rPr>
      </w:pPr>
      <w:r>
        <w:rPr>
          <w:rFonts w:hint="eastAsia" w:ascii="宋体" w:eastAsia="宋体"/>
          <w:sz w:val="24"/>
        </w:rPr>
        <w:t>30.3成交供应商有下列情形之一的，采购人不予退还其交纳的履约保证金；情节严重的，由财政部门将其列入不良行为记录名单，在一至三年内禁止参加采购活动，并予以通报：</w:t>
      </w:r>
    </w:p>
    <w:p>
      <w:pPr>
        <w:spacing w:line="400" w:lineRule="exact"/>
        <w:ind w:firstLine="480" w:firstLineChars="200"/>
        <w:rPr>
          <w:rFonts w:hint="eastAsia" w:ascii="宋体" w:eastAsia="宋体"/>
          <w:sz w:val="24"/>
        </w:rPr>
      </w:pPr>
      <w:r>
        <w:rPr>
          <w:rFonts w:hint="eastAsia" w:ascii="宋体" w:eastAsia="宋体"/>
          <w:sz w:val="24"/>
        </w:rPr>
        <w:t>30.3.1成交后无正当理由不与采购人签订合同的；</w:t>
      </w:r>
    </w:p>
    <w:p>
      <w:pPr>
        <w:spacing w:line="400" w:lineRule="exact"/>
        <w:ind w:firstLine="480" w:firstLineChars="200"/>
        <w:rPr>
          <w:rFonts w:hint="eastAsia" w:ascii="宋体" w:eastAsia="宋体"/>
          <w:sz w:val="24"/>
        </w:rPr>
      </w:pPr>
      <w:r>
        <w:rPr>
          <w:rFonts w:hint="eastAsia" w:ascii="宋体" w:eastAsia="宋体"/>
          <w:sz w:val="24"/>
        </w:rPr>
        <w:t>30.3.2将成交项目转让给他人，或者在响应文件中未说明，且未经过磋商采购单位同意，将成交项目分包给他人的；</w:t>
      </w:r>
    </w:p>
    <w:p>
      <w:pPr>
        <w:spacing w:line="400" w:lineRule="exact"/>
        <w:ind w:firstLine="480" w:firstLineChars="200"/>
        <w:rPr>
          <w:rFonts w:hint="eastAsia" w:ascii="宋体" w:eastAsia="宋体"/>
          <w:sz w:val="24"/>
        </w:rPr>
      </w:pPr>
      <w:r>
        <w:rPr>
          <w:rFonts w:hint="eastAsia" w:ascii="宋体" w:eastAsia="宋体"/>
          <w:sz w:val="24"/>
        </w:rPr>
        <w:t>30.3.3拒绝履行合同义务的。</w:t>
      </w:r>
    </w:p>
    <w:p>
      <w:pPr>
        <w:pStyle w:val="5"/>
        <w:spacing w:line="400" w:lineRule="exact"/>
        <w:rPr>
          <w:b w:val="0"/>
          <w:sz w:val="24"/>
          <w:szCs w:val="24"/>
        </w:rPr>
      </w:pPr>
      <w:bookmarkStart w:id="83" w:name="_Toc308164813"/>
      <w:bookmarkStart w:id="84" w:name="_Toc217446069"/>
      <w:r>
        <w:rPr>
          <w:rFonts w:hint="eastAsia"/>
          <w:sz w:val="24"/>
          <w:szCs w:val="24"/>
        </w:rPr>
        <w:t>31. 履行合同</w:t>
      </w:r>
      <w:bookmarkEnd w:id="83"/>
      <w:bookmarkEnd w:id="84"/>
    </w:p>
    <w:p>
      <w:pPr>
        <w:spacing w:line="400" w:lineRule="exact"/>
        <w:rPr>
          <w:sz w:val="24"/>
        </w:rPr>
      </w:pPr>
      <w:r>
        <w:rPr>
          <w:rFonts w:hint="eastAsia"/>
          <w:sz w:val="24"/>
        </w:rPr>
        <w:t xml:space="preserve">  31.1 </w:t>
      </w:r>
      <w:r>
        <w:rPr>
          <w:rFonts w:hint="eastAsia" w:hAnsi="宋体" w:cs="宋体"/>
          <w:bCs/>
          <w:sz w:val="24"/>
          <w:szCs w:val="24"/>
        </w:rPr>
        <w:t>成交供应商</w:t>
      </w:r>
      <w:r>
        <w:rPr>
          <w:rFonts w:hint="eastAsia"/>
          <w:sz w:val="24"/>
        </w:rPr>
        <w:t>与采购人签订合同后，合同双方应严格执行合同条款，履行合同规定的义务，保证合同的顺利完成。</w:t>
      </w:r>
    </w:p>
    <w:p>
      <w:pPr>
        <w:spacing w:line="400" w:lineRule="exact"/>
        <w:rPr>
          <w:sz w:val="24"/>
        </w:rPr>
      </w:pPr>
      <w:r>
        <w:rPr>
          <w:rFonts w:hint="eastAsia"/>
          <w:sz w:val="24"/>
        </w:rPr>
        <w:t xml:space="preserve">  31.2 在合同履行过程中，如发生合同纠纷，合同双方应按照《民法典》的有关规定进行处理。</w:t>
      </w:r>
    </w:p>
    <w:p>
      <w:pPr>
        <w:pStyle w:val="5"/>
        <w:spacing w:line="400" w:lineRule="exact"/>
        <w:ind w:firstLine="482" w:firstLineChars="200"/>
        <w:rPr>
          <w:b w:val="0"/>
          <w:sz w:val="24"/>
          <w:szCs w:val="24"/>
        </w:rPr>
      </w:pPr>
      <w:bookmarkStart w:id="85" w:name="_Toc308164814"/>
      <w:bookmarkStart w:id="86" w:name="_Toc217446070"/>
      <w:r>
        <w:rPr>
          <w:rFonts w:hint="eastAsia"/>
          <w:sz w:val="24"/>
          <w:szCs w:val="24"/>
        </w:rPr>
        <w:t>32. 验收</w:t>
      </w:r>
      <w:bookmarkEnd w:id="85"/>
      <w:bookmarkEnd w:id="86"/>
    </w:p>
    <w:p>
      <w:pPr>
        <w:widowControl/>
        <w:spacing w:line="360" w:lineRule="auto"/>
        <w:ind w:firstLine="480" w:firstLineChars="200"/>
        <w:rPr>
          <w:rFonts w:hAnsi="宋体"/>
          <w:sz w:val="24"/>
          <w:shd w:val="clear" w:color="auto" w:fill="FFFFFF"/>
        </w:rPr>
      </w:pPr>
      <w:r>
        <w:rPr>
          <w:rFonts w:hint="eastAsia" w:hAnsi="宋体"/>
          <w:sz w:val="24"/>
          <w:shd w:val="clear" w:color="auto" w:fill="FFFFFF"/>
        </w:rPr>
        <w:t>32.1采购</w:t>
      </w:r>
      <w:r>
        <w:rPr>
          <w:rFonts w:hAnsi="宋体"/>
          <w:sz w:val="24"/>
          <w:shd w:val="clear" w:color="auto" w:fill="FFFFFF"/>
        </w:rPr>
        <w:t>项目履约验收工作由采购人负责。</w:t>
      </w:r>
    </w:p>
    <w:p>
      <w:pPr>
        <w:widowControl/>
        <w:spacing w:line="360" w:lineRule="auto"/>
        <w:ind w:firstLine="480" w:firstLineChars="200"/>
        <w:rPr>
          <w:rFonts w:hAnsi="宋体"/>
          <w:sz w:val="24"/>
          <w:shd w:val="clear" w:color="auto" w:fill="FFFFFF"/>
        </w:rPr>
      </w:pPr>
      <w:r>
        <w:rPr>
          <w:rFonts w:hint="eastAsia" w:hAnsi="宋体"/>
          <w:sz w:val="24"/>
          <w:shd w:val="clear" w:color="auto" w:fill="FFFFFF"/>
        </w:rPr>
        <w:t>32.2采购人可以邀请参加本项目的其他竞磋人或者第三方机构参与验收。参与验收的供应商或者第三方机构的意见作为验收书的参考资料一并存档。</w:t>
      </w:r>
    </w:p>
    <w:p>
      <w:pPr>
        <w:widowControl/>
        <w:spacing w:line="480" w:lineRule="exact"/>
        <w:ind w:firstLine="480" w:firstLineChars="200"/>
        <w:rPr>
          <w:rFonts w:hAnsi="宋体"/>
          <w:sz w:val="24"/>
        </w:rPr>
      </w:pPr>
      <w:r>
        <w:rPr>
          <w:rFonts w:hint="eastAsia" w:hAnsi="宋体"/>
          <w:sz w:val="24"/>
          <w:shd w:val="clear" w:color="auto" w:fill="FFFFFF"/>
        </w:rPr>
        <w:t>32</w:t>
      </w:r>
      <w:r>
        <w:rPr>
          <w:rFonts w:hAnsi="宋体"/>
          <w:sz w:val="24"/>
        </w:rPr>
        <w:t>.</w:t>
      </w:r>
      <w:r>
        <w:rPr>
          <w:rFonts w:hint="eastAsia" w:hAnsi="宋体"/>
          <w:sz w:val="24"/>
        </w:rPr>
        <w:t>3</w:t>
      </w:r>
      <w:r>
        <w:rPr>
          <w:rFonts w:hint="eastAsia" w:hAnsi="宋体" w:cs="宋体"/>
          <w:bCs/>
          <w:sz w:val="24"/>
          <w:szCs w:val="24"/>
        </w:rPr>
        <w:t>成交供应商</w:t>
      </w:r>
      <w:r>
        <w:rPr>
          <w:rFonts w:hint="eastAsia" w:hAnsi="宋体"/>
          <w:sz w:val="24"/>
        </w:rPr>
        <w:t>与采购人严格按照磋商文件及成交供应商的响应文件进行验收。</w:t>
      </w:r>
    </w:p>
    <w:p>
      <w:pPr>
        <w:adjustRightInd w:val="0"/>
        <w:spacing w:line="480" w:lineRule="exact"/>
        <w:ind w:firstLine="512" w:firstLineChars="200"/>
        <w:rPr>
          <w:rFonts w:hAnsi="宋体"/>
          <w:spacing w:val="8"/>
          <w:sz w:val="24"/>
        </w:rPr>
      </w:pPr>
      <w:r>
        <w:rPr>
          <w:rFonts w:hint="eastAsia" w:hAnsi="宋体"/>
          <w:spacing w:val="8"/>
          <w:sz w:val="24"/>
        </w:rPr>
        <w:t>验收合格采购人向成交供应商出具《</w:t>
      </w:r>
      <w:r>
        <w:rPr>
          <w:rFonts w:hint="eastAsia" w:hAnsi="宋体"/>
          <w:sz w:val="24"/>
        </w:rPr>
        <w:t>采购项目履约验收报告</w:t>
      </w:r>
      <w:r>
        <w:rPr>
          <w:rFonts w:hint="eastAsia" w:hAnsi="宋体"/>
          <w:spacing w:val="8"/>
          <w:sz w:val="24"/>
        </w:rPr>
        <w:t>》。</w:t>
      </w:r>
    </w:p>
    <w:p>
      <w:pPr>
        <w:spacing w:line="400" w:lineRule="exact"/>
        <w:ind w:firstLine="480" w:firstLineChars="200"/>
        <w:rPr>
          <w:sz w:val="24"/>
        </w:rPr>
      </w:pPr>
      <w:r>
        <w:rPr>
          <w:rFonts w:hint="eastAsia" w:hAnsi="宋体"/>
          <w:sz w:val="24"/>
          <w:shd w:val="clear" w:color="auto" w:fill="FFFFFF"/>
        </w:rPr>
        <w:t>32</w:t>
      </w:r>
      <w:r>
        <w:rPr>
          <w:rFonts w:hint="eastAsia"/>
          <w:sz w:val="24"/>
        </w:rPr>
        <w:t>.4验收结果合格的，</w:t>
      </w:r>
      <w:r>
        <w:rPr>
          <w:rFonts w:hint="eastAsia" w:hAnsi="宋体" w:cs="宋体"/>
          <w:bCs/>
          <w:sz w:val="24"/>
          <w:szCs w:val="24"/>
        </w:rPr>
        <w:t>成交供应商</w:t>
      </w:r>
      <w:r>
        <w:rPr>
          <w:rFonts w:hint="eastAsia"/>
          <w:sz w:val="24"/>
        </w:rPr>
        <w:t>凭验收表到收款单位办理履约保证金的退付手续；验收结果不合格的，履约保证金将不予退还，也将不予支付采购资金。</w:t>
      </w:r>
      <w:bookmarkStart w:id="87" w:name="_Toc217446071"/>
    </w:p>
    <w:p>
      <w:pPr>
        <w:pStyle w:val="5"/>
        <w:spacing w:line="400" w:lineRule="exact"/>
        <w:rPr>
          <w:sz w:val="24"/>
          <w:szCs w:val="24"/>
        </w:rPr>
      </w:pPr>
      <w:bookmarkStart w:id="88" w:name="_Toc217446077"/>
      <w:bookmarkStart w:id="89" w:name="_Toc308164818"/>
      <w:r>
        <w:rPr>
          <w:rFonts w:hint="eastAsia"/>
          <w:sz w:val="24"/>
          <w:szCs w:val="24"/>
        </w:rPr>
        <w:t xml:space="preserve">   33.资金支付</w:t>
      </w:r>
      <w:bookmarkEnd w:id="88"/>
      <w:bookmarkEnd w:id="89"/>
    </w:p>
    <w:p>
      <w:pPr>
        <w:spacing w:line="400" w:lineRule="exact"/>
        <w:ind w:firstLine="480" w:firstLineChars="200"/>
        <w:rPr>
          <w:sz w:val="24"/>
        </w:rPr>
      </w:pPr>
      <w:r>
        <w:rPr>
          <w:rFonts w:hint="eastAsia"/>
          <w:sz w:val="24"/>
        </w:rPr>
        <w:t>采购人将按照采购合同规定，及时向成交供应商支付采购资金，本项目采购资金采取支付程序为：</w:t>
      </w:r>
    </w:p>
    <w:p>
      <w:pPr>
        <w:rPr>
          <w:sz w:val="24"/>
        </w:rPr>
      </w:pPr>
      <w:r>
        <w:rPr>
          <w:rFonts w:hint="eastAsia"/>
          <w:sz w:val="24"/>
        </w:rPr>
        <w:t xml:space="preserve">   33.1由采购人收到含备案号的评估报告并验收合格后，成交供应商凭合同、税务发票、开户银行许可证、土地评估收费明细表（复印件加盖成交供应商单位鲜章）、年底据实一次性向采购人提出支付申请土地评估费。</w:t>
      </w:r>
    </w:p>
    <w:p>
      <w:pPr>
        <w:rPr>
          <w:rFonts w:hint="eastAsia" w:hAnsi="宋体" w:cs="宋体"/>
          <w:sz w:val="24"/>
          <w:szCs w:val="28"/>
        </w:rPr>
      </w:pPr>
      <w:r>
        <w:rPr>
          <w:rFonts w:hint="eastAsia"/>
          <w:sz w:val="24"/>
        </w:rPr>
        <w:t xml:space="preserve">   </w:t>
      </w:r>
      <w:r>
        <w:rPr>
          <w:rFonts w:hint="eastAsia" w:hAnsi="宋体"/>
          <w:sz w:val="24"/>
          <w:shd w:val="clear" w:color="auto" w:fill="FFFFFF"/>
        </w:rPr>
        <w:t>33.2.付款方式：</w:t>
      </w:r>
      <w:r>
        <w:rPr>
          <w:rFonts w:hint="eastAsia" w:hAnsi="宋体" w:cs="宋体"/>
          <w:sz w:val="24"/>
          <w:szCs w:val="28"/>
        </w:rPr>
        <w:t>详见商务要求部分。</w:t>
      </w: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rPr>
          <w:rFonts w:hint="eastAsia" w:hAnsi="宋体" w:cs="宋体"/>
          <w:sz w:val="24"/>
          <w:szCs w:val="28"/>
        </w:rPr>
      </w:pPr>
    </w:p>
    <w:p>
      <w:pPr>
        <w:rPr>
          <w:rFonts w:hint="eastAsia" w:hAnsi="宋体" w:cs="宋体"/>
          <w:sz w:val="24"/>
          <w:szCs w:val="28"/>
        </w:rPr>
      </w:pPr>
    </w:p>
    <w:p>
      <w:pPr>
        <w:pStyle w:val="2"/>
      </w:pPr>
    </w:p>
    <w:p>
      <w:pPr>
        <w:spacing w:line="400" w:lineRule="exact"/>
        <w:rPr>
          <w:sz w:val="24"/>
        </w:rPr>
      </w:pPr>
    </w:p>
    <w:p>
      <w:pPr>
        <w:pStyle w:val="2"/>
        <w:rPr>
          <w:sz w:val="24"/>
        </w:rPr>
      </w:pPr>
    </w:p>
    <w:p/>
    <w:bookmarkEnd w:id="76"/>
    <w:bookmarkEnd w:id="77"/>
    <w:bookmarkEnd w:id="87"/>
    <w:p>
      <w:pPr>
        <w:pStyle w:val="4"/>
        <w:spacing w:line="400" w:lineRule="exact"/>
        <w:jc w:val="center"/>
        <w:rPr>
          <w:szCs w:val="28"/>
        </w:rPr>
      </w:pPr>
      <w:bookmarkStart w:id="90" w:name="_Toc308164815"/>
      <w:bookmarkStart w:id="91" w:name="_Toc217446074"/>
      <w:bookmarkStart w:id="92" w:name="_Toc183682380"/>
      <w:bookmarkStart w:id="93" w:name="_Toc183582243"/>
      <w:r>
        <w:rPr>
          <w:rFonts w:hint="eastAsia"/>
          <w:szCs w:val="28"/>
        </w:rPr>
        <w:t>七、磋商纪律要求</w:t>
      </w:r>
      <w:bookmarkEnd w:id="90"/>
      <w:bookmarkEnd w:id="91"/>
    </w:p>
    <w:p>
      <w:pPr>
        <w:pStyle w:val="5"/>
        <w:spacing w:line="400" w:lineRule="exact"/>
        <w:ind w:firstLine="482" w:firstLineChars="200"/>
        <w:rPr>
          <w:sz w:val="24"/>
        </w:rPr>
      </w:pPr>
      <w:bookmarkStart w:id="94" w:name="_Toc308164816"/>
      <w:bookmarkStart w:id="95" w:name="_Toc217446075"/>
      <w:r>
        <w:rPr>
          <w:rFonts w:hint="eastAsia"/>
          <w:sz w:val="24"/>
        </w:rPr>
        <w:t>34. 磋商无效的情形：</w:t>
      </w:r>
    </w:p>
    <w:p>
      <w:pPr>
        <w:ind w:firstLine="480"/>
        <w:rPr>
          <w:sz w:val="24"/>
        </w:rPr>
      </w:pPr>
      <w:r>
        <w:rPr>
          <w:rFonts w:hint="eastAsia"/>
          <w:sz w:val="24"/>
        </w:rPr>
        <w:t>（1）供应商直接或间接从采购人或采购单位处获得其他供应商的相关情况并修改其响应文件；</w:t>
      </w:r>
    </w:p>
    <w:p>
      <w:pPr>
        <w:ind w:firstLine="480"/>
        <w:rPr>
          <w:sz w:val="24"/>
        </w:rPr>
      </w:pPr>
      <w:r>
        <w:rPr>
          <w:rFonts w:hint="eastAsia"/>
          <w:sz w:val="24"/>
        </w:rPr>
        <w:t>（2）供应商按照采购人的授意撤换、修改响应文件的；</w:t>
      </w:r>
    </w:p>
    <w:p>
      <w:pPr>
        <w:ind w:firstLine="480"/>
        <w:rPr>
          <w:sz w:val="24"/>
        </w:rPr>
      </w:pPr>
      <w:r>
        <w:rPr>
          <w:rFonts w:hint="eastAsia"/>
          <w:sz w:val="24"/>
        </w:rPr>
        <w:t>（3）供应商之间协商报价、技术方案等响应文件的实质性内容；</w:t>
      </w:r>
    </w:p>
    <w:p>
      <w:pPr>
        <w:ind w:firstLine="480"/>
        <w:rPr>
          <w:sz w:val="24"/>
        </w:rPr>
      </w:pPr>
      <w:r>
        <w:rPr>
          <w:rFonts w:hint="eastAsia"/>
          <w:sz w:val="24"/>
        </w:rPr>
        <w:t>（4）供应商之间事先约定由某一特定供应商成交；</w:t>
      </w:r>
    </w:p>
    <w:p>
      <w:pPr>
        <w:ind w:firstLine="480"/>
        <w:rPr>
          <w:sz w:val="24"/>
        </w:rPr>
      </w:pPr>
      <w:r>
        <w:rPr>
          <w:rFonts w:hint="eastAsia"/>
          <w:sz w:val="24"/>
        </w:rPr>
        <w:t>（5）供应商之间商定部分供应商放弃参加采购活动或者放弃成交的；</w:t>
      </w:r>
    </w:p>
    <w:p>
      <w:pPr>
        <w:ind w:firstLine="480"/>
        <w:rPr>
          <w:sz w:val="24"/>
        </w:rPr>
      </w:pPr>
      <w:r>
        <w:rPr>
          <w:rFonts w:hint="eastAsia"/>
          <w:sz w:val="24"/>
        </w:rPr>
        <w:t>（6）供应商与采购人之间、供应商相互之间、为谋求特定供应商成交或者排斥其他供应商的其他串通行为；</w:t>
      </w:r>
    </w:p>
    <w:p>
      <w:pPr>
        <w:ind w:firstLine="480"/>
        <w:rPr>
          <w:sz w:val="24"/>
        </w:rPr>
      </w:pPr>
      <w:r>
        <w:rPr>
          <w:rFonts w:hint="eastAsia"/>
          <w:sz w:val="24"/>
        </w:rPr>
        <w:t>竞磋人有上述（1）—（6）条情形之一的，磋商无效。</w:t>
      </w:r>
    </w:p>
    <w:bookmarkEnd w:id="94"/>
    <w:bookmarkEnd w:id="95"/>
    <w:p>
      <w:pPr>
        <w:pStyle w:val="5"/>
        <w:spacing w:line="400" w:lineRule="exact"/>
        <w:ind w:firstLine="482" w:firstLineChars="200"/>
        <w:rPr>
          <w:sz w:val="24"/>
        </w:rPr>
      </w:pPr>
      <w:r>
        <w:rPr>
          <w:rFonts w:hint="eastAsia"/>
          <w:bCs w:val="0"/>
          <w:sz w:val="24"/>
          <w:szCs w:val="24"/>
        </w:rPr>
        <w:t>35.取消成交资格或者认定成交无效的情形：</w:t>
      </w:r>
    </w:p>
    <w:p>
      <w:pPr>
        <w:ind w:firstLine="480"/>
        <w:rPr>
          <w:rFonts w:hint="eastAsia" w:ascii="宋体" w:eastAsia="宋体"/>
          <w:sz w:val="24"/>
        </w:rPr>
      </w:pPr>
      <w:r>
        <w:rPr>
          <w:rFonts w:hint="eastAsia" w:ascii="宋体" w:eastAsia="宋体"/>
          <w:sz w:val="24"/>
        </w:rPr>
        <w:t>（1）提供虚假材料谋取成交；</w:t>
      </w:r>
    </w:p>
    <w:p>
      <w:pPr>
        <w:ind w:firstLine="480"/>
        <w:rPr>
          <w:rFonts w:hint="eastAsia" w:ascii="宋体" w:eastAsia="宋体"/>
          <w:sz w:val="24"/>
        </w:rPr>
      </w:pPr>
      <w:r>
        <w:rPr>
          <w:rFonts w:hint="eastAsia" w:ascii="宋体" w:eastAsia="宋体"/>
          <w:sz w:val="24"/>
        </w:rPr>
        <w:t>（2）采取不正当手段诋毁、排挤其他供应商；</w:t>
      </w:r>
    </w:p>
    <w:p>
      <w:pPr>
        <w:ind w:firstLine="480"/>
        <w:rPr>
          <w:rFonts w:hint="eastAsia" w:ascii="宋体" w:eastAsia="宋体"/>
          <w:sz w:val="24"/>
        </w:rPr>
      </w:pPr>
      <w:r>
        <w:rPr>
          <w:rFonts w:hint="eastAsia" w:ascii="宋体" w:eastAsia="宋体"/>
          <w:sz w:val="24"/>
        </w:rPr>
        <w:t>（3）与磋商采购单位、其他供应商恶意串通；</w:t>
      </w:r>
    </w:p>
    <w:p>
      <w:pPr>
        <w:ind w:firstLine="480"/>
        <w:rPr>
          <w:rFonts w:hint="eastAsia" w:ascii="宋体" w:eastAsia="宋体"/>
          <w:sz w:val="24"/>
        </w:rPr>
      </w:pPr>
      <w:r>
        <w:rPr>
          <w:rFonts w:hint="eastAsia" w:ascii="宋体" w:eastAsia="宋体"/>
          <w:sz w:val="24"/>
        </w:rPr>
        <w:t>（4）向磋商采购单位、磋商小组成员行贿或者提供其他不正当利益；</w:t>
      </w:r>
    </w:p>
    <w:p>
      <w:pPr>
        <w:ind w:firstLine="480"/>
        <w:rPr>
          <w:rFonts w:hint="eastAsia" w:ascii="宋体" w:eastAsia="宋体"/>
          <w:sz w:val="24"/>
        </w:rPr>
      </w:pPr>
      <w:r>
        <w:rPr>
          <w:rFonts w:hint="eastAsia" w:ascii="宋体" w:eastAsia="宋体"/>
          <w:sz w:val="24"/>
        </w:rPr>
        <w:t>（5）在磋商过程中与磋商采购单位进行协商磋商；</w:t>
      </w:r>
    </w:p>
    <w:p>
      <w:pPr>
        <w:ind w:firstLine="480"/>
        <w:rPr>
          <w:rFonts w:hint="eastAsia" w:ascii="宋体" w:eastAsia="宋体"/>
          <w:sz w:val="24"/>
        </w:rPr>
      </w:pPr>
      <w:r>
        <w:rPr>
          <w:rFonts w:hint="eastAsia" w:ascii="宋体" w:eastAsia="宋体"/>
          <w:sz w:val="24"/>
        </w:rPr>
        <w:t>（6）成交后无正当理由拒不与采购人签订采购合同；</w:t>
      </w:r>
    </w:p>
    <w:p>
      <w:pPr>
        <w:ind w:firstLine="480"/>
        <w:rPr>
          <w:rFonts w:hint="eastAsia" w:ascii="宋体" w:eastAsia="宋体"/>
          <w:sz w:val="24"/>
        </w:rPr>
      </w:pPr>
      <w:r>
        <w:rPr>
          <w:rFonts w:hint="eastAsia" w:ascii="宋体" w:eastAsia="宋体"/>
          <w:sz w:val="24"/>
        </w:rPr>
        <w:t>（7）未按照磋商文件确定的事项签订采购合同；</w:t>
      </w:r>
    </w:p>
    <w:p>
      <w:pPr>
        <w:ind w:firstLine="480"/>
        <w:rPr>
          <w:rFonts w:hint="eastAsia" w:ascii="宋体" w:eastAsia="宋体"/>
          <w:sz w:val="24"/>
        </w:rPr>
      </w:pPr>
      <w:r>
        <w:rPr>
          <w:rFonts w:hint="eastAsia" w:ascii="宋体" w:eastAsia="宋体"/>
          <w:sz w:val="24"/>
        </w:rPr>
        <w:t>（8）将采购合同转包或者违规分包；</w:t>
      </w:r>
    </w:p>
    <w:p>
      <w:pPr>
        <w:ind w:firstLine="480"/>
        <w:rPr>
          <w:rFonts w:hint="eastAsia" w:ascii="宋体" w:eastAsia="宋体"/>
          <w:sz w:val="24"/>
        </w:rPr>
      </w:pPr>
      <w:r>
        <w:rPr>
          <w:rFonts w:hint="eastAsia" w:ascii="宋体" w:eastAsia="宋体"/>
          <w:sz w:val="24"/>
        </w:rPr>
        <w:t>（9）擅自变更、中止或者终止采购合同；</w:t>
      </w:r>
    </w:p>
    <w:p>
      <w:pPr>
        <w:ind w:firstLine="480"/>
        <w:rPr>
          <w:rFonts w:hint="eastAsia" w:ascii="宋体" w:eastAsia="宋体"/>
          <w:sz w:val="24"/>
        </w:rPr>
      </w:pPr>
      <w:r>
        <w:rPr>
          <w:rFonts w:hint="eastAsia" w:ascii="宋体" w:eastAsia="宋体"/>
          <w:sz w:val="24"/>
        </w:rPr>
        <w:t>（10）拒绝有关部门的监督检查或者向监督检查部门提供虚假情况；</w:t>
      </w:r>
    </w:p>
    <w:p>
      <w:pPr>
        <w:ind w:firstLine="480"/>
        <w:rPr>
          <w:rFonts w:hint="eastAsia" w:ascii="宋体" w:eastAsia="宋体"/>
          <w:sz w:val="24"/>
        </w:rPr>
      </w:pPr>
      <w:r>
        <w:rPr>
          <w:rFonts w:hint="eastAsia" w:ascii="宋体" w:eastAsia="宋体"/>
          <w:sz w:val="24"/>
        </w:rPr>
        <w:t>（11）法律法规规定的其他情形。</w:t>
      </w:r>
    </w:p>
    <w:p>
      <w:pPr>
        <w:ind w:firstLine="480"/>
        <w:rPr>
          <w:rFonts w:hint="eastAsia" w:ascii="宋体" w:eastAsia="宋体"/>
          <w:sz w:val="24"/>
        </w:rPr>
      </w:pPr>
      <w:r>
        <w:rPr>
          <w:rFonts w:hint="eastAsia" w:ascii="宋体" w:eastAsia="宋体"/>
          <w:sz w:val="24"/>
        </w:rPr>
        <w:t>竞磋人有上述情形的，按照规定追究法律责任，具备（1）-（9）条情形之一的，同时将取消成交资格或者认定成交无效。</w:t>
      </w: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sz w:val="24"/>
        </w:rPr>
      </w:pPr>
    </w:p>
    <w:p>
      <w:pPr>
        <w:pStyle w:val="2"/>
        <w:rPr>
          <w:rFonts w:hint="eastAsia"/>
          <w:sz w:val="24"/>
        </w:rPr>
      </w:pPr>
    </w:p>
    <w:p>
      <w:pPr>
        <w:rPr>
          <w:rFonts w:hint="eastAsia"/>
        </w:rPr>
      </w:pPr>
    </w:p>
    <w:p>
      <w:pPr>
        <w:rPr>
          <w:rFonts w:hint="eastAsia"/>
          <w:sz w:val="24"/>
        </w:rPr>
      </w:pPr>
    </w:p>
    <w:p>
      <w:pPr>
        <w:pStyle w:val="2"/>
        <w:rPr>
          <w:rFonts w:hint="eastAsia"/>
        </w:rPr>
      </w:pPr>
    </w:p>
    <w:p>
      <w:pPr>
        <w:rPr>
          <w:rFonts w:hint="eastAsia"/>
        </w:rPr>
      </w:pPr>
    </w:p>
    <w:p>
      <w:pPr>
        <w:pStyle w:val="2"/>
        <w:rPr>
          <w:rFonts w:hint="eastAsia"/>
        </w:rPr>
      </w:pPr>
    </w:p>
    <w:p>
      <w:pPr>
        <w:rPr>
          <w:rFonts w:hint="eastAsia"/>
        </w:rPr>
      </w:pPr>
    </w:p>
    <w:p>
      <w:pPr>
        <w:pStyle w:val="2"/>
      </w:pPr>
    </w:p>
    <w:p>
      <w:pPr>
        <w:pStyle w:val="4"/>
        <w:numPr>
          <w:ilvl w:val="0"/>
          <w:numId w:val="8"/>
        </w:numPr>
        <w:spacing w:line="400" w:lineRule="exact"/>
        <w:jc w:val="center"/>
        <w:rPr>
          <w:rFonts w:ascii="黑体"/>
          <w:bCs w:val="0"/>
          <w:szCs w:val="28"/>
        </w:rPr>
      </w:pPr>
      <w:bookmarkStart w:id="96" w:name="_Toc217446078"/>
      <w:bookmarkStart w:id="97" w:name="_Toc308164819"/>
      <w:r>
        <w:rPr>
          <w:rFonts w:hint="eastAsia" w:ascii="黑体"/>
          <w:bCs w:val="0"/>
          <w:szCs w:val="28"/>
        </w:rPr>
        <w:t>诚信管理及失信行为运用</w:t>
      </w:r>
      <w:bookmarkEnd w:id="96"/>
      <w:bookmarkEnd w:id="97"/>
      <w:bookmarkStart w:id="98" w:name="_Toc217446079"/>
    </w:p>
    <w:p>
      <w:pPr>
        <w:rPr>
          <w:rFonts w:hAnsi="宋体" w:cs="宋体"/>
          <w:b/>
          <w:bCs/>
          <w:sz w:val="24"/>
          <w:szCs w:val="24"/>
        </w:rPr>
      </w:pPr>
      <w:r>
        <w:rPr>
          <w:rFonts w:hint="eastAsia" w:ascii="黑体"/>
          <w:sz w:val="24"/>
          <w:szCs w:val="24"/>
        </w:rPr>
        <w:t xml:space="preserve"> </w:t>
      </w:r>
      <w:r>
        <w:rPr>
          <w:rFonts w:hint="eastAsia" w:hAnsi="宋体" w:cs="宋体"/>
          <w:b/>
          <w:bCs/>
          <w:sz w:val="24"/>
          <w:szCs w:val="24"/>
        </w:rPr>
        <w:t xml:space="preserve"> 36.诚信管理</w:t>
      </w:r>
    </w:p>
    <w:p>
      <w:pPr>
        <w:rPr>
          <w:rFonts w:hAnsi="宋体" w:cs="宋体"/>
          <w:sz w:val="24"/>
          <w:szCs w:val="24"/>
        </w:rPr>
      </w:pPr>
      <w:r>
        <w:rPr>
          <w:rFonts w:hint="eastAsia" w:hAnsi="宋体" w:cs="宋体"/>
          <w:b/>
          <w:bCs/>
          <w:sz w:val="24"/>
          <w:szCs w:val="24"/>
        </w:rPr>
        <w:t xml:space="preserve">  </w:t>
      </w:r>
      <w:r>
        <w:rPr>
          <w:rFonts w:hint="eastAsia" w:hAnsi="宋体" w:cs="宋体"/>
          <w:sz w:val="24"/>
          <w:szCs w:val="24"/>
        </w:rPr>
        <w:t>供应商在采购活动中有下列情形之一的，按失信行为记入诚信档案：</w:t>
      </w:r>
    </w:p>
    <w:p>
      <w:pPr>
        <w:spacing w:line="400" w:lineRule="exact"/>
        <w:rPr>
          <w:sz w:val="24"/>
        </w:rPr>
      </w:pPr>
      <w:r>
        <w:rPr>
          <w:rFonts w:hint="eastAsia"/>
          <w:sz w:val="24"/>
        </w:rPr>
        <w:t xml:space="preserve">  （1）提供虚假材料谋取中标的；</w:t>
      </w:r>
    </w:p>
    <w:p>
      <w:pPr>
        <w:spacing w:line="400" w:lineRule="exact"/>
        <w:rPr>
          <w:sz w:val="24"/>
        </w:rPr>
      </w:pPr>
      <w:r>
        <w:rPr>
          <w:rFonts w:hint="eastAsia"/>
          <w:sz w:val="24"/>
        </w:rPr>
        <w:t xml:space="preserve">  （2）采取不正当手段诋毁、排挤其他</w:t>
      </w:r>
      <w:r>
        <w:rPr>
          <w:rFonts w:hint="eastAsia" w:hAnsi="宋体" w:cs="宋体"/>
          <w:sz w:val="24"/>
          <w:szCs w:val="24"/>
        </w:rPr>
        <w:t>供应商</w:t>
      </w:r>
      <w:r>
        <w:rPr>
          <w:rFonts w:hint="eastAsia"/>
          <w:sz w:val="24"/>
        </w:rPr>
        <w:t>的；</w:t>
      </w:r>
    </w:p>
    <w:p>
      <w:pPr>
        <w:spacing w:line="400" w:lineRule="exact"/>
        <w:rPr>
          <w:sz w:val="24"/>
        </w:rPr>
      </w:pPr>
      <w:r>
        <w:rPr>
          <w:rFonts w:hint="eastAsia"/>
          <w:sz w:val="24"/>
        </w:rPr>
        <w:t xml:space="preserve">  （3）与采购人、评审委员会成员或者其他</w:t>
      </w:r>
      <w:r>
        <w:rPr>
          <w:rFonts w:hint="eastAsia" w:hAnsi="宋体" w:cs="宋体"/>
          <w:sz w:val="24"/>
          <w:szCs w:val="24"/>
        </w:rPr>
        <w:t>供应商</w:t>
      </w:r>
      <w:r>
        <w:rPr>
          <w:rFonts w:hint="eastAsia"/>
          <w:sz w:val="24"/>
        </w:rPr>
        <w:t>恶意串通的；</w:t>
      </w:r>
    </w:p>
    <w:p>
      <w:pPr>
        <w:spacing w:line="400" w:lineRule="exact"/>
        <w:rPr>
          <w:sz w:val="24"/>
        </w:rPr>
      </w:pPr>
      <w:r>
        <w:rPr>
          <w:rFonts w:hint="eastAsia"/>
          <w:sz w:val="24"/>
        </w:rPr>
        <w:t xml:space="preserve">  （4）不遵守磋商、评审现场工作纪律，扰乱或者委托其他人扰乱磋商、评审现场秩序的；</w:t>
      </w:r>
    </w:p>
    <w:p>
      <w:pPr>
        <w:spacing w:line="400" w:lineRule="exact"/>
        <w:rPr>
          <w:sz w:val="24"/>
        </w:rPr>
      </w:pPr>
      <w:r>
        <w:rPr>
          <w:rFonts w:hint="eastAsia"/>
          <w:sz w:val="24"/>
        </w:rPr>
        <w:t xml:space="preserve">  （5）向采购人及其工作人员、评审委员会成员等行贿或者提供其他不正当利益的；</w:t>
      </w:r>
    </w:p>
    <w:p>
      <w:pPr>
        <w:spacing w:line="400" w:lineRule="exact"/>
        <w:rPr>
          <w:sz w:val="24"/>
        </w:rPr>
      </w:pPr>
      <w:r>
        <w:rPr>
          <w:rFonts w:hint="eastAsia"/>
          <w:sz w:val="24"/>
        </w:rPr>
        <w:t xml:space="preserve">  （6）无正当理由放弃成交候选人资格的，或者放弃成交的，或者成交后不与采购人签订采购合同的；</w:t>
      </w:r>
    </w:p>
    <w:p>
      <w:pPr>
        <w:spacing w:line="400" w:lineRule="exact"/>
        <w:rPr>
          <w:sz w:val="24"/>
        </w:rPr>
      </w:pPr>
      <w:r>
        <w:rPr>
          <w:rFonts w:hint="eastAsia"/>
          <w:sz w:val="24"/>
        </w:rPr>
        <w:t xml:space="preserve">  （7）在磋商采购过程中与采购人进行协商谈判的，或者不按照磋商文件和成交供应商的响应文件订立合同的，或者与采购人另行订立背离合同实质性内容的协议的；</w:t>
      </w:r>
    </w:p>
    <w:p>
      <w:pPr>
        <w:spacing w:line="400" w:lineRule="exact"/>
        <w:rPr>
          <w:sz w:val="24"/>
        </w:rPr>
      </w:pPr>
      <w:r>
        <w:rPr>
          <w:rFonts w:hint="eastAsia"/>
          <w:sz w:val="24"/>
        </w:rPr>
        <w:t xml:space="preserve">  （8）将成交项目转包给他人或者违规分包给他人的；</w:t>
      </w:r>
    </w:p>
    <w:p>
      <w:pPr>
        <w:spacing w:line="400" w:lineRule="exact"/>
        <w:rPr>
          <w:sz w:val="24"/>
        </w:rPr>
      </w:pPr>
      <w:r>
        <w:rPr>
          <w:rFonts w:hint="eastAsia"/>
          <w:sz w:val="24"/>
        </w:rPr>
        <w:t xml:space="preserve">  （9）拒绝或者不按照约定履行采购合同的，或者擅自变更、中止或者终止采购合同的；</w:t>
      </w:r>
    </w:p>
    <w:p>
      <w:pPr>
        <w:spacing w:line="400" w:lineRule="exact"/>
        <w:rPr>
          <w:sz w:val="24"/>
        </w:rPr>
      </w:pPr>
      <w:r>
        <w:rPr>
          <w:rFonts w:hint="eastAsia"/>
          <w:sz w:val="24"/>
        </w:rPr>
        <w:t xml:space="preserve">  （10）捏造事实或者提供虚假材料投诉或者以非法手段取得证明材料进行质疑、投诉的；</w:t>
      </w:r>
    </w:p>
    <w:p>
      <w:pPr>
        <w:spacing w:line="400" w:lineRule="exact"/>
        <w:rPr>
          <w:sz w:val="24"/>
        </w:rPr>
      </w:pPr>
      <w:r>
        <w:rPr>
          <w:rFonts w:hint="eastAsia"/>
          <w:sz w:val="24"/>
        </w:rPr>
        <w:t xml:space="preserve">  （11）借维权之名获取非法利益、不当得利并经查证属实的；</w:t>
      </w:r>
    </w:p>
    <w:p>
      <w:pPr>
        <w:spacing w:line="400" w:lineRule="exact"/>
        <w:rPr>
          <w:sz w:val="24"/>
        </w:rPr>
      </w:pPr>
      <w:r>
        <w:rPr>
          <w:rFonts w:hint="eastAsia"/>
          <w:sz w:val="24"/>
        </w:rPr>
        <w:t xml:space="preserve">  （12）拒绝有关部门监督检查或者在监督检查过程中提供虚假情况的；</w:t>
      </w:r>
    </w:p>
    <w:p>
      <w:pPr>
        <w:spacing w:line="480" w:lineRule="exact"/>
        <w:ind w:firstLine="240" w:firstLineChars="100"/>
      </w:pPr>
      <w:r>
        <w:rPr>
          <w:rFonts w:hint="eastAsia"/>
          <w:sz w:val="24"/>
        </w:rPr>
        <w:t>（13）</w:t>
      </w:r>
      <w:r>
        <w:rPr>
          <w:rFonts w:hint="eastAsia" w:hAnsi="宋体"/>
          <w:sz w:val="24"/>
        </w:rPr>
        <w:t>提供假冒伪劣产品；</w:t>
      </w:r>
    </w:p>
    <w:p>
      <w:pPr>
        <w:spacing w:line="400" w:lineRule="exact"/>
        <w:rPr>
          <w:sz w:val="24"/>
        </w:rPr>
      </w:pPr>
      <w:r>
        <w:rPr>
          <w:rFonts w:hint="eastAsia"/>
          <w:sz w:val="24"/>
        </w:rPr>
        <w:t xml:space="preserve">  （14）工商部门、税务部门、审判机关及其他有关部门单位认定的失信行为；</w:t>
      </w:r>
    </w:p>
    <w:p>
      <w:pPr>
        <w:spacing w:line="400" w:lineRule="exact"/>
        <w:rPr>
          <w:rFonts w:hAnsi="宋体"/>
          <w:sz w:val="24"/>
        </w:rPr>
      </w:pPr>
      <w:r>
        <w:rPr>
          <w:rFonts w:hint="eastAsia"/>
          <w:sz w:val="24"/>
        </w:rPr>
        <w:t xml:space="preserve">  （15）其他法律法规规定的失信行为。</w:t>
      </w:r>
    </w:p>
    <w:p>
      <w:pPr>
        <w:widowControl/>
        <w:shd w:val="clear" w:color="auto" w:fill="FFFFFF"/>
        <w:spacing w:line="480" w:lineRule="exact"/>
        <w:ind w:firstLine="480" w:firstLineChars="200"/>
        <w:jc w:val="left"/>
        <w:rPr>
          <w:rFonts w:hAnsi="宋体"/>
          <w:sz w:val="24"/>
        </w:rPr>
      </w:pPr>
      <w:r>
        <w:rPr>
          <w:rFonts w:hAnsi="宋体"/>
          <w:sz w:val="24"/>
        </w:rPr>
        <w:t>财政部门对</w:t>
      </w:r>
      <w:r>
        <w:rPr>
          <w:rFonts w:hint="eastAsia" w:hAnsi="宋体"/>
          <w:sz w:val="24"/>
        </w:rPr>
        <w:t>采购</w:t>
      </w:r>
      <w:r>
        <w:rPr>
          <w:rFonts w:hAnsi="宋体"/>
          <w:sz w:val="24"/>
        </w:rPr>
        <w:t>当事人的失信行为记入诚信档案，有效期为1年。工商部门、税务部门、审判机关及其他有关部门单位认定供应商的失信行为明确了有效期的，不再重复计算。</w:t>
      </w:r>
    </w:p>
    <w:p>
      <w:pPr>
        <w:widowControl/>
        <w:shd w:val="clear" w:color="auto" w:fill="FFFFFF"/>
        <w:spacing w:line="480" w:lineRule="exact"/>
        <w:ind w:firstLine="480" w:firstLineChars="200"/>
        <w:jc w:val="left"/>
        <w:rPr>
          <w:rFonts w:hint="eastAsia" w:hAnsi="宋体"/>
          <w:sz w:val="24"/>
        </w:rPr>
      </w:pPr>
      <w:r>
        <w:rPr>
          <w:rFonts w:hint="eastAsia" w:hAnsi="宋体"/>
          <w:sz w:val="24"/>
        </w:rPr>
        <w:t>以上属于响应文件无效或成交无效情形的，按响应文件或成交无效处理；属于违法情形的，依法予以处理。</w:t>
      </w:r>
    </w:p>
    <w:p>
      <w:pPr>
        <w:pStyle w:val="2"/>
        <w:rPr>
          <w:rFonts w:hint="eastAsia" w:hAnsi="宋体"/>
          <w:sz w:val="24"/>
        </w:rPr>
      </w:pPr>
    </w:p>
    <w:p>
      <w:pPr>
        <w:rPr>
          <w:rFonts w:hint="eastAsia" w:hAnsi="宋体"/>
          <w:sz w:val="24"/>
        </w:rPr>
      </w:pPr>
    </w:p>
    <w:p>
      <w:pPr>
        <w:pStyle w:val="2"/>
        <w:rPr>
          <w:rFonts w:hint="eastAsia" w:hAnsi="宋体"/>
          <w:sz w:val="24"/>
        </w:rPr>
      </w:pPr>
    </w:p>
    <w:p>
      <w:pPr>
        <w:rPr>
          <w:rFonts w:hint="eastAsia" w:hAnsi="宋体"/>
          <w:sz w:val="24"/>
        </w:rPr>
      </w:pPr>
    </w:p>
    <w:p>
      <w:pPr>
        <w:pStyle w:val="2"/>
        <w:rPr>
          <w:rFonts w:hint="eastAsia" w:hAnsi="宋体"/>
          <w:sz w:val="24"/>
        </w:rPr>
      </w:pPr>
    </w:p>
    <w:p/>
    <w:p>
      <w:pPr>
        <w:pStyle w:val="4"/>
        <w:numPr>
          <w:ilvl w:val="0"/>
          <w:numId w:val="8"/>
        </w:numPr>
        <w:spacing w:line="400" w:lineRule="exact"/>
        <w:jc w:val="center"/>
        <w:rPr>
          <w:rFonts w:ascii="黑体"/>
          <w:bCs w:val="0"/>
          <w:szCs w:val="28"/>
        </w:rPr>
      </w:pPr>
      <w:r>
        <w:rPr>
          <w:rFonts w:hint="eastAsia" w:ascii="黑体"/>
          <w:bCs w:val="0"/>
          <w:szCs w:val="28"/>
        </w:rPr>
        <w:t>询问</w:t>
      </w:r>
    </w:p>
    <w:bookmarkEnd w:id="92"/>
    <w:bookmarkEnd w:id="93"/>
    <w:bookmarkEnd w:id="98"/>
    <w:p>
      <w:pPr>
        <w:pStyle w:val="19"/>
        <w:tabs>
          <w:tab w:val="left" w:pos="1134"/>
        </w:tabs>
        <w:spacing w:line="240" w:lineRule="auto"/>
        <w:ind w:left="360" w:leftChars="0"/>
        <w:rPr>
          <w:rFonts w:ascii="宋体" w:hAnsi="宋体"/>
          <w:sz w:val="24"/>
        </w:rPr>
      </w:pPr>
      <w:r>
        <w:rPr>
          <w:rFonts w:hint="eastAsia" w:ascii="宋体"/>
          <w:sz w:val="24"/>
        </w:rPr>
        <w:t>37.1</w:t>
      </w:r>
      <w:r>
        <w:rPr>
          <w:rFonts w:hint="eastAsia" w:ascii="宋体" w:hAnsi="宋体"/>
          <w:sz w:val="24"/>
        </w:rPr>
        <w:t>供应商询问的对象</w:t>
      </w:r>
    </w:p>
    <w:p>
      <w:pPr>
        <w:widowControl/>
        <w:shd w:val="clear" w:color="auto" w:fill="FFFFFF"/>
        <w:spacing w:line="480" w:lineRule="exact"/>
        <w:ind w:firstLine="480" w:firstLineChars="200"/>
        <w:jc w:val="left"/>
        <w:rPr>
          <w:rFonts w:hAnsi="宋体"/>
          <w:sz w:val="24"/>
        </w:rPr>
      </w:pPr>
      <w:r>
        <w:rPr>
          <w:rFonts w:hint="eastAsia" w:hAnsi="宋体"/>
          <w:sz w:val="24"/>
        </w:rPr>
        <w:t>（1）竞磋人对磋商文件中供应商参加本次采购活动应当具备的条件、磋商项目技术、商务及其他要求以及评标细则及标准提出询问的，应向采购人提出；</w:t>
      </w:r>
    </w:p>
    <w:p>
      <w:pPr>
        <w:widowControl/>
        <w:shd w:val="clear" w:color="auto" w:fill="FFFFFF"/>
        <w:spacing w:line="480" w:lineRule="exact"/>
        <w:ind w:firstLine="480" w:firstLineChars="200"/>
        <w:jc w:val="left"/>
        <w:rPr>
          <w:rFonts w:hAnsi="宋体"/>
          <w:sz w:val="24"/>
        </w:rPr>
      </w:pPr>
      <w:r>
        <w:rPr>
          <w:rFonts w:hint="eastAsia" w:hAnsi="宋体"/>
          <w:sz w:val="24"/>
        </w:rPr>
        <w:t>（2）竞磋人对磋商文件中前款规定之外的其他内容、采购过程（响应文件接收、开标、评标、回避等）及成交结果的询问由采购单位进行依法处理，采购人配合。其他事宜的询问依法应向采购人提出。</w:t>
      </w:r>
    </w:p>
    <w:p>
      <w:pPr>
        <w:widowControl/>
        <w:shd w:val="clear" w:color="auto" w:fill="FFFFFF"/>
        <w:spacing w:line="480" w:lineRule="exact"/>
        <w:ind w:firstLine="480" w:firstLineChars="200"/>
        <w:jc w:val="left"/>
        <w:rPr>
          <w:rFonts w:hAnsi="宋体"/>
          <w:sz w:val="24"/>
        </w:rPr>
      </w:pPr>
      <w:r>
        <w:rPr>
          <w:rFonts w:hint="eastAsia" w:hAnsi="宋体"/>
          <w:sz w:val="24"/>
        </w:rPr>
        <w:t>37.2竞磋人提出</w:t>
      </w:r>
      <w:r>
        <w:rPr>
          <w:rFonts w:hAnsi="宋体"/>
          <w:sz w:val="24"/>
        </w:rPr>
        <w:t>询问</w:t>
      </w:r>
      <w:r>
        <w:rPr>
          <w:rFonts w:hint="eastAsia" w:hAnsi="宋体"/>
          <w:sz w:val="24"/>
        </w:rPr>
        <w:t>的，</w:t>
      </w:r>
      <w:r>
        <w:rPr>
          <w:rFonts w:hAnsi="宋体"/>
          <w:sz w:val="24"/>
        </w:rPr>
        <w:t>应当</w:t>
      </w:r>
      <w:r>
        <w:rPr>
          <w:rFonts w:hint="eastAsia" w:hAnsi="宋体"/>
          <w:sz w:val="24"/>
        </w:rPr>
        <w:t>有</w:t>
      </w:r>
      <w:r>
        <w:rPr>
          <w:rFonts w:hAnsi="宋体"/>
          <w:sz w:val="24"/>
        </w:rPr>
        <w:t>明确</w:t>
      </w:r>
      <w:r>
        <w:rPr>
          <w:rFonts w:hint="eastAsia" w:hAnsi="宋体"/>
          <w:sz w:val="24"/>
        </w:rPr>
        <w:t>的</w:t>
      </w:r>
      <w:r>
        <w:rPr>
          <w:rFonts w:hAnsi="宋体"/>
          <w:sz w:val="24"/>
        </w:rPr>
        <w:t>询问事项，以书面形式提出，由</w:t>
      </w:r>
      <w:r>
        <w:rPr>
          <w:rFonts w:hint="eastAsia" w:hAnsi="宋体"/>
          <w:sz w:val="24"/>
        </w:rPr>
        <w:t>竞磋人</w:t>
      </w:r>
      <w:r>
        <w:rPr>
          <w:rFonts w:hAnsi="宋体"/>
          <w:sz w:val="24"/>
        </w:rPr>
        <w:t>签字</w:t>
      </w:r>
      <w:r>
        <w:rPr>
          <w:rFonts w:hint="eastAsia" w:hAnsi="宋体"/>
          <w:sz w:val="24"/>
        </w:rPr>
        <w:t>并</w:t>
      </w:r>
      <w:r>
        <w:rPr>
          <w:rFonts w:hAnsi="宋体"/>
          <w:sz w:val="24"/>
        </w:rPr>
        <w:t>加盖公章。</w:t>
      </w:r>
    </w:p>
    <w:p>
      <w:pPr>
        <w:widowControl/>
        <w:spacing w:line="360" w:lineRule="atLeast"/>
        <w:jc w:val="left"/>
        <w:outlineLvl w:val="1"/>
        <w:rPr>
          <w:sz w:val="24"/>
        </w:rPr>
      </w:pPr>
      <w:r>
        <w:rPr>
          <w:rFonts w:hint="eastAsia"/>
          <w:b/>
          <w:bCs/>
          <w:sz w:val="24"/>
        </w:rPr>
        <w:t xml:space="preserve">   </w:t>
      </w:r>
    </w:p>
    <w:p>
      <w:pPr>
        <w:pStyle w:val="4"/>
        <w:spacing w:line="400" w:lineRule="exact"/>
        <w:jc w:val="center"/>
        <w:rPr>
          <w:rFonts w:ascii="黑体"/>
          <w:bCs w:val="0"/>
          <w:szCs w:val="28"/>
        </w:rPr>
      </w:pPr>
      <w:r>
        <w:rPr>
          <w:rFonts w:hint="eastAsia" w:ascii="黑体"/>
          <w:bCs w:val="0"/>
          <w:szCs w:val="28"/>
        </w:rPr>
        <w:t>十、其他</w:t>
      </w:r>
    </w:p>
    <w:p>
      <w:pPr>
        <w:widowControl/>
        <w:shd w:val="clear" w:color="auto" w:fill="FFFFFF"/>
        <w:spacing w:line="480" w:lineRule="exact"/>
        <w:ind w:firstLine="480" w:firstLineChars="200"/>
        <w:jc w:val="left"/>
        <w:rPr>
          <w:rFonts w:hAnsi="宋体"/>
          <w:sz w:val="24"/>
        </w:rPr>
      </w:pPr>
      <w:r>
        <w:rPr>
          <w:rFonts w:hint="eastAsia" w:hAnsi="宋体"/>
          <w:sz w:val="24"/>
        </w:rPr>
        <w:t>38.本磋商文件中所引相关法律制度规定，在采购中有变化的，按照变化后的相关法律制度规定执行。本章和第八章中“1.总则、2.评标方法、3.评标程序”规定的内容条款，在本项目磋商截止时间届满后，因相关法律制度规定的变化导致不符合相关法律制度规定的，直接按照变化后的相关法律制度规定执行，本磋商文件不再做调整。</w:t>
      </w:r>
    </w:p>
    <w:p>
      <w:pPr>
        <w:widowControl/>
        <w:shd w:val="clear" w:color="auto" w:fill="FFFFFF"/>
        <w:spacing w:line="480" w:lineRule="exact"/>
        <w:ind w:firstLine="480" w:firstLineChars="200"/>
        <w:jc w:val="left"/>
        <w:rPr>
          <w:rFonts w:hAnsi="宋体"/>
          <w:sz w:val="24"/>
        </w:rPr>
      </w:pPr>
      <w:r>
        <w:rPr>
          <w:rFonts w:hint="eastAsia" w:hAnsi="宋体"/>
          <w:sz w:val="24"/>
        </w:rPr>
        <w:t>39.国家或行业主管部门对供应商和采购产品的技术标准、质量标准和资格资质条件等有强制性规定的，必须符合其要求。</w:t>
      </w:r>
    </w:p>
    <w:p>
      <w:pPr>
        <w:pStyle w:val="2"/>
      </w:pPr>
    </w:p>
    <w:p>
      <w:pPr>
        <w:pStyle w:val="24"/>
      </w:pPr>
    </w:p>
    <w:p/>
    <w:p>
      <w:pPr>
        <w:pStyle w:val="49"/>
        <w:rPr>
          <w:color w:val="auto"/>
        </w:rPr>
      </w:pPr>
    </w:p>
    <w:p/>
    <w:p>
      <w:pPr>
        <w:pStyle w:val="2"/>
      </w:pPr>
    </w:p>
    <w:p/>
    <w:p>
      <w:pPr>
        <w:pStyle w:val="2"/>
      </w:pPr>
    </w:p>
    <w:p/>
    <w:p>
      <w:pPr>
        <w:pStyle w:val="49"/>
        <w:rPr>
          <w:color w:val="auto"/>
        </w:rPr>
      </w:pPr>
    </w:p>
    <w:p/>
    <w:p>
      <w:pPr>
        <w:pStyle w:val="3"/>
        <w:keepNext/>
        <w:keepLines/>
        <w:pageBreakBefore w:val="0"/>
        <w:widowControl w:val="0"/>
        <w:kinsoku/>
        <w:wordWrap/>
        <w:overflowPunct/>
        <w:topLinePunct w:val="0"/>
        <w:autoSpaceDE/>
        <w:autoSpaceDN/>
        <w:bidi w:val="0"/>
        <w:adjustRightInd/>
        <w:snapToGrid/>
        <w:spacing w:before="100" w:after="100" w:line="579" w:lineRule="auto"/>
        <w:jc w:val="center"/>
        <w:textAlignment w:val="auto"/>
      </w:pPr>
      <w:bookmarkStart w:id="99" w:name="_Toc5843"/>
      <w:bookmarkStart w:id="100" w:name="_Toc30906"/>
      <w:r>
        <w:rPr>
          <w:rFonts w:hint="eastAsia"/>
        </w:rPr>
        <w:t>第三章  供应商资格条件要求</w:t>
      </w:r>
      <w:bookmarkEnd w:id="99"/>
      <w:bookmarkEnd w:id="100"/>
    </w:p>
    <w:p>
      <w:pPr>
        <w:rPr>
          <w:rFonts w:hAnsi="宋体"/>
          <w:b/>
          <w:sz w:val="32"/>
          <w:szCs w:val="32"/>
        </w:rPr>
      </w:pPr>
    </w:p>
    <w:p>
      <w:pPr>
        <w:spacing w:line="360" w:lineRule="auto"/>
        <w:ind w:firstLine="540" w:firstLineChars="225"/>
        <w:rPr>
          <w:rFonts w:hAnsi="宋体"/>
          <w:sz w:val="24"/>
        </w:rPr>
      </w:pPr>
      <w:r>
        <w:rPr>
          <w:rFonts w:hint="eastAsia" w:hAnsi="宋体"/>
          <w:sz w:val="24"/>
        </w:rPr>
        <w:t>一、参加磋商的供应商应具备下列资格条件：</w:t>
      </w:r>
    </w:p>
    <w:p>
      <w:pPr>
        <w:spacing w:line="360" w:lineRule="auto"/>
        <w:ind w:firstLine="720" w:firstLineChars="300"/>
        <w:rPr>
          <w:rFonts w:hint="eastAsia" w:hAnsi="宋体"/>
          <w:sz w:val="24"/>
        </w:rPr>
      </w:pPr>
      <w:r>
        <w:rPr>
          <w:rFonts w:hint="eastAsia" w:hAnsi="宋体"/>
          <w:sz w:val="24"/>
        </w:rPr>
        <w:t>1.具有独立承担民事责任的能力；</w:t>
      </w:r>
    </w:p>
    <w:p>
      <w:pPr>
        <w:spacing w:line="360" w:lineRule="auto"/>
        <w:ind w:firstLine="720" w:firstLineChars="300"/>
        <w:rPr>
          <w:rFonts w:hint="eastAsia" w:hAnsi="宋体"/>
          <w:sz w:val="24"/>
        </w:rPr>
      </w:pPr>
      <w:r>
        <w:rPr>
          <w:rFonts w:hint="eastAsia" w:hAnsi="宋体"/>
          <w:sz w:val="24"/>
        </w:rPr>
        <w:t>2.具有良好的商业信誉和健全的财务会计制度；</w:t>
      </w:r>
    </w:p>
    <w:p>
      <w:pPr>
        <w:spacing w:line="360" w:lineRule="auto"/>
        <w:ind w:firstLine="720" w:firstLineChars="300"/>
        <w:rPr>
          <w:rFonts w:hint="eastAsia" w:hAnsi="宋体"/>
          <w:sz w:val="24"/>
        </w:rPr>
      </w:pPr>
      <w:r>
        <w:rPr>
          <w:rFonts w:hint="eastAsia" w:hAnsi="宋体"/>
          <w:sz w:val="24"/>
        </w:rPr>
        <w:t>3.具有履行合同所必须的设备和专业技术能力；</w:t>
      </w:r>
    </w:p>
    <w:p>
      <w:pPr>
        <w:spacing w:line="360" w:lineRule="auto"/>
        <w:ind w:firstLine="720" w:firstLineChars="300"/>
        <w:rPr>
          <w:rFonts w:hint="eastAsia" w:hAnsi="宋体"/>
          <w:sz w:val="24"/>
        </w:rPr>
      </w:pPr>
      <w:r>
        <w:rPr>
          <w:rFonts w:hint="eastAsia" w:hAnsi="宋体"/>
          <w:sz w:val="24"/>
        </w:rPr>
        <w:t>4.具有依法缴纳税收和社会保障资金的良好记录；</w:t>
      </w:r>
    </w:p>
    <w:p>
      <w:pPr>
        <w:spacing w:line="360" w:lineRule="auto"/>
        <w:ind w:firstLine="720" w:firstLineChars="300"/>
        <w:rPr>
          <w:rFonts w:hint="eastAsia" w:hAnsi="宋体"/>
          <w:sz w:val="24"/>
        </w:rPr>
      </w:pPr>
      <w:r>
        <w:rPr>
          <w:rFonts w:hint="eastAsia" w:hAnsi="宋体"/>
          <w:sz w:val="24"/>
        </w:rPr>
        <w:t>5.参加本次采购活动前三年内，在经营活动中没有重大违法记录。</w:t>
      </w:r>
    </w:p>
    <w:p>
      <w:pPr>
        <w:spacing w:line="360" w:lineRule="auto"/>
        <w:ind w:firstLine="720" w:firstLineChars="300"/>
        <w:rPr>
          <w:rFonts w:hint="eastAsia" w:hAnsi="宋体"/>
          <w:sz w:val="24"/>
        </w:rPr>
      </w:pPr>
      <w:r>
        <w:rPr>
          <w:rFonts w:hint="eastAsia" w:hAnsi="宋体"/>
          <w:sz w:val="24"/>
        </w:rPr>
        <w:t>6.在参加本次采购活动前三年内，供应商单位及其现任法定代表人不得具有行贿犯罪记录。</w:t>
      </w:r>
    </w:p>
    <w:p>
      <w:pPr>
        <w:spacing w:line="360" w:lineRule="auto"/>
        <w:ind w:firstLine="720" w:firstLineChars="300"/>
        <w:rPr>
          <w:rFonts w:hint="eastAsia" w:hAnsi="宋体"/>
          <w:sz w:val="24"/>
        </w:rPr>
      </w:pPr>
      <w:r>
        <w:rPr>
          <w:rFonts w:hint="eastAsia" w:hAnsi="宋体"/>
          <w:sz w:val="24"/>
        </w:rPr>
        <w:t>7.供应商须具有土地评估资质且在四川省自然资源厅完成备案。</w:t>
      </w:r>
    </w:p>
    <w:p>
      <w:pPr>
        <w:spacing w:line="360" w:lineRule="auto"/>
        <w:ind w:firstLine="720" w:firstLineChars="300"/>
        <w:rPr>
          <w:rFonts w:hint="eastAsia" w:hAnsi="宋体"/>
          <w:sz w:val="24"/>
        </w:rPr>
      </w:pPr>
      <w:r>
        <w:rPr>
          <w:rFonts w:hint="eastAsia" w:hAnsi="宋体"/>
          <w:sz w:val="24"/>
        </w:rPr>
        <w:t>8.</w:t>
      </w:r>
      <w:r>
        <w:rPr>
          <w:rFonts w:hint="eastAsia" w:hAnsi="宋体"/>
          <w:sz w:val="24"/>
          <w:lang w:val="en-US" w:eastAsia="zh-CN"/>
        </w:rPr>
        <w:t>相关</w:t>
      </w:r>
      <w:r>
        <w:rPr>
          <w:rFonts w:hint="eastAsia" w:hAnsi="宋体"/>
          <w:sz w:val="24"/>
        </w:rPr>
        <w:t>承诺函。</w:t>
      </w:r>
    </w:p>
    <w:p>
      <w:pPr>
        <w:spacing w:line="360" w:lineRule="auto"/>
        <w:ind w:firstLine="720" w:firstLineChars="300"/>
        <w:rPr>
          <w:rFonts w:hint="eastAsia" w:hAnsi="宋体"/>
          <w:sz w:val="24"/>
        </w:rPr>
      </w:pPr>
      <w:r>
        <w:rPr>
          <w:rFonts w:hint="eastAsia" w:hAnsi="宋体"/>
          <w:sz w:val="24"/>
        </w:rPr>
        <w:t>9.非“信用中国”网站（www.creditchina.gov.cn）中列入失信被执行人和重大税收违法案件当事人名单的供应商，非中国政府采购网（www.ccgp.gov.cn）政府采购严重违法失信行为记录名单中被财政部门禁止参加政府采购活动的供应商（处罚决定规定的时间和地域范围内）。</w:t>
      </w:r>
    </w:p>
    <w:p>
      <w:pPr>
        <w:spacing w:line="360" w:lineRule="auto"/>
        <w:ind w:firstLine="402" w:firstLineChars="200"/>
        <w:rPr>
          <w:rFonts w:hAnsi="宋体" w:cs="宋体"/>
          <w:b/>
          <w:bCs/>
          <w:sz w:val="20"/>
          <w:szCs w:val="20"/>
        </w:rPr>
      </w:pPr>
      <w:r>
        <w:rPr>
          <w:rFonts w:hint="eastAsia" w:hAnsi="宋体" w:cs="宋体"/>
          <w:b/>
          <w:bCs/>
          <w:sz w:val="20"/>
          <w:szCs w:val="20"/>
        </w:rPr>
        <w:t>注：1.本项目确定供应商重大违法记录中较大数额罚款的金额标准以国家相关规定为准。</w:t>
      </w:r>
    </w:p>
    <w:p>
      <w:pPr>
        <w:spacing w:line="360" w:lineRule="auto"/>
        <w:ind w:firstLine="402" w:firstLineChars="200"/>
        <w:rPr>
          <w:rFonts w:hAnsi="宋体" w:cs="宋体"/>
          <w:b/>
          <w:bCs/>
          <w:sz w:val="20"/>
          <w:szCs w:val="20"/>
        </w:rPr>
      </w:pPr>
      <w:r>
        <w:rPr>
          <w:rFonts w:hint="eastAsia" w:hAnsi="宋体" w:cs="宋体"/>
          <w:b/>
          <w:bCs/>
          <w:sz w:val="20"/>
          <w:szCs w:val="20"/>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bookmarkStart w:id="101" w:name="_Toc20204"/>
    </w:p>
    <w:p>
      <w:pPr>
        <w:pStyle w:val="49"/>
        <w:rPr>
          <w:rFonts w:hAnsi="宋体" w:cs="宋体"/>
          <w:b/>
          <w:bCs/>
          <w:color w:val="auto"/>
          <w:sz w:val="20"/>
          <w:szCs w:val="20"/>
        </w:rPr>
      </w:pPr>
    </w:p>
    <w:p>
      <w:pPr>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pStyle w:val="12"/>
        <w:ind w:firstLine="402"/>
        <w:rPr>
          <w:rFonts w:hAnsi="宋体" w:cs="宋体"/>
          <w:b/>
          <w:bCs/>
          <w:sz w:val="20"/>
          <w:szCs w:val="20"/>
        </w:rPr>
      </w:pPr>
    </w:p>
    <w:p>
      <w:pPr>
        <w:rPr>
          <w:rFonts w:hAnsi="宋体" w:cs="宋体"/>
          <w:b/>
          <w:bCs/>
          <w:sz w:val="20"/>
          <w:szCs w:val="20"/>
        </w:rPr>
      </w:pPr>
    </w:p>
    <w:p>
      <w:pPr>
        <w:pStyle w:val="3"/>
        <w:keepNext/>
        <w:keepLines/>
        <w:pageBreakBefore w:val="0"/>
        <w:widowControl w:val="0"/>
        <w:kinsoku/>
        <w:wordWrap/>
        <w:overflowPunct/>
        <w:topLinePunct w:val="0"/>
        <w:autoSpaceDE/>
        <w:autoSpaceDN/>
        <w:bidi w:val="0"/>
        <w:adjustRightInd/>
        <w:snapToGrid/>
        <w:spacing w:before="100" w:after="100" w:line="360" w:lineRule="auto"/>
        <w:jc w:val="center"/>
        <w:textAlignment w:val="auto"/>
        <w:rPr>
          <w:rFonts w:hAnsi="宋体"/>
          <w:sz w:val="28"/>
          <w:szCs w:val="28"/>
        </w:rPr>
      </w:pPr>
      <w:bookmarkStart w:id="102" w:name="_Toc8742"/>
      <w:r>
        <w:rPr>
          <w:rFonts w:hint="eastAsia"/>
        </w:rPr>
        <w:t>第四章  供应商资格证明材料</w:t>
      </w:r>
      <w:bookmarkEnd w:id="101"/>
      <w:bookmarkEnd w:id="102"/>
    </w:p>
    <w:p>
      <w:pPr>
        <w:spacing w:line="360" w:lineRule="auto"/>
        <w:rPr>
          <w:rFonts w:hAnsi="宋体"/>
          <w:b/>
          <w:bCs/>
          <w:sz w:val="24"/>
        </w:rPr>
      </w:pPr>
      <w:r>
        <w:rPr>
          <w:rFonts w:hAnsi="宋体"/>
          <w:b/>
          <w:bCs/>
          <w:sz w:val="24"/>
        </w:rPr>
        <w:t>一、供应商应提交的资格证明材料</w:t>
      </w:r>
    </w:p>
    <w:p>
      <w:pPr>
        <w:spacing w:after="50" w:line="420" w:lineRule="exact"/>
        <w:rPr>
          <w:rFonts w:hAnsi="宋体" w:cs="宋体"/>
          <w:sz w:val="24"/>
          <w:szCs w:val="24"/>
        </w:rPr>
      </w:pPr>
      <w:r>
        <w:rPr>
          <w:rFonts w:hint="eastAsia" w:hAnsi="宋体" w:cs="宋体"/>
          <w:sz w:val="24"/>
          <w:szCs w:val="24"/>
        </w:rPr>
        <w:t>1、具有独立承担民事责任的能力（①供应商为企业（包括合伙企业）、个体工商户的提供工商营业执照或提供由工商行政管理部门核发的法人或者其他组织统一社会信用代码的营业执照；②供应商属于银行、保险、石油石化、电力、电信等有行业特殊情况的，提供企业分支机构营业执照或统一社会信用代码的营业执照；③供应商为其他组织的，提供事业单位法人证书或执业许可证等证明文件。提供相关证照复印件）</w:t>
      </w:r>
    </w:p>
    <w:p>
      <w:pPr>
        <w:spacing w:after="50" w:line="420" w:lineRule="exact"/>
        <w:rPr>
          <w:rFonts w:hAnsi="宋体" w:cs="宋体"/>
          <w:sz w:val="24"/>
          <w:szCs w:val="24"/>
        </w:rPr>
      </w:pPr>
      <w:r>
        <w:rPr>
          <w:rFonts w:hint="eastAsia" w:hAnsi="宋体" w:cs="宋体"/>
          <w:sz w:val="24"/>
          <w:szCs w:val="24"/>
        </w:rPr>
        <w:t>2、具有良好的商业信誉和健全的财务会计制度（①供应商是否具有良好的商业信誉，由供应商出具书面承诺原件；②供应商是否有健全的财务会计制度：供应商提供近三年中任意一年的经审计的财务报告的复印件；若不能提供经审计的财务报告的公司，或非公司性质的供应商，可提供自定的财务会计制度复印件或近三年中任意一年的单位内部财务报表复印件或由供应商出具书面承诺原件）</w:t>
      </w:r>
    </w:p>
    <w:p>
      <w:pPr>
        <w:spacing w:after="50" w:line="420" w:lineRule="exact"/>
        <w:rPr>
          <w:rFonts w:hAnsi="宋体" w:cs="宋体"/>
          <w:sz w:val="24"/>
          <w:szCs w:val="24"/>
        </w:rPr>
      </w:pPr>
      <w:r>
        <w:rPr>
          <w:rFonts w:hint="eastAsia" w:hAnsi="宋体" w:cs="宋体"/>
          <w:sz w:val="24"/>
          <w:szCs w:val="24"/>
        </w:rPr>
        <w:t>3、具有履行合同所必须的设备和专业技术能力（由供应商自行对本单位（个人）是否具备履行合同所必须的设备和专业技术能力进行评价。若具有履行合同所必须的设备和专业技术能力的，参与投标时，须提供履行合同所必须的设备和专业技术能力的承诺原件）</w:t>
      </w:r>
    </w:p>
    <w:p>
      <w:pPr>
        <w:spacing w:after="50" w:line="420" w:lineRule="exact"/>
        <w:rPr>
          <w:rFonts w:hAnsi="宋体" w:cs="宋体"/>
          <w:sz w:val="24"/>
          <w:szCs w:val="24"/>
        </w:rPr>
      </w:pPr>
      <w:r>
        <w:rPr>
          <w:rFonts w:hint="eastAsia" w:hAnsi="宋体" w:cs="宋体"/>
          <w:sz w:val="24"/>
          <w:szCs w:val="24"/>
        </w:rPr>
        <w:t>4、具有依法缴纳税收和社会保障资金的良好记录（供应商须提供2022年1月至今任意1个月的缴纳税收的缴纳证明（复印件）以及供应商2022年1月至今任意1个月的缴纳社保的缴纳证明（复印件）；提供上述证明材料困难的供应商，在参加采购活动时须提供具有依法缴纳税收和社会保障资金的良好记录的承诺原件）</w:t>
      </w:r>
    </w:p>
    <w:p>
      <w:pPr>
        <w:spacing w:after="50" w:line="420" w:lineRule="exact"/>
        <w:rPr>
          <w:rFonts w:hAnsi="宋体" w:cs="宋体"/>
          <w:sz w:val="24"/>
          <w:szCs w:val="24"/>
        </w:rPr>
      </w:pPr>
      <w:r>
        <w:rPr>
          <w:rFonts w:hint="eastAsia" w:hAnsi="宋体" w:cs="宋体"/>
          <w:sz w:val="24"/>
          <w:szCs w:val="24"/>
        </w:rPr>
        <w:t>5、供应商参加本次采购活动前三年内，在经营活动中没有重大违法违规记录的声明（原件）</w:t>
      </w:r>
    </w:p>
    <w:p>
      <w:pPr>
        <w:spacing w:after="50" w:line="420" w:lineRule="exact"/>
        <w:rPr>
          <w:rFonts w:hAnsi="宋体" w:cs="宋体"/>
          <w:sz w:val="24"/>
          <w:szCs w:val="24"/>
        </w:rPr>
      </w:pPr>
      <w:r>
        <w:rPr>
          <w:rFonts w:hint="eastAsia" w:hAnsi="宋体" w:cs="宋体"/>
          <w:sz w:val="24"/>
          <w:szCs w:val="24"/>
        </w:rPr>
        <w:t>6、在参加本次采购活动前3年内，供应商单位及法定代表人（主要负责人）不具有行贿犯罪记录的承诺函（原件）</w:t>
      </w:r>
    </w:p>
    <w:p>
      <w:pPr>
        <w:spacing w:after="50" w:line="420" w:lineRule="exact"/>
        <w:rPr>
          <w:rFonts w:hAnsi="宋体" w:cs="宋体"/>
          <w:sz w:val="24"/>
          <w:szCs w:val="24"/>
        </w:rPr>
      </w:pPr>
      <w:r>
        <w:rPr>
          <w:rFonts w:hint="eastAsia" w:hAnsi="宋体" w:cs="宋体"/>
          <w:sz w:val="24"/>
          <w:szCs w:val="24"/>
        </w:rPr>
        <w:t>7、提供法定代表人（主要负责人）身份证明书原件及身份证复印件；非法定代表人（主要负责人）亲自参加开标的，还须同时提供法定代表人（主要负责人）授权委托书原件、法定代表人（主要负责人）及授权代表身份证复印件。（磋商时，供应商的磋商代表必须携带有效的身份证原件）</w:t>
      </w:r>
    </w:p>
    <w:p>
      <w:pPr>
        <w:spacing w:after="50" w:line="420" w:lineRule="exact"/>
        <w:rPr>
          <w:rFonts w:hAnsi="宋体" w:cs="宋体"/>
          <w:sz w:val="24"/>
          <w:szCs w:val="24"/>
        </w:rPr>
      </w:pPr>
      <w:r>
        <w:rPr>
          <w:rFonts w:hint="eastAsia" w:hAnsi="宋体" w:cs="宋体"/>
          <w:sz w:val="24"/>
          <w:szCs w:val="24"/>
        </w:rPr>
        <w:t>8、供应商须提供四川省自然资源厅颁发的土地估价（评估）机构备案函。（复印件）</w:t>
      </w:r>
    </w:p>
    <w:p>
      <w:pPr>
        <w:spacing w:after="50" w:line="420" w:lineRule="exact"/>
        <w:rPr>
          <w:rFonts w:hAnsi="宋体"/>
          <w:b/>
          <w:bCs/>
          <w:sz w:val="24"/>
        </w:rPr>
      </w:pPr>
      <w:r>
        <w:rPr>
          <w:rFonts w:hint="eastAsia" w:hAnsi="宋体"/>
          <w:b/>
          <w:bCs/>
          <w:sz w:val="24"/>
        </w:rPr>
        <w:t>二、</w:t>
      </w:r>
      <w:r>
        <w:rPr>
          <w:rFonts w:hAnsi="宋体"/>
          <w:b/>
          <w:bCs/>
          <w:sz w:val="24"/>
        </w:rPr>
        <w:t>供应商</w:t>
      </w:r>
      <w:r>
        <w:rPr>
          <w:rFonts w:hint="eastAsia" w:hAnsi="宋体"/>
          <w:b/>
          <w:bCs/>
          <w:sz w:val="24"/>
        </w:rPr>
        <w:t>应提供的报价产品的资格、资质性及其他类似效力要求的相关证明材料</w:t>
      </w:r>
    </w:p>
    <w:p>
      <w:pPr>
        <w:rPr>
          <w:rFonts w:hAnsi="宋体"/>
          <w:sz w:val="24"/>
        </w:rPr>
      </w:pPr>
      <w:r>
        <w:rPr>
          <w:rFonts w:hint="eastAsia" w:hAnsi="宋体"/>
          <w:sz w:val="24"/>
        </w:rPr>
        <w:t xml:space="preserve">  无</w:t>
      </w:r>
    </w:p>
    <w:p>
      <w:pPr>
        <w:ind w:firstLine="472" w:firstLineChars="196"/>
        <w:rPr>
          <w:rFonts w:hAnsi="宋体" w:cs="宋体"/>
          <w:b/>
          <w:sz w:val="21"/>
          <w:szCs w:val="21"/>
        </w:rPr>
      </w:pPr>
      <w:r>
        <w:rPr>
          <w:rFonts w:hint="eastAsia" w:hAnsi="宋体" w:cs="宋体"/>
          <w:b/>
          <w:sz w:val="24"/>
        </w:rPr>
        <w:t>注：</w:t>
      </w:r>
      <w:r>
        <w:rPr>
          <w:rFonts w:hint="eastAsia" w:hAnsi="宋体" w:cs="宋体"/>
          <w:b/>
          <w:sz w:val="21"/>
          <w:szCs w:val="21"/>
        </w:rPr>
        <w:t>1、</w:t>
      </w:r>
      <w:r>
        <w:rPr>
          <w:rFonts w:hint="eastAsia" w:hAnsi="宋体" w:cs="宋体"/>
          <w:b/>
          <w:color w:val="0000FF"/>
          <w:sz w:val="21"/>
          <w:szCs w:val="21"/>
        </w:rPr>
        <w:t>上述资格证明文件中要求提交的原件或公证件必须与响应文件同时提交</w:t>
      </w:r>
      <w:r>
        <w:rPr>
          <w:rFonts w:hint="eastAsia" w:hAnsi="宋体" w:cs="宋体"/>
          <w:b/>
          <w:sz w:val="21"/>
          <w:szCs w:val="21"/>
        </w:rPr>
        <w:t>（若未按要求同时提交，则提交无效），如果原件正在年检（或换证），则必须提供法定年检（或换证）单位出具的有效证明原件。</w:t>
      </w:r>
    </w:p>
    <w:p>
      <w:pPr>
        <w:ind w:firstLine="422" w:firstLineChars="200"/>
      </w:pPr>
      <w:r>
        <w:rPr>
          <w:rFonts w:hint="eastAsia" w:hAnsi="宋体" w:cs="宋体"/>
          <w:b/>
          <w:sz w:val="21"/>
          <w:szCs w:val="21"/>
        </w:rPr>
        <w:t>2、供应商资格证明材料</w:t>
      </w:r>
      <w:r>
        <w:rPr>
          <w:rFonts w:hint="eastAsia" w:hAnsi="宋体" w:cs="宋体"/>
          <w:b/>
          <w:spacing w:val="8"/>
          <w:sz w:val="21"/>
          <w:szCs w:val="21"/>
        </w:rPr>
        <w:t>的原件或复印件必须加盖竞磋人单位鲜章，</w:t>
      </w:r>
      <w:r>
        <w:rPr>
          <w:rFonts w:hint="eastAsia" w:hAnsi="宋体" w:cs="宋体"/>
          <w:b/>
          <w:sz w:val="21"/>
          <w:szCs w:val="21"/>
        </w:rPr>
        <w:t>不得使用专用印章（如经济合同章、投标专用章等）或下属单位印章代替</w:t>
      </w:r>
      <w:r>
        <w:rPr>
          <w:rFonts w:hint="eastAsia" w:hAnsi="宋体" w:cs="宋体"/>
          <w:b/>
          <w:spacing w:val="8"/>
          <w:sz w:val="21"/>
          <w:szCs w:val="21"/>
        </w:rPr>
        <w:t>。</w:t>
      </w:r>
    </w:p>
    <w:p>
      <w:pPr>
        <w:ind w:firstLine="454" w:firstLineChars="200"/>
        <w:rPr>
          <w:rFonts w:hAnsi="宋体"/>
          <w:sz w:val="24"/>
        </w:rPr>
      </w:pPr>
      <w:r>
        <w:rPr>
          <w:rFonts w:hint="eastAsia" w:hAnsi="宋体" w:cs="宋体"/>
          <w:b/>
          <w:spacing w:val="8"/>
          <w:sz w:val="21"/>
          <w:szCs w:val="21"/>
        </w:rPr>
        <w:t>3、</w:t>
      </w:r>
      <w:r>
        <w:rPr>
          <w:rFonts w:hint="eastAsia" w:hAnsi="宋体" w:cs="宋体"/>
          <w:b/>
          <w:sz w:val="21"/>
          <w:szCs w:val="21"/>
        </w:rPr>
        <w:t>以上证明材料一项不符合要求的,作为无效投标处理。以上证明材料须真实、完整、有效，提供资料中出现虚假、错误信息等所带来的后果由供应商自行承担。</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line="360" w:lineRule="auto"/>
        <w:jc w:val="center"/>
        <w:rPr>
          <w:rFonts w:hAnsi="宋体" w:cs="宋体"/>
          <w:bCs w:val="0"/>
          <w:spacing w:val="8"/>
          <w:sz w:val="21"/>
          <w:szCs w:val="21"/>
        </w:rPr>
      </w:pPr>
      <w:bookmarkStart w:id="103" w:name="_Toc31339"/>
      <w:bookmarkStart w:id="104" w:name="_Toc27398"/>
      <w:bookmarkStart w:id="105" w:name="_Toc9367"/>
      <w:r>
        <w:rPr>
          <w:rFonts w:hint="eastAsia"/>
        </w:rPr>
        <w:t>第五章 采购项目技术、商务及其他要求</w:t>
      </w:r>
      <w:bookmarkEnd w:id="103"/>
      <w:bookmarkEnd w:id="104"/>
      <w:bookmarkEnd w:id="105"/>
    </w:p>
    <w:p>
      <w:pPr>
        <w:spacing w:line="360" w:lineRule="auto"/>
        <w:rPr>
          <w:rFonts w:ascii="仿宋" w:hAnsi="仿宋" w:eastAsia="仿宋" w:cs="仿宋"/>
          <w:sz w:val="24"/>
          <w:szCs w:val="32"/>
        </w:rPr>
      </w:pPr>
      <w:bookmarkStart w:id="106" w:name="_Toc10232"/>
      <w:bookmarkStart w:id="107" w:name="_Toc217446083"/>
      <w:r>
        <w:rPr>
          <w:rFonts w:hint="eastAsia" w:ascii="仿宋" w:hAnsi="仿宋" w:eastAsia="仿宋" w:cs="仿宋"/>
          <w:b/>
          <w:bCs/>
          <w:sz w:val="28"/>
        </w:rPr>
        <w:t>一、项目概况</w:t>
      </w:r>
    </w:p>
    <w:p>
      <w:pPr>
        <w:spacing w:line="360" w:lineRule="auto"/>
        <w:ind w:firstLine="480" w:firstLineChars="200"/>
        <w:rPr>
          <w:rFonts w:ascii="仿宋" w:hAnsi="仿宋" w:eastAsia="仿宋" w:cs="仿宋"/>
          <w:sz w:val="24"/>
        </w:rPr>
      </w:pPr>
      <w:r>
        <w:rPr>
          <w:rFonts w:hint="eastAsia" w:ascii="仿宋" w:hAnsi="仿宋" w:eastAsia="仿宋" w:cs="仿宋"/>
          <w:sz w:val="24"/>
        </w:rPr>
        <w:t>根据《中华人民共和国土地管理法》《城市房地产管理法》《土地管理法实施条例》《招标拍卖挂牌出让国有建设用地使用权规定》《协议出让国有土地使用权规定》《城镇国有土地使用权出让和转让暂行条例》以及《四川省人民政府印发&lt;关于进一步加强土地出让管理的规定&gt;的通知》（川府发〔2014〕58号）等相关规定，为高质高效完成区委区政府安排的土地出让工作任务和快捷及时办理服务对象申请的土地有关业务，积极发挥土地评估在国有土地资产处置工作中重要作用，确保国有土地资源收益不减少不流失。本项目拟采购不少于3家土地评估机构为作为朝天区2023年土地评估服务单位。本次采购财政预算资金以实际发生的业务量为准。</w:t>
      </w:r>
    </w:p>
    <w:p>
      <w:pPr>
        <w:rPr>
          <w:rFonts w:ascii="仿宋" w:hAnsi="仿宋" w:eastAsia="仿宋" w:cs="仿宋"/>
          <w:b/>
          <w:bCs/>
          <w:sz w:val="28"/>
          <w:szCs w:val="36"/>
        </w:rPr>
      </w:pPr>
      <w:r>
        <w:rPr>
          <w:rFonts w:hint="eastAsia" w:ascii="仿宋" w:hAnsi="仿宋" w:eastAsia="仿宋" w:cs="仿宋"/>
          <w:b/>
          <w:bCs/>
          <w:sz w:val="28"/>
          <w:szCs w:val="36"/>
        </w:rPr>
        <w:t>二、项目服务内容及要求</w:t>
      </w:r>
    </w:p>
    <w:p>
      <w:pPr>
        <w:spacing w:line="420" w:lineRule="exact"/>
        <w:jc w:val="left"/>
        <w:rPr>
          <w:rFonts w:ascii="仿宋" w:hAnsi="仿宋" w:eastAsia="仿宋" w:cs="仿宋"/>
          <w:b/>
          <w:bCs/>
          <w:sz w:val="28"/>
        </w:rPr>
      </w:pPr>
      <w:r>
        <w:rPr>
          <w:rFonts w:hint="eastAsia" w:ascii="仿宋" w:hAnsi="仿宋" w:eastAsia="仿宋" w:cs="仿宋"/>
          <w:b/>
          <w:bCs/>
          <w:sz w:val="28"/>
        </w:rPr>
        <w:t>（一）服务内容</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1.朝天区范围内招标、拍卖、挂牌出让土地的评估事项； </w:t>
      </w:r>
    </w:p>
    <w:p>
      <w:pPr>
        <w:spacing w:line="360" w:lineRule="auto"/>
        <w:ind w:firstLine="480" w:firstLineChars="200"/>
        <w:rPr>
          <w:rFonts w:ascii="仿宋" w:hAnsi="仿宋" w:eastAsia="仿宋" w:cs="仿宋"/>
          <w:sz w:val="24"/>
        </w:rPr>
      </w:pPr>
      <w:r>
        <w:rPr>
          <w:rFonts w:hint="eastAsia" w:ascii="仿宋" w:hAnsi="仿宋" w:eastAsia="仿宋" w:cs="仿宋"/>
          <w:sz w:val="24"/>
        </w:rPr>
        <w:t>2.朝天区范围内因城市规划调整、公共利益需要、基础设施建设等需收回、收购的国有建设用地使用权估价事项；</w:t>
      </w:r>
    </w:p>
    <w:p>
      <w:pPr>
        <w:spacing w:line="360" w:lineRule="auto"/>
        <w:ind w:firstLine="480" w:firstLineChars="200"/>
        <w:rPr>
          <w:rFonts w:ascii="仿宋" w:hAnsi="仿宋" w:eastAsia="仿宋" w:cs="仿宋"/>
          <w:sz w:val="24"/>
        </w:rPr>
      </w:pPr>
      <w:r>
        <w:rPr>
          <w:rFonts w:hint="eastAsia" w:ascii="仿宋" w:hAnsi="仿宋" w:eastAsia="仿宋" w:cs="仿宋"/>
          <w:sz w:val="24"/>
        </w:rPr>
        <w:t>3.朝天区范围内符合有关规定的划拨土地使用权补办出让、改变土地用途、改变土地使用条件、土地使用年限调整等需补交土地出让收入和协议出让土地估价事项；</w:t>
      </w:r>
    </w:p>
    <w:p>
      <w:pPr>
        <w:spacing w:line="420" w:lineRule="exact"/>
        <w:ind w:firstLine="480" w:firstLineChars="200"/>
        <w:jc w:val="left"/>
        <w:rPr>
          <w:rFonts w:ascii="仿宋" w:hAnsi="仿宋" w:eastAsia="仿宋" w:cs="仿宋"/>
          <w:sz w:val="24"/>
        </w:rPr>
      </w:pPr>
      <w:r>
        <w:rPr>
          <w:rFonts w:hint="eastAsia" w:ascii="仿宋" w:hAnsi="仿宋" w:eastAsia="仿宋" w:cs="仿宋"/>
          <w:sz w:val="24"/>
        </w:rPr>
        <w:t>4.朝天区范围内土地收储及其他有需要的与土地、地上建筑物等资产相关评估事项；</w:t>
      </w:r>
    </w:p>
    <w:p>
      <w:pPr>
        <w:spacing w:line="420" w:lineRule="exact"/>
        <w:ind w:firstLine="480" w:firstLineChars="200"/>
        <w:jc w:val="left"/>
        <w:rPr>
          <w:rFonts w:ascii="仿宋" w:hAnsi="仿宋" w:eastAsia="仿宋" w:cs="仿宋"/>
          <w:sz w:val="24"/>
        </w:rPr>
      </w:pPr>
      <w:r>
        <w:rPr>
          <w:rFonts w:hint="eastAsia" w:ascii="仿宋" w:hAnsi="仿宋" w:eastAsia="仿宋" w:cs="仿宋"/>
          <w:sz w:val="24"/>
        </w:rPr>
        <w:t>5.自然资源部门委托的其他评估事项。</w:t>
      </w:r>
    </w:p>
    <w:p>
      <w:pPr>
        <w:spacing w:line="420" w:lineRule="exact"/>
        <w:jc w:val="left"/>
        <w:rPr>
          <w:rFonts w:ascii="仿宋" w:hAnsi="仿宋" w:eastAsia="仿宋" w:cs="仿宋"/>
          <w:b/>
          <w:bCs/>
          <w:sz w:val="28"/>
        </w:rPr>
      </w:pPr>
      <w:r>
        <w:rPr>
          <w:rFonts w:hint="eastAsia" w:ascii="仿宋" w:hAnsi="仿宋" w:eastAsia="仿宋" w:cs="仿宋"/>
          <w:b/>
          <w:bCs/>
          <w:sz w:val="28"/>
        </w:rPr>
        <w:t>（二）相关标准及规范</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GB/T 18508-2014《城镇土地评估规程》；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GB/T 18507-2014《城镇土地分等定级规程》；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GB/T 21010-2017《土地利用现状分类》；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TD/T 1052-2017《标定地价规程》；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TD/T 1009-2007《城市地价动态监测技术规范》；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《国有建设用地使用权出让地价评估技术规范》（国土资厅发〔2018〕4 号）； </w:t>
      </w:r>
    </w:p>
    <w:p>
      <w:pPr>
        <w:spacing w:line="360" w:lineRule="auto"/>
        <w:ind w:firstLine="480" w:firstLineChars="200"/>
        <w:rPr>
          <w:rFonts w:ascii="仿宋" w:hAnsi="仿宋" w:eastAsia="仿宋" w:cs="仿宋"/>
          <w:sz w:val="24"/>
        </w:rPr>
      </w:pPr>
      <w:r>
        <w:rPr>
          <w:rFonts w:hint="eastAsia" w:ascii="仿宋" w:hAnsi="仿宋" w:eastAsia="仿宋" w:cs="仿宋"/>
          <w:sz w:val="24"/>
        </w:rPr>
        <w:t>《划拨国有建设用地使用权地价评估指导意见（试行）》 (自然资办函[2019]922 号)等法律法规要求独立、客观、公正地进行评估，并对评估结果承担法律责任；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若国家发布有最新技术规范或标准的，按最新的技术规范或标准执行。</w:t>
      </w:r>
    </w:p>
    <w:p>
      <w:pPr>
        <w:spacing w:line="420" w:lineRule="exact"/>
        <w:jc w:val="left"/>
        <w:rPr>
          <w:rFonts w:ascii="仿宋" w:hAnsi="仿宋" w:eastAsia="仿宋" w:cs="仿宋"/>
          <w:b/>
          <w:bCs/>
          <w:sz w:val="28"/>
        </w:rPr>
      </w:pPr>
      <w:r>
        <w:rPr>
          <w:rFonts w:hint="eastAsia" w:ascii="仿宋" w:hAnsi="仿宋" w:eastAsia="仿宋" w:cs="仿宋"/>
          <w:b/>
          <w:bCs/>
          <w:sz w:val="28"/>
        </w:rPr>
        <w:t>（三）服务要求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按照《国有建设用地使用权出让地价评估技术规范》（国土资厅发〔2018〕4号）、广元市及朝天区相关规定依法进行土地评估，为朝天区动态监管、地价管理，科学合理确定各类国有建设用地使用权出让、划拨价格及有关政策的制定提供依据。</w:t>
      </w:r>
    </w:p>
    <w:p>
      <w:pPr>
        <w:spacing w:line="360" w:lineRule="auto"/>
        <w:ind w:firstLine="480" w:firstLineChars="200"/>
        <w:rPr>
          <w:rFonts w:ascii="仿宋" w:hAnsi="仿宋" w:eastAsia="仿宋" w:cs="仿宋"/>
          <w:sz w:val="24"/>
        </w:rPr>
      </w:pPr>
      <w:r>
        <w:rPr>
          <w:rFonts w:hint="eastAsia" w:ascii="仿宋" w:hAnsi="仿宋" w:eastAsia="仿宋" w:cs="仿宋"/>
          <w:sz w:val="24"/>
        </w:rPr>
        <w:t>2.成交供应商应根据采购人业务要求及时开展评估工作,在接到采购人评估委托通知后，</w:t>
      </w:r>
      <w:r>
        <w:rPr>
          <w:rFonts w:hint="eastAsia" w:ascii="仿宋" w:hAnsi="仿宋" w:eastAsia="仿宋" w:cs="仿宋"/>
          <w:sz w:val="24"/>
          <w:lang w:val="en-US" w:eastAsia="zh-CN"/>
        </w:rPr>
        <w:t>6</w:t>
      </w:r>
      <w:r>
        <w:rPr>
          <w:rFonts w:hint="eastAsia" w:ascii="仿宋" w:hAnsi="仿宋" w:eastAsia="仿宋" w:cs="仿宋"/>
          <w:sz w:val="24"/>
        </w:rPr>
        <w:t>个小时内委派至少2名土地估价师携带身份证、资格证到现场接受委托并查勘现场进行评估，并在3个工作日内提交评估结果。若到现场的估价师与响应文件中提供的项目实施人员不一致，采购人有权拒绝其参与评估，并可以取消其在本项目的成交资格。</w:t>
      </w:r>
    </w:p>
    <w:p>
      <w:pPr>
        <w:spacing w:line="360" w:lineRule="auto"/>
        <w:ind w:firstLine="480" w:firstLineChars="200"/>
        <w:rPr>
          <w:rFonts w:ascii="仿宋" w:hAnsi="仿宋" w:eastAsia="仿宋" w:cs="仿宋"/>
          <w:sz w:val="24"/>
        </w:rPr>
      </w:pPr>
      <w:r>
        <w:rPr>
          <w:rFonts w:hint="eastAsia" w:ascii="仿宋" w:hAnsi="仿宋" w:eastAsia="仿宋" w:cs="仿宋"/>
          <w:sz w:val="24"/>
        </w:rPr>
        <w:t>3.评估时应由专业估价人员到现场进行实地踏勘、拍摄照片、留取勘验证据、存档备查。</w:t>
      </w:r>
    </w:p>
    <w:p>
      <w:pPr>
        <w:spacing w:line="360" w:lineRule="auto"/>
        <w:ind w:firstLine="480" w:firstLineChars="200"/>
        <w:rPr>
          <w:rFonts w:ascii="仿宋" w:hAnsi="仿宋" w:eastAsia="仿宋" w:cs="仿宋"/>
          <w:sz w:val="24"/>
        </w:rPr>
      </w:pPr>
      <w:r>
        <w:rPr>
          <w:rFonts w:hint="eastAsia" w:ascii="仿宋" w:hAnsi="仿宋" w:eastAsia="仿宋" w:cs="仿宋"/>
          <w:sz w:val="24"/>
        </w:rPr>
        <w:t>4.评估报告应根据《关于实行电子化备案完善土地估价报告备案制度的通知》的要求及时在土地估价报告备案系统备案,取得电子备案号。</w:t>
      </w:r>
    </w:p>
    <w:p>
      <w:pPr>
        <w:spacing w:line="360" w:lineRule="auto"/>
        <w:ind w:firstLine="281" w:firstLineChars="100"/>
        <w:rPr>
          <w:rFonts w:ascii="仿宋" w:hAnsi="仿宋" w:eastAsia="仿宋" w:cs="仿宋"/>
          <w:b/>
          <w:bCs/>
          <w:sz w:val="28"/>
        </w:rPr>
      </w:pPr>
      <w:r>
        <w:rPr>
          <w:rFonts w:hint="eastAsia" w:ascii="仿宋" w:hAnsi="仿宋" w:eastAsia="仿宋" w:cs="仿宋"/>
          <w:b/>
          <w:bCs/>
          <w:sz w:val="28"/>
        </w:rPr>
        <w:t>（四）土地评估的收费标准</w:t>
      </w:r>
    </w:p>
    <w:p>
      <w:pPr>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rPr>
        <w:t>宗地评估收费标准：</w:t>
      </w:r>
    </w:p>
    <w:p>
      <w:pPr>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rPr>
        <w:t>1.《广元市自然资源局关于印发&lt;广元市市本级公益性评估（土地、地灾和测绘）选取中介机构实施办法（试行）&gt;的通知》（广自然资发[2021]56号）的土地评估费支付费用标准规定：按5亩以下0.5万元人民币/宗; 5亩以上(含5亩)至不高于10亩0.8万元人民币/宗; 10亩以上(含10亩)至不高于50亩1.2万元人民币/宗；50亩以上(含50亩)至不高于100亩1.8 万元人民币/宗; 100亩及其以上2.0万元/宗，单宗地评估费最高不超过2万元；</w:t>
      </w:r>
    </w:p>
    <w:p>
      <w:pPr>
        <w:spacing w:line="360" w:lineRule="auto"/>
        <w:ind w:firstLine="480" w:firstLineChars="200"/>
        <w:rPr>
          <w:rFonts w:hint="eastAsia" w:ascii="仿宋" w:hAnsi="仿宋" w:eastAsia="仿宋" w:cs="仿宋"/>
          <w:color w:val="FF0000"/>
          <w:sz w:val="24"/>
        </w:rPr>
      </w:pPr>
      <w:r>
        <w:rPr>
          <w:rFonts w:hint="eastAsia" w:ascii="仿宋" w:hAnsi="仿宋" w:eastAsia="仿宋" w:cs="仿宋"/>
          <w:color w:val="FF0000"/>
          <w:sz w:val="24"/>
        </w:rPr>
        <w:t>2.原国家计委、原国家土地管理局《关于土地价格评估收费的通知》（计价格[1994]2017号）</w:t>
      </w:r>
      <w:bookmarkStart w:id="108" w:name="_Hlk62218736"/>
      <w:r>
        <w:rPr>
          <w:rFonts w:hint="eastAsia" w:ascii="仿宋" w:hAnsi="仿宋" w:eastAsia="仿宋" w:cs="仿宋"/>
          <w:color w:val="FF0000"/>
          <w:sz w:val="24"/>
        </w:rPr>
        <w:t>文件标准的不超过</w:t>
      </w:r>
      <w:r>
        <w:rPr>
          <w:rFonts w:hint="eastAsia" w:ascii="仿宋" w:hAnsi="仿宋" w:eastAsia="仿宋" w:cs="仿宋"/>
          <w:color w:val="FF0000"/>
          <w:sz w:val="24"/>
          <w:lang w:val="en-US" w:eastAsia="zh-CN"/>
        </w:rPr>
        <w:t>5</w:t>
      </w:r>
      <w:r>
        <w:rPr>
          <w:rFonts w:hint="eastAsia" w:ascii="仿宋" w:hAnsi="仿宋" w:eastAsia="仿宋" w:cs="仿宋"/>
          <w:color w:val="FF0000"/>
          <w:sz w:val="24"/>
        </w:rPr>
        <w:t>0%，不足2000元按照2000元收取</w:t>
      </w:r>
    </w:p>
    <w:p>
      <w:pPr>
        <w:spacing w:line="360" w:lineRule="auto"/>
        <w:ind w:firstLine="480" w:firstLineChars="200"/>
        <w:rPr>
          <w:rFonts w:ascii="仿宋" w:hAnsi="仿宋" w:eastAsia="仿宋" w:cs="仿宋"/>
          <w:color w:val="FF0000"/>
          <w:sz w:val="24"/>
        </w:rPr>
      </w:pPr>
      <w:r>
        <w:rPr>
          <w:rFonts w:hint="eastAsia" w:ascii="仿宋" w:hAnsi="仿宋" w:eastAsia="仿宋" w:cs="仿宋"/>
          <w:color w:val="FF0000"/>
          <w:sz w:val="24"/>
        </w:rPr>
        <w:t xml:space="preserve"> 朝天区地价评估费用标准按照《广元市自然资源局关于印发&lt;广元市市本级公益性评估（土地、地灾和测绘）选取中介机构实施办法（试行）&gt;的通知》（广自然资发[2021]56号）和原国家计委、原国家土地管理局《关于土地价格评估收费的通知》（计价格[1994]2017号）文件收费标准的50%，二者择低收取（单独宗地评估费不足2000元按照2000元收取）</w:t>
      </w:r>
      <w:r>
        <w:rPr>
          <w:rFonts w:hint="eastAsia" w:ascii="仿宋" w:hAnsi="仿宋" w:eastAsia="仿宋" w:cs="仿宋"/>
          <w:color w:val="FF0000"/>
          <w:sz w:val="24"/>
          <w:lang w:eastAsia="zh-CN"/>
        </w:rPr>
        <w:t>。</w:t>
      </w:r>
    </w:p>
    <w:bookmarkEnd w:id="108"/>
    <w:p>
      <w:pPr>
        <w:spacing w:line="360" w:lineRule="auto"/>
        <w:rPr>
          <w:rFonts w:ascii="仿宋" w:hAnsi="仿宋" w:eastAsia="仿宋" w:cs="仿宋"/>
          <w:b/>
          <w:bCs/>
          <w:sz w:val="28"/>
        </w:rPr>
      </w:pPr>
      <w:r>
        <w:rPr>
          <w:rFonts w:hint="eastAsia" w:ascii="仿宋" w:hAnsi="仿宋" w:eastAsia="仿宋" w:cs="仿宋"/>
          <w:b/>
          <w:bCs/>
          <w:sz w:val="28"/>
        </w:rPr>
        <w:t>三、成果要求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1.质量要求：成果应达到国家现行的法律法规规定的合格要求，并根据《国土资源部办公厅关于实行电子化备案完善土地估价报告备案制度的通知》（国土资厅发〔2012〕35号）要求，完成备案。</w:t>
      </w:r>
    </w:p>
    <w:p>
      <w:pPr>
        <w:spacing w:line="360" w:lineRule="auto"/>
        <w:ind w:firstLine="480" w:firstLineChars="200"/>
        <w:rPr>
          <w:rFonts w:ascii="仿宋" w:hAnsi="仿宋" w:eastAsia="仿宋" w:cs="仿宋"/>
          <w:sz w:val="24"/>
        </w:rPr>
      </w:pPr>
      <w:r>
        <w:rPr>
          <w:rFonts w:hint="eastAsia" w:ascii="仿宋" w:hAnsi="仿宋" w:eastAsia="仿宋" w:cs="仿宋"/>
          <w:sz w:val="24"/>
        </w:rPr>
        <w:t>2.成果要求：成果经采购人验收合格后，按采购人要求提交完整的已备案并取得电子备案号的土地估价结果等成果资料；所提供的成果资料包括纸质文件和电子文件，必须签署齐全，图文清楚，图面清晰，完整齐全。电子文档1套，纸质文件1套。</w:t>
      </w:r>
    </w:p>
    <w:p>
      <w:pPr>
        <w:spacing w:line="360" w:lineRule="auto"/>
        <w:ind w:firstLine="480" w:firstLineChars="200"/>
        <w:rPr>
          <w:rFonts w:ascii="仿宋" w:hAnsi="仿宋" w:eastAsia="仿宋" w:cs="仿宋"/>
          <w:b/>
          <w:bCs/>
          <w:sz w:val="28"/>
        </w:rPr>
      </w:pPr>
      <w:r>
        <w:rPr>
          <w:rFonts w:hint="eastAsia" w:ascii="仿宋" w:hAnsi="仿宋" w:eastAsia="仿宋" w:cs="仿宋"/>
          <w:sz w:val="24"/>
        </w:rPr>
        <w:t>3.成果归属要求：采购人享有著作权，项目编制成果归采购人和成交供应商共同所有，成交供应商不得擅自对外发表、出版；确实因学术交流、职称评定等需要而要做发表的必须征得采购人书面授权许可，若因此带来的相关法律经济纠纷与采购人无关，成交供应商应自行承担全部法律和经济等相关责任。</w:t>
      </w:r>
    </w:p>
    <w:p>
      <w:pPr>
        <w:spacing w:line="360" w:lineRule="auto"/>
        <w:rPr>
          <w:rFonts w:ascii="仿宋" w:hAnsi="仿宋" w:eastAsia="仿宋" w:cs="仿宋"/>
          <w:b/>
          <w:bCs/>
          <w:sz w:val="28"/>
        </w:rPr>
      </w:pPr>
      <w:r>
        <w:rPr>
          <w:rFonts w:hint="eastAsia" w:ascii="仿宋" w:hAnsi="仿宋" w:eastAsia="仿宋" w:cs="仿宋"/>
          <w:b/>
          <w:bCs/>
          <w:sz w:val="28"/>
        </w:rPr>
        <w:t>四、人员要求</w:t>
      </w:r>
    </w:p>
    <w:p>
      <w:pPr>
        <w:spacing w:line="360" w:lineRule="auto"/>
        <w:ind w:firstLine="482" w:firstLineChars="200"/>
        <w:rPr>
          <w:rFonts w:ascii="仿宋" w:hAnsi="仿宋" w:eastAsia="仿宋" w:cs="仿宋"/>
          <w:sz w:val="24"/>
        </w:rPr>
      </w:pPr>
      <w:r>
        <w:rPr>
          <w:rFonts w:hint="eastAsia" w:ascii="仿宋" w:hAnsi="仿宋" w:eastAsia="仿宋" w:cs="仿宋"/>
          <w:b/>
          <w:bCs/>
          <w:sz w:val="24"/>
          <w:szCs w:val="32"/>
        </w:rPr>
        <w:t>★</w:t>
      </w:r>
      <w:r>
        <w:rPr>
          <w:rFonts w:hint="eastAsia" w:ascii="仿宋" w:hAnsi="仿宋" w:eastAsia="仿宋" w:cs="仿宋"/>
          <w:sz w:val="24"/>
        </w:rPr>
        <w:t>1.供应商须为本项目配置专业服务团队及服务人员。在项目服务期限内，成交供应商派驻的服务实施人员原则上不得更换，若到现场的估价师与响应文件中提供的项目实施人员不一致，采购人有权拒绝其参与评估，并可以取消其在本项目的成交资格。如遇不可抗力必须更换，须事先征得采购人同意之后才能更换，因成交供应商未遵守上述规定而导致无法正常开展评估项目实施活动的，所有后果及经济损失由成交供应商自行承担。</w:t>
      </w:r>
    </w:p>
    <w:p>
      <w:pPr>
        <w:spacing w:line="360" w:lineRule="auto"/>
        <w:ind w:firstLine="480" w:firstLineChars="200"/>
        <w:rPr>
          <w:rFonts w:ascii="仿宋" w:hAnsi="仿宋" w:eastAsia="仿宋" w:cs="仿宋"/>
          <w:sz w:val="24"/>
        </w:rPr>
      </w:pPr>
      <w:r>
        <w:rPr>
          <w:rFonts w:hint="eastAsia" w:ascii="仿宋" w:hAnsi="仿宋" w:eastAsia="仿宋" w:cs="仿宋"/>
          <w:sz w:val="24"/>
        </w:rPr>
        <w:t>2.本项目服务单位和服务人员应严格遵守国家、行业有关法规、标准和本规定的要求，坚持独立、公平、公正、科学、可靠的原则进行评估，对提交的最终评估成果的真实性、有效性和合法性负责。</w:t>
      </w:r>
    </w:p>
    <w:p>
      <w:pPr>
        <w:spacing w:line="360" w:lineRule="auto"/>
        <w:ind w:firstLine="482" w:firstLineChars="200"/>
        <w:rPr>
          <w:rFonts w:ascii="仿宋" w:hAnsi="仿宋" w:eastAsia="仿宋" w:cs="仿宋"/>
          <w:b/>
          <w:bCs/>
          <w:sz w:val="24"/>
          <w:szCs w:val="32"/>
        </w:rPr>
      </w:pPr>
      <w:r>
        <w:rPr>
          <w:rFonts w:hint="eastAsia" w:ascii="仿宋" w:hAnsi="仿宋" w:eastAsia="仿宋" w:cs="仿宋"/>
          <w:b/>
          <w:bCs/>
          <w:sz w:val="24"/>
          <w:szCs w:val="32"/>
        </w:rPr>
        <w:t>★</w:t>
      </w:r>
      <w:r>
        <w:rPr>
          <w:rFonts w:hint="eastAsia" w:ascii="仿宋" w:hAnsi="仿宋" w:eastAsia="仿宋" w:cs="仿宋"/>
          <w:sz w:val="24"/>
        </w:rPr>
        <w:t>3.服务单位要严格按照国家、行业相关的法规、标准和本规定的要求，规范开展评估工作，提供相关数据，据实填报，确保数据完整、真实、可靠；不得虚报、瞒报、拒报、迟报；不得伪造、篡改评估报告；严格按照服务流程进行审核与复查。服务单位需确保委派的评估人员对项目实施过程中的涉密资料和数据履行保密义务。</w:t>
      </w:r>
    </w:p>
    <w:p>
      <w:pPr>
        <w:rPr>
          <w:rFonts w:ascii="仿宋" w:hAnsi="仿宋" w:eastAsia="仿宋" w:cs="仿宋"/>
          <w:sz w:val="28"/>
          <w:szCs w:val="28"/>
        </w:rPr>
      </w:pPr>
      <w:r>
        <w:rPr>
          <w:rFonts w:hint="eastAsia" w:ascii="仿宋" w:hAnsi="仿宋" w:eastAsia="仿宋" w:cs="仿宋"/>
          <w:b/>
          <w:bCs/>
          <w:sz w:val="28"/>
          <w:szCs w:val="28"/>
        </w:rPr>
        <w:t>五、商务要求</w:t>
      </w:r>
    </w:p>
    <w:tbl>
      <w:tblPr>
        <w:tblStyle w:val="31"/>
        <w:tblW w:w="10386" w:type="dxa"/>
        <w:tblInd w:w="-260" w:type="dxa"/>
        <w:tblLayout w:type="autofit"/>
        <w:tblCellMar>
          <w:top w:w="0" w:type="dxa"/>
          <w:left w:w="0" w:type="dxa"/>
          <w:bottom w:w="0" w:type="dxa"/>
          <w:right w:w="0" w:type="dxa"/>
        </w:tblCellMar>
      </w:tblPr>
      <w:tblGrid>
        <w:gridCol w:w="750"/>
        <w:gridCol w:w="1490"/>
        <w:gridCol w:w="8146"/>
      </w:tblGrid>
      <w:tr>
        <w:tblPrEx>
          <w:tblCellMar>
            <w:top w:w="0" w:type="dxa"/>
            <w:left w:w="0" w:type="dxa"/>
            <w:bottom w:w="0" w:type="dxa"/>
            <w:right w:w="0" w:type="dxa"/>
          </w:tblCellMar>
        </w:tblPrEx>
        <w:trPr>
          <w:trHeight w:val="630"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50" w:after="150" w:line="320" w:lineRule="atLeast"/>
              <w:jc w:val="center"/>
              <w:rPr>
                <w:rFonts w:ascii="仿宋" w:hAnsi="仿宋" w:eastAsia="仿宋" w:cs="仿宋"/>
                <w:sz w:val="24"/>
              </w:rPr>
            </w:pPr>
            <w:r>
              <w:rPr>
                <w:rFonts w:hint="eastAsia" w:ascii="仿宋" w:hAnsi="仿宋" w:eastAsia="仿宋" w:cs="仿宋"/>
                <w:b/>
                <w:bCs/>
                <w:spacing w:val="8"/>
                <w:sz w:val="24"/>
              </w:rPr>
              <w:t>序号</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50" w:after="150" w:line="320" w:lineRule="atLeast"/>
              <w:jc w:val="center"/>
              <w:rPr>
                <w:rFonts w:ascii="仿宋" w:hAnsi="仿宋" w:eastAsia="仿宋" w:cs="仿宋"/>
                <w:sz w:val="24"/>
              </w:rPr>
            </w:pPr>
            <w:r>
              <w:rPr>
                <w:rFonts w:hint="eastAsia" w:ascii="仿宋" w:hAnsi="仿宋" w:eastAsia="仿宋" w:cs="仿宋"/>
                <w:b/>
                <w:bCs/>
                <w:spacing w:val="8"/>
                <w:sz w:val="24"/>
              </w:rPr>
              <w:t>内容</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50" w:after="150" w:line="320" w:lineRule="atLeast"/>
              <w:jc w:val="center"/>
              <w:rPr>
                <w:rFonts w:ascii="仿宋" w:hAnsi="仿宋" w:eastAsia="仿宋" w:cs="仿宋"/>
                <w:sz w:val="24"/>
              </w:rPr>
            </w:pPr>
            <w:r>
              <w:rPr>
                <w:rFonts w:hint="eastAsia" w:ascii="仿宋" w:hAnsi="仿宋" w:eastAsia="仿宋" w:cs="仿宋"/>
                <w:b/>
                <w:bCs/>
                <w:spacing w:val="8"/>
                <w:sz w:val="24"/>
              </w:rPr>
              <w:t>招标采购要求</w:t>
            </w:r>
          </w:p>
        </w:tc>
      </w:tr>
      <w:tr>
        <w:tblPrEx>
          <w:tblCellMar>
            <w:top w:w="0" w:type="dxa"/>
            <w:left w:w="0" w:type="dxa"/>
            <w:bottom w:w="0" w:type="dxa"/>
            <w:right w:w="0" w:type="dxa"/>
          </w:tblCellMar>
        </w:tblPrEx>
        <w:trPr>
          <w:trHeight w:val="986"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lang w:val="zh-CN"/>
              </w:rPr>
              <w:t>1</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rPr>
              <w:t>服务期限及地点</w:t>
            </w:r>
            <w:r>
              <w:rPr>
                <w:rFonts w:hint="eastAsia" w:ascii="仿宋" w:hAnsi="仿宋" w:eastAsia="仿宋" w:cs="仿宋"/>
                <w:sz w:val="24"/>
                <w:lang w:val="zh-CN"/>
              </w:rPr>
              <w:t>要求</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1.服务期限：服务期为一年（自合同签订之日起）</w:t>
            </w:r>
          </w:p>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2.成交供应商应在接到采购人的土地评估委托之日起 3个工作日内提交评估结果，并提交采购人验收审核。</w:t>
            </w:r>
          </w:p>
          <w:p>
            <w:pPr>
              <w:adjustRightInd w:val="0"/>
              <w:spacing w:line="0" w:lineRule="atLeast"/>
              <w:ind w:firstLine="512" w:firstLineChars="200"/>
              <w:rPr>
                <w:rFonts w:ascii="仿宋" w:hAnsi="仿宋" w:eastAsia="仿宋" w:cs="仿宋"/>
                <w:sz w:val="24"/>
              </w:rPr>
            </w:pPr>
            <w:r>
              <w:rPr>
                <w:rFonts w:hint="eastAsia" w:ascii="仿宋" w:hAnsi="仿宋" w:eastAsia="仿宋" w:cs="仿宋"/>
                <w:bCs/>
                <w:spacing w:val="8"/>
                <w:sz w:val="24"/>
              </w:rPr>
              <w:t>3.服务地点：采购人指定地点。</w:t>
            </w:r>
          </w:p>
        </w:tc>
      </w:tr>
      <w:tr>
        <w:tblPrEx>
          <w:tblCellMar>
            <w:top w:w="0" w:type="dxa"/>
            <w:left w:w="0" w:type="dxa"/>
            <w:bottom w:w="0" w:type="dxa"/>
            <w:right w:w="0" w:type="dxa"/>
          </w:tblCellMar>
        </w:tblPrEx>
        <w:trPr>
          <w:trHeight w:val="560"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lang w:val="zh-CN"/>
              </w:rPr>
              <w:t>2</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lang w:val="zh-CN"/>
              </w:rPr>
              <w:t>履约、验收要求与标准</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numPr>
                <w:ilvl w:val="0"/>
                <w:numId w:val="9"/>
              </w:num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项目由采购人组织验收，采购人将参照《财政部关于进一步加强政府采购需求和履约验收管理的指导意见》（财库（2016）205 号）的要求，依据磋商文件、响应文件、合同约定以及国家相关标准要求进行验收。</w:t>
            </w:r>
          </w:p>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2.方式：评估结果是否符合《国土资源部办公厅关于印发&lt;国有建设用地使用权出让地价评估技术规范&gt;的通知》（国土资厅发〔2018〕4号）的相关规定及采购人提出具体要求，是否按时提交评估结果，及时完成评估结果备案等内容。</w:t>
            </w:r>
          </w:p>
        </w:tc>
      </w:tr>
      <w:tr>
        <w:tblPrEx>
          <w:tblCellMar>
            <w:top w:w="0" w:type="dxa"/>
            <w:left w:w="0" w:type="dxa"/>
            <w:bottom w:w="0" w:type="dxa"/>
            <w:right w:w="0" w:type="dxa"/>
          </w:tblCellMar>
        </w:tblPrEx>
        <w:trPr>
          <w:trHeight w:val="505"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lang w:val="zh-CN"/>
              </w:rPr>
              <w:t>3</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lang w:val="zh-CN"/>
              </w:rPr>
              <w:t>款项支付方式、进度</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ind w:firstLine="512" w:firstLineChars="200"/>
              <w:rPr>
                <w:rFonts w:ascii="仿宋" w:hAnsi="仿宋" w:eastAsia="仿宋" w:cs="仿宋"/>
                <w:sz w:val="24"/>
              </w:rPr>
            </w:pPr>
            <w:r>
              <w:rPr>
                <w:rFonts w:hint="eastAsia" w:ascii="仿宋" w:hAnsi="仿宋" w:eastAsia="仿宋" w:cs="仿宋"/>
                <w:bCs/>
                <w:spacing w:val="8"/>
                <w:sz w:val="24"/>
              </w:rPr>
              <w:t>按每次评估实际完成的评估内容性质、数量以及成交金额进行据实结算，在采购人收到含备案号的评估报告并验收合格后，年底据实一次性支付土地评估收费。</w:t>
            </w:r>
            <w:r>
              <w:rPr>
                <w:rFonts w:hint="eastAsia" w:ascii="仿宋" w:hAnsi="仿宋" w:eastAsia="仿宋" w:cs="仿宋"/>
                <w:b/>
                <w:spacing w:val="8"/>
                <w:sz w:val="24"/>
              </w:rPr>
              <w:t>（每次采购人付款前，成交供应商须提供合法有效完整的完税发票及凭证资料）</w:t>
            </w:r>
          </w:p>
        </w:tc>
      </w:tr>
      <w:tr>
        <w:tblPrEx>
          <w:tblCellMar>
            <w:top w:w="0" w:type="dxa"/>
            <w:left w:w="0" w:type="dxa"/>
            <w:bottom w:w="0" w:type="dxa"/>
            <w:right w:w="0" w:type="dxa"/>
          </w:tblCellMar>
        </w:tblPrEx>
        <w:trPr>
          <w:trHeight w:val="360"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rPr>
              <w:t>4</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rPr>
              <w:t>售后</w:t>
            </w:r>
            <w:r>
              <w:rPr>
                <w:rFonts w:hint="eastAsia" w:ascii="仿宋" w:hAnsi="仿宋" w:eastAsia="仿宋" w:cs="仿宋"/>
                <w:sz w:val="24"/>
                <w:lang w:val="zh-CN"/>
              </w:rPr>
              <w:t>服务要求</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1.项目售后服务期：自采购人取得电子备案号之日起1年。</w:t>
            </w:r>
          </w:p>
          <w:p>
            <w:pPr>
              <w:adjustRightInd w:val="0"/>
              <w:spacing w:line="0" w:lineRule="atLeast"/>
              <w:ind w:firstLine="512" w:firstLineChars="200"/>
              <w:rPr>
                <w:rFonts w:ascii="仿宋" w:hAnsi="仿宋" w:eastAsia="仿宋" w:cs="仿宋"/>
                <w:sz w:val="24"/>
              </w:rPr>
            </w:pPr>
            <w:r>
              <w:rPr>
                <w:rFonts w:hint="eastAsia" w:ascii="仿宋" w:hAnsi="仿宋" w:eastAsia="仿宋" w:cs="仿宋"/>
                <w:bCs/>
                <w:spacing w:val="8"/>
                <w:sz w:val="24"/>
              </w:rPr>
              <w:t>2.成交供应商须为采购人提供完善的售后服务以及应急工作，服务实施过程中及项目售后服务期间，接到采购人服务要求后3小时内响应，5小时内赶至现场响应采购人服务要求。</w:t>
            </w:r>
          </w:p>
        </w:tc>
      </w:tr>
      <w:tr>
        <w:tblPrEx>
          <w:tblCellMar>
            <w:top w:w="0" w:type="dxa"/>
            <w:left w:w="0" w:type="dxa"/>
            <w:bottom w:w="0" w:type="dxa"/>
            <w:right w:w="0" w:type="dxa"/>
          </w:tblCellMar>
        </w:tblPrEx>
        <w:trPr>
          <w:trHeight w:val="90"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rPr>
              <w:t>5</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b/>
                <w:bCs/>
                <w:sz w:val="24"/>
                <w:szCs w:val="32"/>
              </w:rPr>
              <w:t>★</w:t>
            </w:r>
            <w:r>
              <w:rPr>
                <w:rFonts w:hint="eastAsia" w:ascii="仿宋" w:hAnsi="仿宋" w:eastAsia="仿宋" w:cs="仿宋"/>
                <w:sz w:val="24"/>
              </w:rPr>
              <w:t>报价</w:t>
            </w:r>
            <w:r>
              <w:rPr>
                <w:rFonts w:hint="eastAsia" w:ascii="仿宋" w:hAnsi="仿宋" w:eastAsia="仿宋" w:cs="仿宋"/>
                <w:sz w:val="24"/>
                <w:lang w:val="zh-CN"/>
              </w:rPr>
              <w:t>要求</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adjustRightInd w:val="0"/>
              <w:spacing w:line="0" w:lineRule="atLeast"/>
              <w:ind w:firstLine="512" w:firstLineChars="200"/>
              <w:rPr>
                <w:rFonts w:ascii="仿宋" w:hAnsi="仿宋" w:eastAsia="仿宋" w:cs="仿宋"/>
                <w:bCs/>
                <w:color w:val="FF0000"/>
                <w:spacing w:val="8"/>
                <w:sz w:val="24"/>
              </w:rPr>
            </w:pPr>
            <w:r>
              <w:rPr>
                <w:rFonts w:hint="eastAsia" w:ascii="仿宋" w:hAnsi="仿宋" w:eastAsia="仿宋" w:cs="仿宋"/>
                <w:bCs/>
                <w:color w:val="FF0000"/>
                <w:spacing w:val="8"/>
                <w:sz w:val="24"/>
              </w:rPr>
              <w:t>1.供应商的报价是满足采购需求全部内容的价格体现，即为完成本项目所涉及的一切费用；</w:t>
            </w:r>
          </w:p>
          <w:p>
            <w:pPr>
              <w:adjustRightInd w:val="0"/>
              <w:spacing w:line="0" w:lineRule="atLeast"/>
              <w:ind w:firstLine="512" w:firstLineChars="200"/>
              <w:rPr>
                <w:rFonts w:ascii="仿宋" w:hAnsi="仿宋" w:eastAsia="仿宋" w:cs="仿宋"/>
                <w:bCs/>
                <w:color w:val="FF0000"/>
                <w:spacing w:val="8"/>
                <w:sz w:val="24"/>
              </w:rPr>
            </w:pPr>
            <w:r>
              <w:rPr>
                <w:rFonts w:hint="eastAsia" w:ascii="仿宋" w:hAnsi="仿宋" w:eastAsia="仿宋" w:cs="仿宋"/>
                <w:bCs/>
                <w:color w:val="FF0000"/>
                <w:spacing w:val="8"/>
                <w:sz w:val="24"/>
              </w:rPr>
              <w:t>2.朝天区地价评估费用标准按照《广元市自然资源局关于印发&lt;广元市市本级公益性评估（土地、地灾和测绘）选取中介机构实施办法（试行）&gt;的通知》（广自然资发[2021]56号）和原国家计委、原国家土地管理局《关于土地价格评估收费的通知》（计价格[1994]2017号）文件收费标准的50%，二者择低收取；</w:t>
            </w:r>
          </w:p>
          <w:p>
            <w:pPr>
              <w:adjustRightInd w:val="0"/>
              <w:spacing w:line="0" w:lineRule="atLeast"/>
              <w:ind w:firstLine="512" w:firstLineChars="200"/>
              <w:rPr>
                <w:rFonts w:hint="eastAsia" w:ascii="仿宋" w:hAnsi="仿宋" w:eastAsia="仿宋" w:cs="仿宋"/>
                <w:bCs/>
                <w:color w:val="FF0000"/>
                <w:spacing w:val="8"/>
                <w:sz w:val="24"/>
              </w:rPr>
            </w:pPr>
            <w:r>
              <w:rPr>
                <w:rFonts w:hint="eastAsia" w:ascii="仿宋" w:hAnsi="仿宋" w:eastAsia="仿宋" w:cs="仿宋"/>
                <w:bCs/>
                <w:color w:val="FF0000"/>
                <w:spacing w:val="8"/>
                <w:sz w:val="24"/>
                <w:lang w:val="en-US" w:eastAsia="zh-CN"/>
              </w:rPr>
              <w:t>3</w:t>
            </w:r>
            <w:r>
              <w:rPr>
                <w:rFonts w:hint="eastAsia" w:ascii="仿宋" w:hAnsi="仿宋" w:eastAsia="仿宋" w:cs="仿宋"/>
                <w:bCs/>
                <w:color w:val="FF0000"/>
                <w:spacing w:val="8"/>
                <w:sz w:val="24"/>
              </w:rPr>
              <w:t>.单宗地评估费不足2000元的按2000元计算</w:t>
            </w:r>
          </w:p>
          <w:p>
            <w:pPr>
              <w:adjustRightInd w:val="0"/>
              <w:spacing w:line="0" w:lineRule="atLeast"/>
              <w:ind w:firstLine="512" w:firstLineChars="200"/>
              <w:rPr>
                <w:rFonts w:ascii="仿宋" w:hAnsi="仿宋" w:eastAsia="仿宋" w:cs="仿宋"/>
                <w:sz w:val="24"/>
              </w:rPr>
            </w:pPr>
            <w:r>
              <w:rPr>
                <w:rFonts w:hint="eastAsia" w:ascii="仿宋" w:hAnsi="仿宋" w:eastAsia="仿宋" w:cs="仿宋"/>
                <w:bCs/>
                <w:color w:val="FF0000"/>
                <w:spacing w:val="8"/>
                <w:sz w:val="24"/>
                <w:lang w:val="en-US" w:eastAsia="zh-CN"/>
              </w:rPr>
              <w:t>4</w:t>
            </w:r>
            <w:r>
              <w:rPr>
                <w:rFonts w:hint="eastAsia" w:ascii="仿宋" w:hAnsi="仿宋" w:eastAsia="仿宋" w:cs="仿宋"/>
                <w:bCs/>
                <w:color w:val="FF0000"/>
                <w:spacing w:val="8"/>
                <w:sz w:val="24"/>
              </w:rPr>
              <w:t>.本项目的报价应当包括完成本项目可能发生的所有费用，为包干费用，如人工费、设备费、资料费、备案费、审查会务费、保险费、食宿及差旅费、代理服务费、税金、管理费用等一切费用，采购文件未列明而供应商认为其他必需的费用也须列入报价内。采购人不再另行支付根据每次评估实际完成的评估内容性质、数量以及成交收费率计算的结算费用以外的其他任何费用。</w:t>
            </w:r>
          </w:p>
        </w:tc>
      </w:tr>
      <w:tr>
        <w:tblPrEx>
          <w:tblCellMar>
            <w:top w:w="0" w:type="dxa"/>
            <w:left w:w="0" w:type="dxa"/>
            <w:bottom w:w="0" w:type="dxa"/>
            <w:right w:w="0" w:type="dxa"/>
          </w:tblCellMar>
        </w:tblPrEx>
        <w:trPr>
          <w:trHeight w:val="90" w:hRule="atLeast"/>
        </w:trPr>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sz w:val="24"/>
              </w:rPr>
              <w:t>6</w:t>
            </w:r>
          </w:p>
        </w:tc>
        <w:tc>
          <w:tcPr>
            <w:tcW w:w="14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pacing w:line="0" w:lineRule="atLeast"/>
              <w:jc w:val="center"/>
              <w:rPr>
                <w:rFonts w:ascii="仿宋" w:hAnsi="仿宋" w:eastAsia="仿宋" w:cs="仿宋"/>
                <w:sz w:val="24"/>
              </w:rPr>
            </w:pPr>
            <w:r>
              <w:rPr>
                <w:rFonts w:hint="eastAsia" w:ascii="仿宋" w:hAnsi="仿宋" w:eastAsia="仿宋" w:cs="仿宋"/>
                <w:b/>
                <w:bCs/>
                <w:sz w:val="24"/>
                <w:szCs w:val="32"/>
              </w:rPr>
              <w:t>★</w:t>
            </w:r>
            <w:r>
              <w:rPr>
                <w:rFonts w:hint="eastAsia" w:ascii="仿宋" w:hAnsi="仿宋" w:eastAsia="仿宋" w:cs="仿宋"/>
                <w:sz w:val="24"/>
              </w:rPr>
              <w:t>其他要求</w:t>
            </w:r>
          </w:p>
        </w:tc>
        <w:tc>
          <w:tcPr>
            <w:tcW w:w="81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1.成交供应商的服务人员在评估过程中，必须按照国家的相关规定、规范操作，接受和配合相关单位的监督、检查、审核和指导。如发生违规操作或其他违法违纪行为，一经发现将立即终止该评估活动。</w:t>
            </w:r>
          </w:p>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2.保密要求：供应商及其服务人员对项目实施过程中所了解的资料、 数据及最终成果必须严格履行保密义务。涉及保密事项的严格按照国家保密有关规定执行，供应商应对本项目成果进行严格保密并制定相应保密措施，供应商未经采购人许可，不得泄露和转用相关资料。</w:t>
            </w:r>
            <w:r>
              <w:rPr>
                <w:rFonts w:hint="eastAsia" w:ascii="仿宋" w:hAnsi="仿宋" w:eastAsia="仿宋" w:cs="仿宋"/>
                <w:b/>
                <w:spacing w:val="8"/>
                <w:sz w:val="24"/>
              </w:rPr>
              <w:t xml:space="preserve">（供应商须在投标响应文件中对此提供承诺并加盖供应商单位鲜章）。 </w:t>
            </w:r>
            <w:r>
              <w:rPr>
                <w:rFonts w:hint="eastAsia" w:ascii="仿宋" w:hAnsi="仿宋" w:eastAsia="仿宋" w:cs="仿宋"/>
                <w:bCs/>
                <w:spacing w:val="8"/>
                <w:sz w:val="24"/>
              </w:rPr>
              <w:t xml:space="preserve">       </w:t>
            </w:r>
          </w:p>
          <w:p>
            <w:pPr>
              <w:adjustRightInd w:val="0"/>
              <w:spacing w:line="0" w:lineRule="atLeast"/>
              <w:ind w:firstLine="512" w:firstLineChars="200"/>
              <w:rPr>
                <w:rFonts w:ascii="仿宋" w:hAnsi="仿宋" w:eastAsia="仿宋" w:cs="仿宋"/>
                <w:bCs/>
                <w:spacing w:val="8"/>
                <w:sz w:val="24"/>
              </w:rPr>
            </w:pPr>
            <w:r>
              <w:rPr>
                <w:rFonts w:hint="eastAsia" w:ascii="仿宋" w:hAnsi="仿宋" w:eastAsia="仿宋" w:cs="仿宋"/>
                <w:bCs/>
                <w:spacing w:val="8"/>
                <w:sz w:val="24"/>
              </w:rPr>
              <w:t>3.供应商须保证在本项目使用的任何服务和产品（包括部分使用）时，不会产生因第三方提出侵犯其专利权、商标权或其它知识产权而引起的法律和经济纠纷，如因知识产权而引起法律和经济纠纷，由供应商承担所有相关责任。</w:t>
            </w:r>
            <w:r>
              <w:rPr>
                <w:rFonts w:hint="eastAsia" w:ascii="仿宋" w:hAnsi="仿宋" w:eastAsia="仿宋" w:cs="仿宋"/>
                <w:b/>
                <w:spacing w:val="8"/>
                <w:sz w:val="24"/>
              </w:rPr>
              <w:t>（供应商须在投标响应文件中对此提供承诺并加盖供应商单位鲜章）。</w:t>
            </w:r>
          </w:p>
        </w:tc>
      </w:tr>
    </w:tbl>
    <w:p>
      <w:pPr>
        <w:jc w:val="left"/>
        <w:rPr>
          <w:rFonts w:ascii="仿宋" w:hAnsi="仿宋" w:eastAsia="仿宋" w:cs="仿宋"/>
          <w:b/>
          <w:bCs/>
          <w:sz w:val="24"/>
          <w:szCs w:val="32"/>
        </w:rPr>
      </w:pPr>
      <w:r>
        <w:rPr>
          <w:rFonts w:hint="eastAsia" w:ascii="仿宋" w:hAnsi="仿宋" w:eastAsia="仿宋" w:cs="仿宋"/>
          <w:b/>
          <w:bCs/>
          <w:sz w:val="24"/>
          <w:szCs w:val="32"/>
        </w:rPr>
        <w:t xml:space="preserve">注：1.带★项部分为本项目实质性要求，不允许有负偏离，否则做无效响应理。 </w:t>
      </w:r>
    </w:p>
    <w:p>
      <w:pPr>
        <w:jc w:val="left"/>
      </w:pPr>
      <w:r>
        <w:rPr>
          <w:rFonts w:hint="eastAsia" w:ascii="仿宋" w:hAnsi="仿宋" w:eastAsia="仿宋" w:cs="仿宋"/>
          <w:b/>
          <w:bCs/>
          <w:sz w:val="24"/>
          <w:szCs w:val="32"/>
        </w:rPr>
        <w:t>2.供应商须对自己所提供的相关证明材料或承诺的真实性、有效性和合法 性负责，若供应商成交后实际实施情况与投标响应文件中提供的相关证明材料及 承诺不符，则采购人有权取消其成交资格，并追究其法律责任。</w:t>
      </w:r>
    </w:p>
    <w:p>
      <w:pPr>
        <w:pStyle w:val="15"/>
        <w:tabs>
          <w:tab w:val="left" w:pos="5502"/>
        </w:tabs>
      </w:pPr>
      <w:r>
        <w:rPr>
          <w:rFonts w:hint="eastAsia"/>
        </w:rPr>
        <w:tab/>
      </w:r>
    </w:p>
    <w:p>
      <w:pPr>
        <w:pStyle w:val="15"/>
      </w:pPr>
    </w:p>
    <w:p>
      <w:pPr>
        <w:pStyle w:val="15"/>
      </w:pPr>
    </w:p>
    <w:p>
      <w:pPr>
        <w:pStyle w:val="15"/>
      </w:pPr>
    </w:p>
    <w:p>
      <w:pPr>
        <w:pStyle w:val="3"/>
        <w:rPr>
          <w:sz w:val="40"/>
          <w:szCs w:val="40"/>
        </w:rPr>
      </w:pPr>
      <w:bookmarkStart w:id="109" w:name="_Toc18265"/>
      <w:r>
        <w:rPr>
          <w:rFonts w:hint="eastAsia"/>
          <w:sz w:val="40"/>
          <w:szCs w:val="40"/>
        </w:rPr>
        <w:t>第六章 磋商内容、磋商过程中可实质性变动的内容</w:t>
      </w:r>
      <w:bookmarkEnd w:id="106"/>
      <w:bookmarkEnd w:id="109"/>
    </w:p>
    <w:p>
      <w:pPr>
        <w:tabs>
          <w:tab w:val="left" w:pos="7665"/>
        </w:tabs>
        <w:spacing w:line="400" w:lineRule="exact"/>
        <w:ind w:firstLine="480"/>
        <w:rPr>
          <w:rFonts w:hAnsi="宋体"/>
          <w:bCs/>
          <w:sz w:val="24"/>
          <w:szCs w:val="24"/>
        </w:rPr>
      </w:pPr>
      <w:bookmarkStart w:id="110" w:name="_Toc17930"/>
      <w:r>
        <w:rPr>
          <w:rFonts w:hint="eastAsia" w:hAnsi="宋体"/>
          <w:bCs/>
          <w:sz w:val="24"/>
          <w:szCs w:val="24"/>
        </w:rPr>
        <w:t>磋商过程中，评审委员会可以根据磋商文件和磋商情况实质性变动采购需求中的技术、服务要求和合同草案条款，但不得变动磋商文件中的其他内容。实质性变动的内容，须经评审委员会中的采购人代表确认。</w:t>
      </w:r>
      <w:bookmarkStart w:id="111" w:name="_Toc25103"/>
    </w:p>
    <w:p>
      <w:pPr>
        <w:pStyle w:val="49"/>
        <w:rPr>
          <w:rFonts w:hAnsi="宋体"/>
          <w:bCs/>
          <w:color w:val="auto"/>
          <w:szCs w:val="24"/>
        </w:rPr>
      </w:pPr>
    </w:p>
    <w:p>
      <w:pPr>
        <w:rPr>
          <w:rFonts w:hAnsi="宋体"/>
          <w:bCs/>
          <w:sz w:val="24"/>
          <w:szCs w:val="24"/>
        </w:rPr>
      </w:pPr>
    </w:p>
    <w:p>
      <w:pPr>
        <w:pStyle w:val="49"/>
        <w:rPr>
          <w:rFonts w:hAnsi="宋体"/>
          <w:bCs/>
          <w:color w:val="auto"/>
          <w:szCs w:val="24"/>
        </w:rPr>
      </w:pPr>
    </w:p>
    <w:p>
      <w:pPr>
        <w:pStyle w:val="3"/>
        <w:jc w:val="center"/>
        <w:rPr>
          <w:sz w:val="24"/>
        </w:rPr>
      </w:pPr>
      <w:bookmarkStart w:id="112" w:name="_Toc11845"/>
      <w:r>
        <w:rPr>
          <w:rFonts w:hint="eastAsia"/>
        </w:rPr>
        <w:t>第七章 响应文件格式</w:t>
      </w:r>
      <w:bookmarkEnd w:id="110"/>
      <w:bookmarkEnd w:id="111"/>
      <w:bookmarkEnd w:id="112"/>
      <w:bookmarkStart w:id="113" w:name="_Toc217446082"/>
      <w:bookmarkStart w:id="114" w:name="_Toc308164821"/>
    </w:p>
    <w:p>
      <w:pPr>
        <w:widowControl/>
        <w:spacing w:line="360" w:lineRule="atLeast"/>
        <w:ind w:firstLine="470" w:firstLineChars="196"/>
        <w:outlineLvl w:val="1"/>
        <w:rPr>
          <w:sz w:val="24"/>
        </w:rPr>
      </w:pPr>
      <w:r>
        <w:rPr>
          <w:rFonts w:hint="eastAsia"/>
          <w:sz w:val="24"/>
        </w:rPr>
        <w:t>一、本章所制响应文件格式，除格式中明确将该格式作为实质性要求的，一律不具有强制性，但是，竞磋人响应文件相关资料和本章所制格式不一致的，磋商小组将在评分时以响应文件不规范予以扣分处理。</w:t>
      </w:r>
    </w:p>
    <w:p>
      <w:pPr>
        <w:widowControl/>
        <w:spacing w:line="360" w:lineRule="atLeast"/>
        <w:ind w:firstLine="470" w:firstLineChars="196"/>
        <w:outlineLvl w:val="1"/>
        <w:rPr>
          <w:sz w:val="24"/>
        </w:rPr>
      </w:pPr>
      <w:r>
        <w:rPr>
          <w:rFonts w:hint="eastAsia"/>
          <w:sz w:val="24"/>
        </w:rPr>
        <w:t>二、本章所制响应文件格式有关表格中的备注栏，由竞磋人根据自身竞磋情况作解释性说明，不作为必填项。</w:t>
      </w:r>
    </w:p>
    <w:p>
      <w:pPr>
        <w:widowControl/>
        <w:spacing w:line="360" w:lineRule="atLeast"/>
        <w:ind w:firstLine="470" w:firstLineChars="196"/>
        <w:outlineLvl w:val="1"/>
        <w:rPr>
          <w:sz w:val="24"/>
        </w:rPr>
      </w:pPr>
      <w:r>
        <w:rPr>
          <w:rFonts w:hint="eastAsia"/>
          <w:sz w:val="24"/>
        </w:rPr>
        <w:t>三、本章所制响应文件格式中需要填写的相关内容事项，可能会与本采购项目无关，在不改变响应文件原义、不影响本项目采购需求的情况下，竞磋人可以不予填写，但应当注明。</w:t>
      </w:r>
    </w:p>
    <w:p>
      <w:pPr>
        <w:pStyle w:val="2"/>
      </w:pPr>
    </w:p>
    <w:p>
      <w:pPr>
        <w:widowControl/>
        <w:spacing w:line="360" w:lineRule="atLeast"/>
        <w:outlineLvl w:val="1"/>
        <w:rPr>
          <w:rFonts w:hAnsi="宋体" w:cs="宋体"/>
          <w:b/>
          <w:sz w:val="24"/>
          <w:szCs w:val="24"/>
        </w:rPr>
      </w:pPr>
    </w:p>
    <w:p>
      <w:pPr>
        <w:pStyle w:val="4"/>
        <w:rPr>
          <w:rFonts w:hAnsi="宋体" w:cs="宋体"/>
          <w:b w:val="0"/>
          <w:sz w:val="24"/>
          <w:szCs w:val="24"/>
        </w:rPr>
      </w:pPr>
    </w:p>
    <w:p>
      <w:pPr>
        <w:rPr>
          <w:rFonts w:hAnsi="宋体" w:cs="宋体"/>
          <w:sz w:val="24"/>
          <w:szCs w:val="24"/>
        </w:rPr>
      </w:pPr>
    </w:p>
    <w:p>
      <w:pPr>
        <w:pStyle w:val="2"/>
        <w:rPr>
          <w:rFonts w:hAnsi="宋体" w:cs="宋体"/>
          <w:sz w:val="24"/>
          <w:szCs w:val="24"/>
        </w:rPr>
      </w:pPr>
    </w:p>
    <w:p>
      <w:pPr>
        <w:rPr>
          <w:rFonts w:hAnsi="宋体" w:cs="宋体"/>
          <w:sz w:val="24"/>
          <w:szCs w:val="24"/>
        </w:rPr>
      </w:pPr>
    </w:p>
    <w:p>
      <w:pPr>
        <w:pStyle w:val="2"/>
        <w:rPr>
          <w:rFonts w:hint="eastAsia" w:hAnsi="宋体" w:eastAsia="华文中宋" w:cs="宋体"/>
          <w:sz w:val="24"/>
          <w:szCs w:val="24"/>
          <w:lang w:eastAsia="zh-CN"/>
        </w:rPr>
      </w:pPr>
    </w:p>
    <w:p>
      <w:pPr>
        <w:rPr>
          <w:rFonts w:hint="eastAsia" w:hAnsi="宋体" w:eastAsia="华文中宋" w:cs="宋体"/>
          <w:sz w:val="24"/>
          <w:szCs w:val="24"/>
          <w:lang w:eastAsia="zh-CN"/>
        </w:rPr>
      </w:pPr>
    </w:p>
    <w:p>
      <w:pPr>
        <w:pStyle w:val="2"/>
        <w:rPr>
          <w:rFonts w:hint="eastAsia" w:hAnsi="宋体" w:eastAsia="华文中宋" w:cs="宋体"/>
          <w:sz w:val="24"/>
          <w:szCs w:val="24"/>
          <w:lang w:eastAsia="zh-CN"/>
        </w:rPr>
      </w:pPr>
    </w:p>
    <w:p>
      <w:pPr>
        <w:rPr>
          <w:rFonts w:hint="eastAsia" w:hAnsi="宋体" w:eastAsia="华文中宋" w:cs="宋体"/>
          <w:sz w:val="24"/>
          <w:szCs w:val="24"/>
          <w:lang w:eastAsia="zh-CN"/>
        </w:rPr>
      </w:pPr>
    </w:p>
    <w:p>
      <w:pPr>
        <w:pStyle w:val="2"/>
        <w:rPr>
          <w:rFonts w:hint="eastAsia" w:hAnsi="宋体" w:eastAsia="华文中宋" w:cs="宋体"/>
          <w:sz w:val="24"/>
          <w:szCs w:val="24"/>
          <w:lang w:eastAsia="zh-CN"/>
        </w:rPr>
      </w:pPr>
    </w:p>
    <w:p>
      <w:pPr>
        <w:rPr>
          <w:rFonts w:hint="eastAsia" w:hAnsi="宋体" w:eastAsia="华文中宋" w:cs="宋体"/>
          <w:sz w:val="24"/>
          <w:szCs w:val="24"/>
          <w:lang w:eastAsia="zh-CN"/>
        </w:rPr>
      </w:pPr>
    </w:p>
    <w:p>
      <w:pPr>
        <w:pStyle w:val="2"/>
        <w:rPr>
          <w:rFonts w:hint="eastAsia" w:hAnsi="宋体" w:eastAsia="华文中宋" w:cs="宋体"/>
          <w:sz w:val="24"/>
          <w:szCs w:val="24"/>
          <w:lang w:eastAsia="zh-CN"/>
        </w:rPr>
      </w:pPr>
    </w:p>
    <w:p>
      <w:pPr>
        <w:rPr>
          <w:rFonts w:hint="eastAsia" w:hAnsi="宋体" w:eastAsia="华文中宋" w:cs="宋体"/>
          <w:sz w:val="24"/>
          <w:szCs w:val="24"/>
          <w:lang w:eastAsia="zh-CN"/>
        </w:rPr>
      </w:pPr>
    </w:p>
    <w:p>
      <w:pPr>
        <w:pStyle w:val="2"/>
        <w:rPr>
          <w:rFonts w:hint="eastAsia" w:hAnsi="宋体" w:eastAsia="华文中宋" w:cs="宋体"/>
          <w:sz w:val="24"/>
          <w:szCs w:val="24"/>
          <w:lang w:eastAsia="zh-CN"/>
        </w:rPr>
      </w:pPr>
    </w:p>
    <w:p>
      <w:pPr>
        <w:rPr>
          <w:rFonts w:hint="eastAsia" w:hAnsi="宋体" w:eastAsia="华文中宋" w:cs="宋体"/>
          <w:sz w:val="24"/>
          <w:szCs w:val="24"/>
          <w:lang w:eastAsia="zh-CN"/>
        </w:rPr>
      </w:pPr>
    </w:p>
    <w:p>
      <w:pPr>
        <w:pStyle w:val="4"/>
        <w:spacing w:line="360" w:lineRule="auto"/>
        <w:rPr>
          <w:rFonts w:ascii="新宋体" w:hAnsi="新宋体" w:eastAsia="新宋体" w:cs="新宋体"/>
          <w:sz w:val="24"/>
          <w:szCs w:val="24"/>
        </w:rPr>
      </w:pPr>
      <w:r>
        <w:rPr>
          <w:rFonts w:hint="eastAsia" w:ascii="黑体"/>
          <w:sz w:val="24"/>
          <w:szCs w:val="24"/>
        </w:rPr>
        <w:t xml:space="preserve">    </w:t>
      </w:r>
      <w:bookmarkStart w:id="115" w:name="_Toc8637"/>
      <w:bookmarkStart w:id="116" w:name="_Toc2849"/>
      <w:r>
        <w:rPr>
          <w:rFonts w:hint="eastAsia" w:ascii="新宋体" w:hAnsi="新宋体" w:eastAsia="新宋体" w:cs="新宋体"/>
          <w:sz w:val="24"/>
          <w:szCs w:val="24"/>
        </w:rPr>
        <w:t>一、响应文件封面格式</w:t>
      </w:r>
      <w:bookmarkEnd w:id="115"/>
      <w:bookmarkEnd w:id="116"/>
    </w:p>
    <w:p>
      <w:pPr>
        <w:spacing w:line="360" w:lineRule="auto"/>
        <w:jc w:val="center"/>
        <w:rPr>
          <w:rFonts w:ascii="新宋体" w:hAnsi="新宋体" w:eastAsia="新宋体" w:cs="新宋体"/>
          <w:sz w:val="48"/>
          <w:szCs w:val="56"/>
        </w:rPr>
      </w:pPr>
    </w:p>
    <w:p>
      <w:pPr>
        <w:spacing w:line="360" w:lineRule="auto"/>
        <w:jc w:val="center"/>
        <w:rPr>
          <w:rFonts w:ascii="新宋体" w:hAnsi="新宋体" w:eastAsia="新宋体" w:cs="新宋体"/>
          <w:sz w:val="48"/>
          <w:szCs w:val="56"/>
        </w:rPr>
      </w:pPr>
    </w:p>
    <w:p>
      <w:pPr>
        <w:spacing w:line="360" w:lineRule="auto"/>
        <w:rPr>
          <w:rFonts w:ascii="新宋体" w:hAnsi="新宋体" w:eastAsia="新宋体" w:cs="新宋体"/>
          <w:szCs w:val="24"/>
        </w:rPr>
      </w:pPr>
    </w:p>
    <w:p>
      <w:pPr>
        <w:snapToGrid w:val="0"/>
        <w:jc w:val="center"/>
        <w:textAlignment w:val="baseline"/>
        <w:rPr>
          <w:rFonts w:ascii="黑体" w:hAnsi="黑体" w:eastAsia="黑体"/>
          <w:spacing w:val="78"/>
          <w:sz w:val="72"/>
          <w:szCs w:val="84"/>
        </w:rPr>
      </w:pPr>
      <w:r>
        <w:rPr>
          <w:rFonts w:hint="eastAsia" w:ascii="黑体" w:hAnsi="黑体" w:eastAsia="黑体"/>
          <w:spacing w:val="78"/>
          <w:sz w:val="72"/>
          <w:szCs w:val="84"/>
        </w:rPr>
        <w:t>响应文件</w:t>
      </w:r>
    </w:p>
    <w:p>
      <w:pPr>
        <w:tabs>
          <w:tab w:val="left" w:pos="3900"/>
        </w:tabs>
        <w:snapToGrid w:val="0"/>
        <w:jc w:val="center"/>
        <w:textAlignment w:val="baseline"/>
        <w:rPr>
          <w:rFonts w:ascii="楷体_GB2312" w:hAnsi="宋体" w:eastAsia="楷体_GB2312" w:cs="新宋体"/>
          <w:b/>
          <w:bCs/>
          <w:sz w:val="144"/>
          <w:szCs w:val="120"/>
        </w:rPr>
      </w:pPr>
      <w:r>
        <w:rPr>
          <w:rFonts w:hint="eastAsia" w:ascii="楷体_GB2312" w:hAnsi="宋体" w:eastAsia="楷体_GB2312"/>
          <w:b/>
          <w:sz w:val="32"/>
          <w:szCs w:val="28"/>
        </w:rPr>
        <w:t>（资格性响应文件、其他响应文件）</w:t>
      </w:r>
    </w:p>
    <w:p>
      <w:pPr>
        <w:pStyle w:val="2"/>
        <w:spacing w:line="360" w:lineRule="auto"/>
        <w:jc w:val="center"/>
        <w:rPr>
          <w:rFonts w:ascii="新宋体" w:hAnsi="新宋体" w:eastAsia="新宋体" w:cs="新宋体"/>
          <w:bCs w:val="0"/>
          <w:sz w:val="24"/>
          <w:szCs w:val="24"/>
        </w:rPr>
      </w:pPr>
    </w:p>
    <w:p>
      <w:pPr>
        <w:spacing w:line="360" w:lineRule="auto"/>
        <w:jc w:val="center"/>
        <w:rPr>
          <w:rFonts w:ascii="新宋体" w:hAnsi="新宋体" w:eastAsia="新宋体" w:cs="新宋体"/>
          <w:spacing w:val="78"/>
          <w:szCs w:val="24"/>
        </w:rPr>
      </w:pPr>
    </w:p>
    <w:p>
      <w:pPr>
        <w:spacing w:line="360" w:lineRule="auto"/>
        <w:jc w:val="center"/>
        <w:rPr>
          <w:rFonts w:ascii="新宋体" w:hAnsi="新宋体" w:eastAsia="新宋体" w:cs="新宋体"/>
          <w:spacing w:val="78"/>
          <w:szCs w:val="24"/>
        </w:rPr>
      </w:pPr>
    </w:p>
    <w:p>
      <w:pPr>
        <w:spacing w:line="360" w:lineRule="auto"/>
        <w:ind w:firstLine="3472" w:firstLineChars="700"/>
        <w:jc w:val="left"/>
        <w:rPr>
          <w:rFonts w:ascii="新宋体" w:hAnsi="新宋体" w:eastAsia="新宋体" w:cs="新宋体"/>
          <w:spacing w:val="78"/>
          <w:szCs w:val="24"/>
        </w:rPr>
      </w:pPr>
    </w:p>
    <w:p>
      <w:pPr>
        <w:spacing w:line="360" w:lineRule="auto"/>
        <w:ind w:firstLine="2580" w:firstLineChars="500"/>
        <w:jc w:val="left"/>
        <w:rPr>
          <w:rFonts w:hAnsi="宋体" w:cs="宋体"/>
          <w:spacing w:val="78"/>
          <w:sz w:val="36"/>
          <w:szCs w:val="36"/>
          <w:u w:val="single"/>
        </w:rPr>
      </w:pPr>
      <w:r>
        <w:rPr>
          <w:rFonts w:hint="eastAsia" w:hAnsi="宋体" w:cs="宋体"/>
          <w:spacing w:val="78"/>
          <w:sz w:val="36"/>
          <w:szCs w:val="36"/>
        </w:rPr>
        <w:t>项目名称：</w:t>
      </w:r>
      <w:r>
        <w:rPr>
          <w:rFonts w:hint="eastAsia" w:hAnsi="宋体" w:cs="宋体"/>
          <w:spacing w:val="78"/>
          <w:sz w:val="36"/>
          <w:szCs w:val="36"/>
          <w:u w:val="single"/>
        </w:rPr>
        <w:t xml:space="preserve">      </w:t>
      </w:r>
    </w:p>
    <w:p>
      <w:pPr>
        <w:pStyle w:val="2"/>
        <w:rPr>
          <w:rFonts w:ascii="宋体" w:hAnsi="宋体" w:eastAsia="宋体" w:cs="宋体"/>
          <w:sz w:val="36"/>
          <w:szCs w:val="36"/>
        </w:rPr>
      </w:pPr>
      <w:r>
        <w:rPr>
          <w:rFonts w:hint="eastAsia" w:ascii="宋体" w:hAnsi="宋体" w:eastAsia="宋体" w:cs="宋体"/>
          <w:spacing w:val="78"/>
          <w:sz w:val="36"/>
          <w:szCs w:val="36"/>
        </w:rPr>
        <w:t xml:space="preserve">        项目编号</w:t>
      </w:r>
      <w:r>
        <w:rPr>
          <w:rFonts w:hint="eastAsia" w:ascii="宋体" w:hAnsi="宋体" w:eastAsia="宋体" w:cs="宋体"/>
          <w:bCs w:val="0"/>
          <w:spacing w:val="78"/>
          <w:sz w:val="36"/>
          <w:szCs w:val="36"/>
        </w:rPr>
        <w:t>：</w:t>
      </w:r>
      <w:r>
        <w:rPr>
          <w:rFonts w:hint="eastAsia" w:ascii="宋体" w:hAnsi="宋体" w:eastAsia="宋体" w:cs="宋体"/>
          <w:bCs w:val="0"/>
          <w:spacing w:val="78"/>
          <w:sz w:val="36"/>
          <w:szCs w:val="36"/>
          <w:u w:val="single"/>
        </w:rPr>
        <w:t xml:space="preserve">         </w:t>
      </w:r>
      <w:r>
        <w:rPr>
          <w:rFonts w:hint="eastAsia" w:ascii="宋体" w:hAnsi="宋体" w:eastAsia="宋体" w:cs="宋体"/>
          <w:bCs w:val="0"/>
          <w:spacing w:val="78"/>
          <w:sz w:val="36"/>
          <w:szCs w:val="36"/>
        </w:rPr>
        <w:t xml:space="preserve">     </w:t>
      </w:r>
      <w:r>
        <w:rPr>
          <w:rFonts w:hint="eastAsia" w:ascii="宋体" w:hAnsi="宋体" w:eastAsia="宋体" w:cs="宋体"/>
          <w:spacing w:val="78"/>
          <w:sz w:val="36"/>
          <w:szCs w:val="36"/>
        </w:rPr>
        <w:t xml:space="preserve">  </w:t>
      </w:r>
    </w:p>
    <w:p>
      <w:pPr>
        <w:pStyle w:val="2"/>
        <w:spacing w:line="360" w:lineRule="auto"/>
        <w:jc w:val="center"/>
        <w:rPr>
          <w:rFonts w:ascii="宋体" w:hAnsi="宋体" w:eastAsia="宋体" w:cs="宋体"/>
          <w:bCs w:val="0"/>
          <w:sz w:val="36"/>
          <w:szCs w:val="36"/>
        </w:rPr>
      </w:pPr>
    </w:p>
    <w:p>
      <w:pPr>
        <w:pStyle w:val="2"/>
        <w:spacing w:line="360" w:lineRule="auto"/>
        <w:rPr>
          <w:rFonts w:ascii="宋体" w:hAnsi="宋体" w:eastAsia="宋体" w:cs="宋体"/>
          <w:bCs w:val="0"/>
          <w:sz w:val="36"/>
          <w:szCs w:val="36"/>
        </w:rPr>
      </w:pPr>
    </w:p>
    <w:p>
      <w:pPr>
        <w:pStyle w:val="2"/>
        <w:spacing w:line="360" w:lineRule="auto"/>
        <w:rPr>
          <w:rFonts w:ascii="宋体" w:hAnsi="宋体" w:eastAsia="宋体" w:cs="宋体"/>
          <w:bCs w:val="0"/>
          <w:sz w:val="36"/>
          <w:szCs w:val="36"/>
        </w:rPr>
      </w:pPr>
    </w:p>
    <w:p>
      <w:pPr>
        <w:pStyle w:val="2"/>
        <w:spacing w:line="360" w:lineRule="auto"/>
        <w:jc w:val="center"/>
        <w:rPr>
          <w:rFonts w:ascii="宋体" w:hAnsi="宋体" w:eastAsia="宋体" w:cs="宋体"/>
          <w:bCs w:val="0"/>
          <w:sz w:val="36"/>
          <w:szCs w:val="36"/>
        </w:rPr>
      </w:pPr>
    </w:p>
    <w:p>
      <w:pPr>
        <w:spacing w:line="409" w:lineRule="exact"/>
        <w:jc w:val="center"/>
        <w:rPr>
          <w:rFonts w:hAnsi="宋体" w:cs="宋体"/>
          <w:b/>
          <w:w w:val="98"/>
          <w:sz w:val="36"/>
          <w:szCs w:val="36"/>
        </w:rPr>
      </w:pPr>
      <w:r>
        <w:rPr>
          <w:rFonts w:hint="eastAsia" w:hAnsi="宋体" w:cs="宋体"/>
          <w:b/>
          <w:w w:val="99"/>
          <w:sz w:val="36"/>
          <w:szCs w:val="36"/>
        </w:rPr>
        <w:t>供应商名称：</w:t>
      </w:r>
      <w:r>
        <w:rPr>
          <w:rFonts w:hint="eastAsia" w:hAnsi="宋体" w:cs="宋体"/>
          <w:b/>
          <w:w w:val="99"/>
          <w:sz w:val="36"/>
          <w:szCs w:val="36"/>
          <w:u w:val="single"/>
        </w:rPr>
        <w:t xml:space="preserve">        </w:t>
      </w:r>
    </w:p>
    <w:p>
      <w:pPr>
        <w:pStyle w:val="49"/>
        <w:rPr>
          <w:rFonts w:ascii="宋体" w:hAnsi="宋体" w:cs="宋体"/>
          <w:color w:val="auto"/>
          <w:sz w:val="36"/>
          <w:szCs w:val="36"/>
        </w:rPr>
      </w:pPr>
    </w:p>
    <w:p>
      <w:pPr>
        <w:spacing w:line="0" w:lineRule="atLeast"/>
        <w:ind w:firstLine="2502" w:firstLineChars="700"/>
        <w:rPr>
          <w:rFonts w:hAnsi="宋体" w:cs="宋体"/>
          <w:b/>
          <w:sz w:val="36"/>
          <w:szCs w:val="36"/>
        </w:rPr>
      </w:pPr>
      <w:r>
        <w:rPr>
          <w:rFonts w:hint="eastAsia" w:hAnsi="宋体" w:cs="宋体"/>
          <w:b/>
          <w:w w:val="99"/>
          <w:sz w:val="36"/>
          <w:szCs w:val="36"/>
        </w:rPr>
        <w:t xml:space="preserve">日期：   </w:t>
      </w:r>
      <w:r>
        <w:rPr>
          <w:rFonts w:hint="eastAsia" w:hAnsi="宋体" w:cs="宋体"/>
          <w:b/>
          <w:w w:val="94"/>
          <w:sz w:val="36"/>
          <w:szCs w:val="36"/>
        </w:rPr>
        <w:t xml:space="preserve">年  月  </w:t>
      </w:r>
      <w:r>
        <w:rPr>
          <w:rFonts w:hint="eastAsia" w:hAnsi="宋体" w:cs="宋体"/>
          <w:b/>
          <w:sz w:val="36"/>
          <w:szCs w:val="36"/>
        </w:rPr>
        <w:t>日</w:t>
      </w:r>
    </w:p>
    <w:p>
      <w:pPr>
        <w:widowControl/>
        <w:spacing w:line="360" w:lineRule="atLeast"/>
        <w:outlineLvl w:val="1"/>
        <w:rPr>
          <w:rFonts w:ascii="楷体_GB2312" w:hAnsi="楷体_GB2312" w:eastAsia="楷体_GB2312" w:cs="楷体_GB2312"/>
        </w:rPr>
      </w:pPr>
    </w:p>
    <w:p>
      <w:pPr>
        <w:spacing w:before="47" w:line="314" w:lineRule="exact"/>
        <w:ind w:left="3"/>
        <w:outlineLvl w:val="2"/>
        <w:rPr>
          <w:rFonts w:hAnsi="宋体" w:cs="宋体"/>
          <w:spacing w:val="11"/>
          <w:position w:val="1"/>
          <w:sz w:val="23"/>
          <w:szCs w:val="23"/>
        </w:rPr>
      </w:pPr>
    </w:p>
    <w:p>
      <w:pPr>
        <w:spacing w:line="246" w:lineRule="auto"/>
        <w:rPr>
          <w:rFonts w:hAnsi="宋体" w:cs="宋体"/>
          <w:b/>
          <w:color w:val="000000"/>
          <w:sz w:val="30"/>
          <w:szCs w:val="30"/>
        </w:rPr>
      </w:pPr>
    </w:p>
    <w:p>
      <w:pPr>
        <w:spacing w:line="246" w:lineRule="auto"/>
        <w:rPr>
          <w:rFonts w:hint="eastAsia" w:hAnsi="宋体" w:eastAsia="宋体" w:cs="宋体"/>
          <w:b/>
          <w:color w:val="000000"/>
          <w:sz w:val="30"/>
          <w:szCs w:val="30"/>
          <w:lang w:eastAsia="zh-CN"/>
        </w:rPr>
      </w:pPr>
    </w:p>
    <w:p>
      <w:pPr>
        <w:pStyle w:val="2"/>
        <w:rPr>
          <w:rFonts w:hint="eastAsia" w:hAnsi="宋体" w:eastAsia="宋体" w:cs="宋体"/>
          <w:b/>
          <w:color w:val="000000"/>
          <w:sz w:val="30"/>
          <w:szCs w:val="30"/>
          <w:lang w:eastAsia="zh-CN"/>
        </w:rPr>
      </w:pPr>
    </w:p>
    <w:p>
      <w:pPr>
        <w:rPr>
          <w:rFonts w:hint="eastAsia"/>
          <w:lang w:eastAsia="zh-CN"/>
        </w:rPr>
      </w:pPr>
    </w:p>
    <w:p>
      <w:pPr>
        <w:spacing w:line="246" w:lineRule="auto"/>
        <w:rPr>
          <w:rFonts w:ascii="Arial"/>
          <w:sz w:val="21"/>
        </w:rPr>
      </w:pPr>
      <w:r>
        <w:rPr>
          <w:rFonts w:hint="eastAsia" w:hAnsi="宋体" w:cs="宋体"/>
          <w:b/>
          <w:color w:val="000000"/>
          <w:sz w:val="30"/>
          <w:szCs w:val="30"/>
        </w:rPr>
        <w:t>密封袋格式：</w:t>
      </w:r>
    </w:p>
    <w:p>
      <w:pPr>
        <w:spacing w:before="91" w:line="624" w:lineRule="exact"/>
        <w:ind w:left="5"/>
        <w:jc w:val="center"/>
        <w:rPr>
          <w:rFonts w:hAnsi="宋体" w:cs="宋体"/>
          <w:sz w:val="28"/>
          <w:szCs w:val="28"/>
        </w:rPr>
      </w:pPr>
      <w:r>
        <w:rPr>
          <w:rFonts w:hAnsi="宋体" w:cs="宋体"/>
          <w:spacing w:val="-4"/>
          <w:position w:val="26"/>
          <w:sz w:val="28"/>
          <w:szCs w:val="28"/>
        </w:rPr>
        <w:t>项</w:t>
      </w:r>
      <w:r>
        <w:rPr>
          <w:rFonts w:hAnsi="宋体" w:cs="宋体"/>
          <w:spacing w:val="-3"/>
          <w:position w:val="26"/>
          <w:sz w:val="28"/>
          <w:szCs w:val="28"/>
        </w:rPr>
        <w:t>目</w:t>
      </w:r>
      <w:r>
        <w:rPr>
          <w:rFonts w:hAnsi="宋体" w:cs="宋体"/>
          <w:spacing w:val="-2"/>
          <w:position w:val="26"/>
          <w:sz w:val="28"/>
          <w:szCs w:val="28"/>
        </w:rPr>
        <w:t>名称：</w:t>
      </w:r>
    </w:p>
    <w:p>
      <w:pPr>
        <w:spacing w:before="1" w:line="219" w:lineRule="auto"/>
        <w:ind w:left="5"/>
        <w:jc w:val="center"/>
        <w:rPr>
          <w:rFonts w:hAnsi="宋体" w:cs="宋体"/>
          <w:sz w:val="28"/>
          <w:szCs w:val="28"/>
        </w:rPr>
      </w:pPr>
      <w:r>
        <w:rPr>
          <w:rFonts w:hAnsi="宋体" w:cs="宋体"/>
          <w:spacing w:val="-4"/>
          <w:sz w:val="28"/>
          <w:szCs w:val="28"/>
        </w:rPr>
        <w:t>项</w:t>
      </w:r>
      <w:r>
        <w:rPr>
          <w:rFonts w:hAnsi="宋体" w:cs="宋体"/>
          <w:spacing w:val="-3"/>
          <w:sz w:val="28"/>
          <w:szCs w:val="28"/>
        </w:rPr>
        <w:t>目</w:t>
      </w:r>
      <w:r>
        <w:rPr>
          <w:rFonts w:hAnsi="宋体" w:cs="宋体"/>
          <w:spacing w:val="-2"/>
          <w:sz w:val="28"/>
          <w:szCs w:val="28"/>
        </w:rPr>
        <w:t>编号：</w:t>
      </w:r>
    </w:p>
    <w:p>
      <w:pPr>
        <w:spacing w:line="253" w:lineRule="auto"/>
        <w:jc w:val="center"/>
        <w:rPr>
          <w:rFonts w:ascii="Arial"/>
          <w:sz w:val="21"/>
        </w:rPr>
      </w:pPr>
    </w:p>
    <w:p>
      <w:pPr>
        <w:spacing w:line="254" w:lineRule="auto"/>
        <w:jc w:val="center"/>
        <w:rPr>
          <w:rFonts w:ascii="Arial"/>
          <w:sz w:val="21"/>
        </w:rPr>
      </w:pPr>
    </w:p>
    <w:p>
      <w:pPr>
        <w:spacing w:line="254" w:lineRule="auto"/>
        <w:jc w:val="center"/>
        <w:rPr>
          <w:rFonts w:ascii="Arial"/>
          <w:sz w:val="21"/>
        </w:rPr>
      </w:pPr>
    </w:p>
    <w:p>
      <w:pPr>
        <w:spacing w:line="254" w:lineRule="auto"/>
        <w:jc w:val="center"/>
        <w:rPr>
          <w:rFonts w:ascii="Arial"/>
          <w:sz w:val="21"/>
        </w:rPr>
      </w:pPr>
    </w:p>
    <w:p>
      <w:pPr>
        <w:spacing w:line="254" w:lineRule="auto"/>
        <w:jc w:val="center"/>
        <w:rPr>
          <w:rFonts w:ascii="Arial"/>
          <w:sz w:val="21"/>
        </w:rPr>
      </w:pPr>
    </w:p>
    <w:p>
      <w:pPr>
        <w:spacing w:line="254" w:lineRule="auto"/>
        <w:jc w:val="center"/>
        <w:rPr>
          <w:rFonts w:ascii="Arial"/>
          <w:sz w:val="21"/>
        </w:rPr>
      </w:pPr>
    </w:p>
    <w:p>
      <w:pPr>
        <w:spacing w:line="254" w:lineRule="auto"/>
        <w:jc w:val="center"/>
        <w:rPr>
          <w:rFonts w:ascii="Arial"/>
          <w:sz w:val="21"/>
        </w:rPr>
      </w:pPr>
    </w:p>
    <w:p>
      <w:pPr>
        <w:snapToGrid w:val="0"/>
        <w:jc w:val="center"/>
        <w:textAlignment w:val="baseline"/>
        <w:rPr>
          <w:rFonts w:ascii="黑体" w:hAnsi="黑体" w:eastAsia="黑体"/>
          <w:spacing w:val="78"/>
          <w:sz w:val="72"/>
          <w:szCs w:val="84"/>
        </w:rPr>
      </w:pPr>
      <w:r>
        <w:rPr>
          <w:rFonts w:hint="eastAsia" w:ascii="黑体" w:hAnsi="黑体" w:eastAsia="黑体"/>
          <w:spacing w:val="78"/>
          <w:sz w:val="72"/>
          <w:szCs w:val="84"/>
        </w:rPr>
        <w:t>响应文件</w:t>
      </w:r>
    </w:p>
    <w:p>
      <w:pPr>
        <w:tabs>
          <w:tab w:val="left" w:pos="3900"/>
        </w:tabs>
        <w:snapToGrid w:val="0"/>
        <w:jc w:val="center"/>
        <w:textAlignment w:val="baseline"/>
        <w:rPr>
          <w:rFonts w:ascii="楷体_GB2312" w:hAnsi="宋体" w:eastAsia="楷体_GB2312" w:cs="新宋体"/>
          <w:b/>
          <w:bCs/>
          <w:sz w:val="144"/>
          <w:szCs w:val="120"/>
        </w:rPr>
      </w:pPr>
      <w:r>
        <w:rPr>
          <w:rFonts w:hint="eastAsia" w:ascii="楷体_GB2312" w:hAnsi="宋体" w:eastAsia="楷体_GB2312"/>
          <w:b/>
          <w:sz w:val="32"/>
          <w:szCs w:val="28"/>
        </w:rPr>
        <w:t>（资格性响应文件、其他响应文件）</w:t>
      </w: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480" w:lineRule="auto"/>
        <w:ind w:firstLine="1932" w:firstLineChars="700"/>
        <w:rPr>
          <w:rFonts w:hAnsi="宋体" w:cs="宋体"/>
          <w:sz w:val="28"/>
          <w:szCs w:val="28"/>
        </w:rPr>
      </w:pPr>
      <w:r>
        <w:rPr>
          <w:rFonts w:hAnsi="宋体" w:cs="宋体"/>
          <w:spacing w:val="-2"/>
          <w:sz w:val="28"/>
          <w:szCs w:val="28"/>
        </w:rPr>
        <w:t>供</w:t>
      </w:r>
      <w:r>
        <w:rPr>
          <w:rFonts w:hAnsi="宋体" w:cs="宋体"/>
          <w:spacing w:val="-1"/>
          <w:sz w:val="28"/>
          <w:szCs w:val="28"/>
        </w:rPr>
        <w:t>应商名称：</w:t>
      </w:r>
      <w:r>
        <w:rPr>
          <w:rFonts w:hint="eastAsia" w:hAnsi="宋体" w:cs="宋体"/>
          <w:spacing w:val="-1"/>
          <w:sz w:val="28"/>
          <w:szCs w:val="28"/>
        </w:rPr>
        <w:t xml:space="preserve">         </w:t>
      </w:r>
      <w:r>
        <w:rPr>
          <w:rFonts w:hint="eastAsia" w:hAnsi="宋体" w:cs="宋体"/>
          <w:sz w:val="28"/>
          <w:szCs w:val="28"/>
          <w:u w:val="single"/>
        </w:rPr>
        <w:t>（盖单位公章）</w:t>
      </w:r>
    </w:p>
    <w:p>
      <w:pPr>
        <w:spacing w:before="1" w:line="220" w:lineRule="auto"/>
        <w:jc w:val="center"/>
        <w:rPr>
          <w:rFonts w:hAnsi="宋体" w:cs="宋体"/>
          <w:spacing w:val="-1"/>
          <w:sz w:val="28"/>
          <w:szCs w:val="28"/>
        </w:rPr>
      </w:pPr>
      <w:r>
        <w:rPr>
          <w:rFonts w:hAnsi="宋体" w:cs="宋体"/>
          <w:spacing w:val="-1"/>
          <w:sz w:val="28"/>
          <w:szCs w:val="28"/>
        </w:rPr>
        <w:t>日期：</w:t>
      </w:r>
    </w:p>
    <w:p>
      <w:pPr>
        <w:pStyle w:val="2"/>
        <w:rPr>
          <w:rFonts w:ascii="宋体" w:hAnsi="宋体" w:eastAsia="宋体" w:cs="宋体"/>
          <w:spacing w:val="-1"/>
          <w:szCs w:val="28"/>
        </w:rPr>
      </w:pPr>
    </w:p>
    <w:p>
      <w:pPr>
        <w:pStyle w:val="29"/>
        <w:ind w:firstLine="278"/>
        <w:rPr>
          <w:rFonts w:ascii="宋体" w:hAnsi="宋体" w:eastAsia="宋体" w:cs="宋体"/>
          <w:spacing w:val="-1"/>
          <w:szCs w:val="28"/>
        </w:rPr>
      </w:pPr>
    </w:p>
    <w:p/>
    <w:p>
      <w:pPr>
        <w:sectPr>
          <w:footerReference r:id="rId11" w:type="default"/>
          <w:pgSz w:w="11906" w:h="16839"/>
          <w:pgMar w:top="1138" w:right="1785" w:bottom="919" w:left="1089" w:header="0" w:footer="673" w:gutter="0"/>
          <w:pgNumType w:start="1"/>
          <w:cols w:space="720" w:num="1"/>
        </w:sectPr>
      </w:pPr>
      <w:r>
        <w:rPr>
          <w:rFonts w:hint="eastAsia"/>
        </w:rPr>
        <w:t xml:space="preserve">   </w:t>
      </w:r>
    </w:p>
    <w:bookmarkEnd w:id="113"/>
    <w:bookmarkEnd w:id="114"/>
    <w:p>
      <w:pPr>
        <w:spacing w:before="168" w:line="225" w:lineRule="auto"/>
        <w:ind w:left="34"/>
        <w:jc w:val="center"/>
        <w:rPr>
          <w:rFonts w:hAnsi="宋体" w:cs="宋体"/>
          <w:sz w:val="31"/>
          <w:szCs w:val="31"/>
        </w:rPr>
      </w:pPr>
      <w:bookmarkStart w:id="117" w:name="_Toc308164824"/>
      <w:r>
        <w:rPr>
          <w:rFonts w:hAnsi="宋体" w:cs="宋体"/>
          <w:spacing w:val="16"/>
          <w:sz w:val="31"/>
          <w:szCs w:val="31"/>
        </w:rPr>
        <w:t>第</w:t>
      </w:r>
      <w:r>
        <w:rPr>
          <w:rFonts w:hAnsi="宋体" w:cs="宋体"/>
          <w:spacing w:val="12"/>
          <w:sz w:val="31"/>
          <w:szCs w:val="31"/>
        </w:rPr>
        <w:t>一</w:t>
      </w:r>
      <w:r>
        <w:rPr>
          <w:rFonts w:hAnsi="宋体" w:cs="宋体"/>
          <w:spacing w:val="8"/>
          <w:sz w:val="31"/>
          <w:szCs w:val="31"/>
        </w:rPr>
        <w:t>部分 资格性响应文件 (格式)</w:t>
      </w:r>
    </w:p>
    <w:p>
      <w:pPr>
        <w:spacing w:line="480" w:lineRule="exact"/>
        <w:rPr>
          <w:rFonts w:hAnsi="宋体" w:cs="宋体"/>
          <w:b/>
          <w:sz w:val="24"/>
          <w:szCs w:val="24"/>
        </w:rPr>
      </w:pPr>
    </w:p>
    <w:p>
      <w:pPr>
        <w:spacing w:line="480" w:lineRule="exact"/>
        <w:rPr>
          <w:rFonts w:ascii="黑体" w:hAnsi="黑体" w:eastAsia="黑体"/>
          <w:b/>
          <w:bCs/>
          <w:sz w:val="32"/>
          <w:szCs w:val="32"/>
        </w:rPr>
      </w:pPr>
      <w:r>
        <w:rPr>
          <w:rFonts w:hint="eastAsia" w:hAnsi="宋体" w:cs="宋体"/>
          <w:b/>
          <w:sz w:val="24"/>
          <w:szCs w:val="24"/>
        </w:rPr>
        <w:t>附件1：</w:t>
      </w:r>
      <w:r>
        <w:rPr>
          <w:rFonts w:hint="eastAsia" w:ascii="黑体" w:hAnsi="黑体" w:eastAsia="黑体"/>
          <w:b/>
          <w:sz w:val="28"/>
          <w:szCs w:val="28"/>
        </w:rPr>
        <w:t xml:space="preserve">             </w:t>
      </w:r>
      <w:r>
        <w:rPr>
          <w:rFonts w:hint="eastAsia" w:ascii="黑体" w:hAnsi="黑体" w:eastAsia="黑体"/>
          <w:b/>
          <w:bCs/>
          <w:sz w:val="32"/>
          <w:szCs w:val="32"/>
        </w:rPr>
        <w:t>法定代表人身份证明书</w:t>
      </w:r>
    </w:p>
    <w:p>
      <w:pPr>
        <w:pStyle w:val="2"/>
        <w:rPr>
          <w:sz w:val="24"/>
        </w:rPr>
      </w:pPr>
    </w:p>
    <w:p>
      <w:pPr>
        <w:spacing w:line="360" w:lineRule="auto"/>
        <w:ind w:firstLine="492" w:firstLineChars="200"/>
        <w:rPr>
          <w:rFonts w:hAnsi="宋体" w:cs="宋体"/>
          <w:spacing w:val="8"/>
          <w:sz w:val="23"/>
          <w:szCs w:val="23"/>
        </w:rPr>
      </w:pP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供应商名称：________________</w:t>
      </w: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单位性质：__________________</w:t>
      </w: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地址：______________________</w:t>
      </w: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成立时间：_____年____月_____日</w:t>
      </w: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经营期限：__________</w:t>
      </w:r>
    </w:p>
    <w:p>
      <w:pPr>
        <w:adjustRightInd w:val="0"/>
        <w:snapToGrid w:val="0"/>
        <w:spacing w:line="360" w:lineRule="auto"/>
        <w:ind w:firstLine="560" w:firstLineChars="200"/>
        <w:jc w:val="left"/>
        <w:rPr>
          <w:rFonts w:hAnsi="宋体" w:cs="宋体"/>
          <w:color w:val="000000"/>
          <w:sz w:val="28"/>
          <w:szCs w:val="28"/>
        </w:rPr>
      </w:pP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姓名：_______系_______（供应商名称）的法定代表人。</w:t>
      </w:r>
    </w:p>
    <w:p>
      <w:pPr>
        <w:adjustRightInd w:val="0"/>
        <w:snapToGrid w:val="0"/>
        <w:spacing w:line="360" w:lineRule="auto"/>
        <w:ind w:firstLine="560" w:firstLineChars="200"/>
        <w:jc w:val="left"/>
        <w:rPr>
          <w:rFonts w:hAnsi="宋体" w:cs="宋体"/>
          <w:color w:val="000000"/>
          <w:sz w:val="28"/>
          <w:szCs w:val="28"/>
        </w:rPr>
      </w:pP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特此证明。</w:t>
      </w:r>
    </w:p>
    <w:p>
      <w:pPr>
        <w:adjustRightInd w:val="0"/>
        <w:snapToGrid w:val="0"/>
        <w:spacing w:line="360" w:lineRule="auto"/>
        <w:ind w:firstLine="560" w:firstLineChars="200"/>
        <w:jc w:val="left"/>
        <w:rPr>
          <w:rFonts w:hAnsi="宋体" w:cs="宋体"/>
          <w:color w:val="000000"/>
          <w:sz w:val="28"/>
          <w:szCs w:val="28"/>
        </w:rPr>
      </w:pPr>
    </w:p>
    <w:p>
      <w:pPr>
        <w:adjustRightInd w:val="0"/>
        <w:snapToGrid w:val="0"/>
        <w:spacing w:line="360" w:lineRule="auto"/>
        <w:ind w:firstLine="560" w:firstLineChars="200"/>
        <w:jc w:val="left"/>
        <w:rPr>
          <w:rFonts w:hAnsi="宋体" w:cs="宋体"/>
          <w:color w:val="000000"/>
          <w:sz w:val="28"/>
          <w:szCs w:val="28"/>
        </w:rPr>
      </w:pPr>
      <w:r>
        <w:rPr>
          <w:rFonts w:hint="eastAsia" w:hAnsi="宋体" w:cs="宋体"/>
          <w:color w:val="000000"/>
          <w:sz w:val="28"/>
          <w:szCs w:val="28"/>
        </w:rPr>
        <w:t>附：法定代表人身份证复印件</w:t>
      </w: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5" w:line="227" w:lineRule="auto"/>
        <w:ind w:left="9"/>
        <w:jc w:val="center"/>
        <w:rPr>
          <w:rFonts w:hAnsi="宋体" w:cs="宋体"/>
          <w:sz w:val="23"/>
          <w:szCs w:val="23"/>
        </w:rPr>
      </w:pPr>
      <w:r>
        <w:rPr>
          <w:rFonts w:hAnsi="宋体" w:cs="宋体"/>
          <w:spacing w:val="-4"/>
          <w:sz w:val="23"/>
          <w:szCs w:val="23"/>
        </w:rPr>
        <w:t>供应商名</w:t>
      </w:r>
      <w:r>
        <w:rPr>
          <w:rFonts w:hAnsi="宋体" w:cs="宋体"/>
          <w:spacing w:val="-3"/>
          <w:sz w:val="23"/>
          <w:szCs w:val="23"/>
        </w:rPr>
        <w:t>称</w:t>
      </w:r>
      <w:r>
        <w:rPr>
          <w:rFonts w:hAnsi="宋体" w:cs="宋体"/>
          <w:spacing w:val="-2"/>
          <w:sz w:val="23"/>
          <w:szCs w:val="23"/>
        </w:rPr>
        <w:t>：</w:t>
      </w:r>
      <w:r>
        <w:rPr>
          <w:rFonts w:hAnsi="宋体" w:cs="宋体"/>
          <w:spacing w:val="-2"/>
          <w:sz w:val="23"/>
          <w:szCs w:val="23"/>
          <w:u w:val="single"/>
        </w:rPr>
        <w:t xml:space="preserve">                </w:t>
      </w:r>
      <w:r>
        <w:rPr>
          <w:rFonts w:hAnsi="宋体" w:cs="宋体"/>
          <w:spacing w:val="-2"/>
          <w:sz w:val="23"/>
          <w:szCs w:val="23"/>
        </w:rPr>
        <w:t>(盖章)</w:t>
      </w:r>
    </w:p>
    <w:p>
      <w:pPr>
        <w:spacing w:line="228" w:lineRule="auto"/>
        <w:ind w:left="8"/>
        <w:jc w:val="center"/>
        <w:rPr>
          <w:rFonts w:hAnsi="宋体" w:cs="宋体"/>
          <w:spacing w:val="6"/>
          <w:sz w:val="23"/>
          <w:szCs w:val="23"/>
        </w:rPr>
      </w:pPr>
    </w:p>
    <w:p>
      <w:pPr>
        <w:spacing w:line="228" w:lineRule="auto"/>
        <w:ind w:left="8"/>
        <w:jc w:val="center"/>
        <w:rPr>
          <w:rFonts w:hAnsi="宋体" w:cs="宋体"/>
          <w:sz w:val="23"/>
          <w:szCs w:val="23"/>
        </w:rPr>
      </w:pPr>
      <w:r>
        <w:rPr>
          <w:rFonts w:hAnsi="宋体" w:cs="宋体"/>
          <w:spacing w:val="6"/>
          <w:sz w:val="23"/>
          <w:szCs w:val="23"/>
        </w:rPr>
        <w:t>日期：</w:t>
      </w:r>
    </w:p>
    <w:p>
      <w:pPr>
        <w:spacing w:line="250" w:lineRule="auto"/>
        <w:rPr>
          <w:rFonts w:ascii="Arial"/>
          <w:sz w:val="21"/>
        </w:rPr>
      </w:pPr>
    </w:p>
    <w:p>
      <w:pPr>
        <w:widowControl/>
        <w:spacing w:line="360" w:lineRule="atLeast"/>
        <w:jc w:val="left"/>
        <w:outlineLvl w:val="1"/>
        <w:rPr>
          <w:bCs/>
          <w:sz w:val="24"/>
        </w:rPr>
      </w:pPr>
    </w:p>
    <w:p>
      <w:pPr>
        <w:widowControl/>
        <w:spacing w:line="360" w:lineRule="atLeast"/>
        <w:ind w:firstLine="472" w:firstLineChars="196"/>
        <w:jc w:val="left"/>
        <w:outlineLvl w:val="1"/>
        <w:rPr>
          <w:b/>
          <w:sz w:val="24"/>
        </w:rPr>
      </w:pPr>
    </w:p>
    <w:p>
      <w:pPr>
        <w:widowControl/>
        <w:spacing w:line="360" w:lineRule="atLeast"/>
        <w:jc w:val="center"/>
        <w:outlineLvl w:val="1"/>
        <w:rPr>
          <w:b/>
          <w:sz w:val="24"/>
        </w:rPr>
      </w:pPr>
    </w:p>
    <w:p>
      <w:pPr>
        <w:widowControl/>
        <w:spacing w:line="360" w:lineRule="atLeast"/>
        <w:outlineLvl w:val="1"/>
        <w:rPr>
          <w:b/>
          <w:sz w:val="24"/>
        </w:rPr>
      </w:pPr>
    </w:p>
    <w:p>
      <w:pPr>
        <w:pStyle w:val="2"/>
      </w:pPr>
    </w:p>
    <w:p>
      <w:pPr>
        <w:widowControl/>
        <w:spacing w:line="360" w:lineRule="atLeast"/>
        <w:jc w:val="center"/>
        <w:outlineLvl w:val="1"/>
        <w:rPr>
          <w:b/>
          <w:sz w:val="24"/>
        </w:rPr>
      </w:pPr>
    </w:p>
    <w:p>
      <w:pPr>
        <w:pStyle w:val="2"/>
        <w:rPr>
          <w:b/>
          <w:sz w:val="24"/>
        </w:rPr>
      </w:pPr>
    </w:p>
    <w:p>
      <w:pPr>
        <w:widowControl/>
        <w:spacing w:line="360" w:lineRule="atLeast"/>
        <w:outlineLvl w:val="1"/>
        <w:rPr>
          <w:rFonts w:ascii="黑体" w:eastAsia="黑体"/>
          <w:b/>
          <w:sz w:val="32"/>
          <w:szCs w:val="32"/>
        </w:rPr>
      </w:pPr>
      <w:r>
        <w:rPr>
          <w:rFonts w:hint="eastAsia" w:hAnsi="宋体" w:cs="宋体"/>
          <w:b/>
          <w:sz w:val="24"/>
          <w:szCs w:val="24"/>
        </w:rPr>
        <w:t>附件2：</w:t>
      </w:r>
      <w:r>
        <w:rPr>
          <w:rFonts w:hint="eastAsia" w:ascii="黑体" w:eastAsia="黑体"/>
          <w:b/>
          <w:sz w:val="32"/>
          <w:szCs w:val="32"/>
        </w:rPr>
        <w:t xml:space="preserve">          法定代表人授权委托书</w:t>
      </w:r>
    </w:p>
    <w:p>
      <w:pPr>
        <w:widowControl/>
        <w:spacing w:line="360" w:lineRule="atLeast"/>
        <w:ind w:firstLine="630" w:firstLineChars="196"/>
        <w:jc w:val="left"/>
        <w:outlineLvl w:val="1"/>
        <w:rPr>
          <w:b/>
          <w:sz w:val="32"/>
          <w:szCs w:val="32"/>
        </w:rPr>
      </w:pPr>
    </w:p>
    <w:p>
      <w:pPr>
        <w:widowControl/>
        <w:spacing w:line="360" w:lineRule="atLeast"/>
        <w:ind w:firstLine="472" w:firstLineChars="196"/>
        <w:jc w:val="left"/>
        <w:outlineLvl w:val="1"/>
        <w:rPr>
          <w:b/>
          <w:sz w:val="24"/>
        </w:rPr>
      </w:pPr>
    </w:p>
    <w:p>
      <w:pPr>
        <w:widowControl/>
        <w:spacing w:line="360" w:lineRule="atLeast"/>
        <w:jc w:val="left"/>
        <w:outlineLvl w:val="1"/>
        <w:rPr>
          <w:sz w:val="24"/>
        </w:rPr>
      </w:pPr>
      <w:r>
        <w:rPr>
          <w:rFonts w:hint="eastAsia"/>
          <w:sz w:val="24"/>
        </w:rPr>
        <w:t>广元市自然资源局朝天区分局：</w:t>
      </w:r>
    </w:p>
    <w:p>
      <w:pPr>
        <w:spacing w:before="183" w:line="376" w:lineRule="auto"/>
        <w:ind w:left="10" w:firstLine="480"/>
        <w:rPr>
          <w:rFonts w:hAnsi="宋体" w:cs="宋体"/>
          <w:sz w:val="24"/>
          <w:szCs w:val="24"/>
        </w:rPr>
      </w:pPr>
      <w:r>
        <w:rPr>
          <w:rFonts w:hAnsi="宋体" w:cs="宋体"/>
          <w:spacing w:val="6"/>
          <w:sz w:val="24"/>
          <w:szCs w:val="24"/>
        </w:rPr>
        <w:t>本授</w:t>
      </w:r>
      <w:r>
        <w:rPr>
          <w:rFonts w:hAnsi="宋体" w:cs="宋体"/>
          <w:spacing w:val="3"/>
          <w:sz w:val="24"/>
          <w:szCs w:val="24"/>
        </w:rPr>
        <w:t>权声明：</w:t>
      </w:r>
      <w:r>
        <w:rPr>
          <w:rFonts w:hAnsi="宋体" w:cs="宋体"/>
          <w:spacing w:val="3"/>
          <w:sz w:val="24"/>
          <w:szCs w:val="24"/>
          <w:u w:val="single"/>
        </w:rPr>
        <w:t xml:space="preserve">                </w:t>
      </w:r>
      <w:r>
        <w:rPr>
          <w:rFonts w:hAnsi="宋体" w:cs="宋体"/>
          <w:spacing w:val="3"/>
          <w:sz w:val="24"/>
          <w:szCs w:val="24"/>
        </w:rPr>
        <w:t>(供应商名称)</w:t>
      </w:r>
      <w:r>
        <w:rPr>
          <w:rFonts w:hAnsi="宋体" w:cs="宋体"/>
          <w:spacing w:val="3"/>
          <w:sz w:val="24"/>
          <w:szCs w:val="24"/>
          <w:u w:val="single"/>
        </w:rPr>
        <w:t xml:space="preserve">           </w:t>
      </w:r>
      <w:r>
        <w:rPr>
          <w:rFonts w:hAnsi="宋体" w:cs="宋体"/>
          <w:spacing w:val="3"/>
          <w:sz w:val="24"/>
          <w:szCs w:val="24"/>
        </w:rPr>
        <w:t>(法定代表人/单位负责人姓名、</w:t>
      </w:r>
      <w:r>
        <w:rPr>
          <w:rFonts w:hAnsi="宋体" w:cs="宋体"/>
          <w:sz w:val="24"/>
          <w:szCs w:val="24"/>
        </w:rPr>
        <w:t xml:space="preserve"> </w:t>
      </w:r>
      <w:r>
        <w:rPr>
          <w:rFonts w:hAnsi="宋体" w:cs="宋体"/>
          <w:spacing w:val="10"/>
          <w:sz w:val="24"/>
          <w:szCs w:val="24"/>
        </w:rPr>
        <w:t>职</w:t>
      </w:r>
      <w:r>
        <w:rPr>
          <w:rFonts w:hAnsi="宋体" w:cs="宋体"/>
          <w:spacing w:val="8"/>
          <w:sz w:val="24"/>
          <w:szCs w:val="24"/>
        </w:rPr>
        <w:t>务</w:t>
      </w:r>
      <w:r>
        <w:rPr>
          <w:rFonts w:hAnsi="宋体" w:cs="宋体"/>
          <w:spacing w:val="5"/>
          <w:sz w:val="24"/>
          <w:szCs w:val="24"/>
        </w:rPr>
        <w:t>) 授权</w:t>
      </w:r>
      <w:r>
        <w:rPr>
          <w:rFonts w:hAnsi="宋体" w:cs="宋体"/>
          <w:spacing w:val="5"/>
          <w:sz w:val="24"/>
          <w:szCs w:val="24"/>
          <w:u w:val="single"/>
        </w:rPr>
        <w:t xml:space="preserve">         </w:t>
      </w:r>
      <w:r>
        <w:rPr>
          <w:rFonts w:hAnsi="宋体" w:cs="宋体"/>
          <w:spacing w:val="5"/>
          <w:sz w:val="24"/>
          <w:szCs w:val="24"/>
        </w:rPr>
        <w:t xml:space="preserve"> (被授权人姓名、职务) 为我方 (项目名称)</w:t>
      </w:r>
      <w:r>
        <w:rPr>
          <w:rFonts w:hAnsi="宋体" w:cs="宋体"/>
          <w:spacing w:val="5"/>
          <w:sz w:val="24"/>
          <w:szCs w:val="24"/>
          <w:u w:val="single"/>
        </w:rPr>
        <w:t xml:space="preserve">              </w:t>
      </w:r>
      <w:r>
        <w:rPr>
          <w:rFonts w:hAnsi="宋体" w:cs="宋体"/>
          <w:spacing w:val="5"/>
          <w:sz w:val="24"/>
          <w:szCs w:val="24"/>
        </w:rPr>
        <w:t>(项目编</w:t>
      </w:r>
      <w:r>
        <w:rPr>
          <w:rFonts w:hAnsi="宋体" w:cs="宋体"/>
          <w:sz w:val="24"/>
          <w:szCs w:val="24"/>
        </w:rPr>
        <w:t xml:space="preserve"> </w:t>
      </w:r>
      <w:r>
        <w:rPr>
          <w:rFonts w:hAnsi="宋体" w:cs="宋体"/>
          <w:spacing w:val="7"/>
          <w:sz w:val="24"/>
          <w:szCs w:val="24"/>
        </w:rPr>
        <w:t>号</w:t>
      </w:r>
      <w:r>
        <w:rPr>
          <w:rFonts w:hAnsi="宋体" w:cs="宋体"/>
          <w:spacing w:val="4"/>
          <w:sz w:val="24"/>
          <w:szCs w:val="24"/>
        </w:rPr>
        <w:t>：</w:t>
      </w:r>
      <w:r>
        <w:rPr>
          <w:rFonts w:hAnsi="宋体" w:cs="宋体"/>
          <w:spacing w:val="4"/>
          <w:sz w:val="24"/>
          <w:szCs w:val="24"/>
          <w:u w:val="single"/>
        </w:rPr>
        <w:t xml:space="preserve">         </w:t>
      </w:r>
      <w:r>
        <w:rPr>
          <w:rFonts w:hAnsi="宋体" w:cs="宋体"/>
          <w:spacing w:val="4"/>
          <w:sz w:val="24"/>
          <w:szCs w:val="24"/>
        </w:rPr>
        <w:t xml:space="preserve">) </w:t>
      </w:r>
      <w:r>
        <w:rPr>
          <w:rFonts w:hint="eastAsia" w:hAnsi="宋体" w:cs="宋体"/>
          <w:spacing w:val="4"/>
          <w:sz w:val="24"/>
          <w:szCs w:val="24"/>
        </w:rPr>
        <w:t>磋商</w:t>
      </w:r>
      <w:r>
        <w:rPr>
          <w:rFonts w:hAnsi="宋体" w:cs="宋体"/>
          <w:spacing w:val="4"/>
          <w:sz w:val="24"/>
          <w:szCs w:val="24"/>
        </w:rPr>
        <w:t>采购活动的合法代表，</w:t>
      </w:r>
      <w:r>
        <w:rPr>
          <w:rFonts w:hint="eastAsia" w:hAnsi="宋体" w:cs="宋体"/>
          <w:spacing w:val="4"/>
          <w:sz w:val="24"/>
          <w:szCs w:val="24"/>
        </w:rPr>
        <w:t>以我方名义全权处理该项目有关磋商、报价、签订合同以及执行合同等一切事宜</w:t>
      </w:r>
      <w:r>
        <w:rPr>
          <w:rFonts w:hAnsi="宋体" w:cs="宋体"/>
          <w:spacing w:val="7"/>
          <w:sz w:val="24"/>
          <w:szCs w:val="24"/>
        </w:rPr>
        <w:t>。</w:t>
      </w:r>
    </w:p>
    <w:p>
      <w:pPr>
        <w:spacing w:line="227" w:lineRule="auto"/>
        <w:ind w:left="489"/>
        <w:rPr>
          <w:rFonts w:hAnsi="宋体" w:cs="宋体"/>
          <w:sz w:val="24"/>
          <w:szCs w:val="24"/>
        </w:rPr>
      </w:pPr>
      <w:r>
        <w:rPr>
          <w:rFonts w:hAnsi="宋体" w:cs="宋体"/>
          <w:spacing w:val="6"/>
          <w:sz w:val="24"/>
          <w:szCs w:val="24"/>
        </w:rPr>
        <w:t>特此声明。</w:t>
      </w:r>
    </w:p>
    <w:p>
      <w:pPr>
        <w:spacing w:line="287" w:lineRule="auto"/>
        <w:rPr>
          <w:rFonts w:ascii="Arial"/>
          <w:sz w:val="24"/>
          <w:szCs w:val="24"/>
        </w:rPr>
      </w:pPr>
    </w:p>
    <w:p>
      <w:pPr>
        <w:spacing w:line="287" w:lineRule="auto"/>
        <w:rPr>
          <w:rFonts w:ascii="Arial"/>
          <w:sz w:val="24"/>
          <w:szCs w:val="24"/>
        </w:rPr>
      </w:pPr>
    </w:p>
    <w:p>
      <w:pPr>
        <w:spacing w:line="228" w:lineRule="auto"/>
        <w:ind w:left="8"/>
        <w:rPr>
          <w:rFonts w:hAnsi="宋体" w:cs="宋体"/>
          <w:spacing w:val="6"/>
          <w:sz w:val="24"/>
          <w:szCs w:val="24"/>
        </w:rPr>
      </w:pPr>
      <w:r>
        <w:rPr>
          <w:rFonts w:hint="eastAsia" w:hAnsi="宋体" w:cs="宋体"/>
          <w:spacing w:val="6"/>
          <w:sz w:val="24"/>
          <w:szCs w:val="24"/>
        </w:rPr>
        <w:t xml:space="preserve">供应商（单位公章）： </w:t>
      </w:r>
    </w:p>
    <w:p>
      <w:pPr>
        <w:spacing w:line="228" w:lineRule="auto"/>
        <w:ind w:left="8"/>
        <w:rPr>
          <w:rFonts w:hAnsi="宋体" w:cs="宋体"/>
          <w:spacing w:val="6"/>
          <w:sz w:val="24"/>
          <w:szCs w:val="24"/>
        </w:rPr>
      </w:pPr>
    </w:p>
    <w:p>
      <w:pPr>
        <w:spacing w:line="228" w:lineRule="auto"/>
        <w:ind w:left="8"/>
        <w:rPr>
          <w:rFonts w:hAnsi="宋体" w:cs="宋体"/>
          <w:spacing w:val="6"/>
          <w:sz w:val="24"/>
          <w:szCs w:val="24"/>
        </w:rPr>
      </w:pPr>
      <w:r>
        <w:rPr>
          <w:rFonts w:hint="eastAsia" w:hAnsi="宋体" w:cs="宋体"/>
          <w:spacing w:val="6"/>
          <w:sz w:val="24"/>
          <w:szCs w:val="24"/>
        </w:rPr>
        <w:t>法定代表人（签字或盖章）：</w:t>
      </w:r>
    </w:p>
    <w:p>
      <w:pPr>
        <w:spacing w:line="228" w:lineRule="auto"/>
        <w:ind w:left="8"/>
        <w:rPr>
          <w:rFonts w:hAnsi="宋体" w:cs="宋体"/>
          <w:spacing w:val="6"/>
          <w:sz w:val="24"/>
          <w:szCs w:val="24"/>
        </w:rPr>
      </w:pPr>
    </w:p>
    <w:p>
      <w:pPr>
        <w:spacing w:line="228" w:lineRule="auto"/>
        <w:ind w:left="8"/>
        <w:rPr>
          <w:rFonts w:hAnsi="宋体" w:cs="宋体"/>
          <w:spacing w:val="6"/>
          <w:sz w:val="24"/>
          <w:szCs w:val="24"/>
        </w:rPr>
      </w:pPr>
      <w:r>
        <w:rPr>
          <w:rFonts w:hint="eastAsia" w:hAnsi="宋体" w:cs="宋体"/>
          <w:spacing w:val="6"/>
          <w:sz w:val="24"/>
          <w:szCs w:val="24"/>
        </w:rPr>
        <w:t>授权代表（签字）：</w:t>
      </w:r>
    </w:p>
    <w:p>
      <w:pPr>
        <w:spacing w:line="228" w:lineRule="auto"/>
        <w:ind w:left="8"/>
        <w:rPr>
          <w:rFonts w:hAnsi="宋体" w:cs="宋体"/>
          <w:spacing w:val="6"/>
          <w:sz w:val="24"/>
          <w:szCs w:val="24"/>
        </w:rPr>
      </w:pPr>
    </w:p>
    <w:p>
      <w:pPr>
        <w:spacing w:line="228" w:lineRule="auto"/>
        <w:ind w:left="8"/>
        <w:rPr>
          <w:rFonts w:hAnsi="宋体" w:cs="宋体"/>
          <w:sz w:val="24"/>
          <w:szCs w:val="24"/>
        </w:rPr>
      </w:pPr>
      <w:r>
        <w:rPr>
          <w:rFonts w:hint="eastAsia" w:hAnsi="宋体" w:cs="宋体"/>
          <w:spacing w:val="6"/>
          <w:sz w:val="24"/>
          <w:szCs w:val="24"/>
        </w:rPr>
        <w:t>日期</w:t>
      </w:r>
      <w:r>
        <w:rPr>
          <w:rFonts w:hAnsi="宋体" w:cs="宋体"/>
          <w:spacing w:val="6"/>
          <w:sz w:val="24"/>
          <w:szCs w:val="24"/>
        </w:rPr>
        <w:t>：</w:t>
      </w:r>
    </w:p>
    <w:p>
      <w:pPr>
        <w:widowControl/>
        <w:spacing w:line="360" w:lineRule="atLeast"/>
        <w:ind w:firstLine="470" w:firstLineChars="196"/>
        <w:jc w:val="left"/>
        <w:outlineLvl w:val="1"/>
        <w:rPr>
          <w:sz w:val="24"/>
          <w:szCs w:val="24"/>
        </w:rPr>
      </w:pPr>
    </w:p>
    <w:p>
      <w:pPr>
        <w:widowControl/>
        <w:spacing w:line="360" w:lineRule="atLeast"/>
        <w:ind w:firstLine="470" w:firstLineChars="196"/>
        <w:jc w:val="left"/>
        <w:outlineLvl w:val="1"/>
        <w:rPr>
          <w:sz w:val="24"/>
          <w:szCs w:val="24"/>
        </w:rPr>
      </w:pPr>
    </w:p>
    <w:p>
      <w:pPr>
        <w:widowControl/>
        <w:spacing w:line="360" w:lineRule="atLeast"/>
        <w:jc w:val="left"/>
        <w:outlineLvl w:val="1"/>
        <w:rPr>
          <w:sz w:val="24"/>
        </w:rPr>
      </w:pPr>
      <w:r>
        <w:rPr>
          <w:rFonts w:hint="eastAsia"/>
          <w:sz w:val="24"/>
        </w:rPr>
        <w:t>附:法定代表人和授权代表身份证复印件</w:t>
      </w:r>
    </w:p>
    <w:p>
      <w:pPr>
        <w:pStyle w:val="2"/>
      </w:pPr>
    </w:p>
    <w:p>
      <w:pPr>
        <w:widowControl/>
        <w:spacing w:line="360" w:lineRule="atLeast"/>
        <w:ind w:firstLine="411" w:firstLineChars="196"/>
        <w:jc w:val="left"/>
        <w:outlineLvl w:val="1"/>
        <w:rPr>
          <w:sz w:val="21"/>
          <w:szCs w:val="21"/>
        </w:rPr>
      </w:pPr>
      <w:r>
        <w:rPr>
          <w:rFonts w:hint="eastAsia"/>
          <w:sz w:val="21"/>
          <w:szCs w:val="21"/>
        </w:rPr>
        <w:t>注：1.如法定代表人参加磋商的，响应文件不需要提供法定代表人授权书，但必须提供法定代表人身份证复印件。</w:t>
      </w:r>
    </w:p>
    <w:p>
      <w:pPr>
        <w:widowControl/>
        <w:spacing w:line="360" w:lineRule="atLeast"/>
        <w:ind w:firstLine="411" w:firstLineChars="196"/>
        <w:jc w:val="left"/>
        <w:outlineLvl w:val="1"/>
        <w:rPr>
          <w:sz w:val="24"/>
        </w:rPr>
      </w:pPr>
      <w:r>
        <w:rPr>
          <w:rFonts w:hint="eastAsia"/>
          <w:sz w:val="21"/>
          <w:szCs w:val="21"/>
        </w:rPr>
        <w:t xml:space="preserve">    2.如委托授权代表参加磋商的，响应文件必须提供法定代表人授权书、法定代表人和授权代表的身份证复印件</w:t>
      </w:r>
      <w:r>
        <w:rPr>
          <w:rFonts w:hint="eastAsia"/>
          <w:sz w:val="24"/>
        </w:rPr>
        <w:t>。</w:t>
      </w:r>
    </w:p>
    <w:p>
      <w:pPr>
        <w:rPr>
          <w:rFonts w:hAnsi="宋体" w:cs="宋体"/>
          <w:b/>
          <w:sz w:val="24"/>
          <w:szCs w:val="24"/>
        </w:rPr>
      </w:pPr>
    </w:p>
    <w:p>
      <w:pPr>
        <w:rPr>
          <w:sz w:val="24"/>
        </w:rPr>
      </w:pPr>
    </w:p>
    <w:p>
      <w:pPr>
        <w:pStyle w:val="2"/>
        <w:rPr>
          <w:rFonts w:ascii="宋体"/>
          <w:sz w:val="24"/>
        </w:rPr>
      </w:pPr>
    </w:p>
    <w:p/>
    <w:p>
      <w:pPr>
        <w:pStyle w:val="2"/>
        <w:rPr>
          <w:rFonts w:ascii="宋体"/>
          <w:sz w:val="24"/>
        </w:rPr>
      </w:pPr>
    </w:p>
    <w:p>
      <w:pPr>
        <w:rPr>
          <w:sz w:val="24"/>
        </w:rPr>
      </w:pPr>
    </w:p>
    <w:p>
      <w:pPr>
        <w:pStyle w:val="2"/>
      </w:pPr>
    </w:p>
    <w:p>
      <w:pPr>
        <w:pStyle w:val="2"/>
        <w:rPr>
          <w:rFonts w:ascii="宋体"/>
          <w:sz w:val="24"/>
        </w:rPr>
      </w:pPr>
    </w:p>
    <w:p>
      <w:pPr>
        <w:rPr>
          <w:sz w:val="24"/>
        </w:rPr>
      </w:pPr>
    </w:p>
    <w:p>
      <w:pPr>
        <w:pStyle w:val="2"/>
        <w:rPr>
          <w:rFonts w:ascii="宋体"/>
          <w:sz w:val="24"/>
        </w:rPr>
      </w:pPr>
    </w:p>
    <w:p>
      <w:pPr>
        <w:snapToGrid w:val="0"/>
        <w:spacing w:line="400" w:lineRule="exact"/>
        <w:rPr>
          <w:rFonts w:hAnsi="宋体" w:cs="宋体"/>
          <w:b/>
          <w:sz w:val="28"/>
          <w:szCs w:val="28"/>
        </w:rPr>
      </w:pPr>
      <w:r>
        <w:rPr>
          <w:rFonts w:hint="eastAsia" w:ascii="仿宋" w:hAnsi="仿宋" w:eastAsia="仿宋" w:cs="仿宋"/>
          <w:b/>
          <w:sz w:val="28"/>
          <w:szCs w:val="24"/>
        </w:rPr>
        <w:t>附件3：</w:t>
      </w:r>
      <w:r>
        <w:rPr>
          <w:rFonts w:hint="eastAsia" w:ascii="仿宋" w:hAnsi="仿宋" w:eastAsia="仿宋" w:cs="仿宋"/>
          <w:b/>
          <w:sz w:val="24"/>
        </w:rPr>
        <w:t xml:space="preserve">           </w:t>
      </w:r>
      <w:r>
        <w:rPr>
          <w:rFonts w:hint="eastAsia" w:hAnsi="宋体" w:cs="宋体"/>
          <w:b/>
          <w:sz w:val="36"/>
          <w:szCs w:val="36"/>
        </w:rPr>
        <w:t>具有良好的商业信誉的承诺函</w:t>
      </w:r>
    </w:p>
    <w:p>
      <w:pPr>
        <w:rPr>
          <w:rFonts w:hAnsi="宋体" w:cs="宋体"/>
          <w:sz w:val="28"/>
          <w:szCs w:val="28"/>
        </w:rPr>
      </w:pPr>
    </w:p>
    <w:p>
      <w:pPr>
        <w:spacing w:line="360" w:lineRule="auto"/>
        <w:rPr>
          <w:rFonts w:hAnsi="宋体" w:cs="宋体"/>
          <w:sz w:val="24"/>
          <w:szCs w:val="24"/>
        </w:rPr>
      </w:pPr>
      <w:r>
        <w:rPr>
          <w:rFonts w:hint="eastAsia" w:hAnsi="宋体" w:cs="宋体"/>
          <w:sz w:val="24"/>
          <w:szCs w:val="24"/>
        </w:rPr>
        <w:t>广元市自然资源局朝天区分局：</w:t>
      </w:r>
    </w:p>
    <w:p>
      <w:pPr>
        <w:spacing w:line="360" w:lineRule="auto"/>
        <w:ind w:firstLine="480" w:firstLineChars="200"/>
        <w:rPr>
          <w:rFonts w:hAnsi="宋体" w:cs="宋体"/>
          <w:sz w:val="24"/>
          <w:szCs w:val="24"/>
        </w:rPr>
      </w:pPr>
      <w:r>
        <w:rPr>
          <w:rFonts w:hint="eastAsia" w:hAnsi="宋体" w:cs="宋体"/>
          <w:sz w:val="24"/>
          <w:szCs w:val="24"/>
          <w:u w:val="single"/>
        </w:rPr>
        <w:t xml:space="preserve">             </w:t>
      </w:r>
      <w:r>
        <w:rPr>
          <w:rFonts w:hint="eastAsia" w:hAnsi="宋体" w:cs="宋体"/>
          <w:sz w:val="24"/>
          <w:szCs w:val="24"/>
        </w:rPr>
        <w:t>（供应商名称）郑重承诺：</w:t>
      </w:r>
    </w:p>
    <w:p>
      <w:pPr>
        <w:spacing w:line="360" w:lineRule="auto"/>
        <w:ind w:firstLine="540"/>
        <w:rPr>
          <w:rFonts w:hAnsi="宋体" w:cs="宋体"/>
          <w:sz w:val="24"/>
          <w:szCs w:val="24"/>
        </w:rPr>
      </w:pPr>
      <w:r>
        <w:rPr>
          <w:rFonts w:hint="eastAsia" w:hAnsi="宋体" w:cs="宋体"/>
          <w:sz w:val="24"/>
          <w:szCs w:val="24"/>
          <w:u w:val="single"/>
        </w:rPr>
        <w:t xml:space="preserve">             </w:t>
      </w:r>
      <w:r>
        <w:rPr>
          <w:rFonts w:hint="eastAsia" w:hAnsi="宋体" w:cs="宋体"/>
          <w:sz w:val="24"/>
          <w:szCs w:val="24"/>
        </w:rPr>
        <w:t>（供应商名称）在参加本次采购活动前具有良好的商业信誉。</w:t>
      </w:r>
    </w:p>
    <w:p>
      <w:pPr>
        <w:spacing w:line="360" w:lineRule="auto"/>
        <w:ind w:firstLine="540"/>
        <w:rPr>
          <w:rFonts w:hAnsi="宋体" w:cs="宋体"/>
          <w:sz w:val="24"/>
          <w:szCs w:val="24"/>
        </w:rPr>
      </w:pPr>
      <w:r>
        <w:rPr>
          <w:rFonts w:hint="eastAsia" w:hAnsi="宋体" w:cs="宋体"/>
          <w:sz w:val="24"/>
          <w:szCs w:val="24"/>
        </w:rPr>
        <w:t>本单位（个人）对上述承诺的内容事项真实性负责，如有虚假，由我单位（个人）承担相关法律责任。</w:t>
      </w:r>
    </w:p>
    <w:p>
      <w:pPr>
        <w:spacing w:line="360" w:lineRule="auto"/>
        <w:ind w:firstLine="540"/>
        <w:rPr>
          <w:rFonts w:hAnsi="宋体" w:cs="宋体"/>
          <w:sz w:val="24"/>
          <w:szCs w:val="24"/>
        </w:rPr>
      </w:pPr>
    </w:p>
    <w:p>
      <w:pPr>
        <w:spacing w:line="360" w:lineRule="auto"/>
        <w:ind w:firstLine="540"/>
        <w:rPr>
          <w:rFonts w:hAnsi="宋体" w:cs="宋体"/>
          <w:sz w:val="24"/>
          <w:szCs w:val="24"/>
        </w:rPr>
      </w:pPr>
    </w:p>
    <w:p>
      <w:pPr>
        <w:spacing w:line="360" w:lineRule="auto"/>
        <w:ind w:firstLine="540"/>
        <w:rPr>
          <w:rFonts w:hAnsi="宋体" w:cs="宋体"/>
          <w:sz w:val="24"/>
          <w:szCs w:val="24"/>
        </w:rPr>
      </w:pPr>
    </w:p>
    <w:p>
      <w:pPr>
        <w:spacing w:line="360" w:lineRule="auto"/>
        <w:ind w:firstLine="540"/>
        <w:rPr>
          <w:rFonts w:hAnsi="宋体" w:cs="宋体"/>
          <w:sz w:val="24"/>
          <w:szCs w:val="24"/>
        </w:rPr>
      </w:pPr>
      <w:r>
        <w:rPr>
          <w:rFonts w:hint="eastAsia" w:hAnsi="宋体" w:cs="宋体"/>
          <w:sz w:val="24"/>
          <w:szCs w:val="24"/>
        </w:rPr>
        <w:t>供应商名称：XXXX （单位公章）。</w:t>
      </w:r>
    </w:p>
    <w:p>
      <w:pPr>
        <w:spacing w:line="360" w:lineRule="auto"/>
        <w:ind w:firstLine="540"/>
        <w:rPr>
          <w:rFonts w:hAnsi="宋体" w:cs="宋体"/>
          <w:sz w:val="24"/>
          <w:szCs w:val="24"/>
        </w:rPr>
      </w:pPr>
      <w:r>
        <w:rPr>
          <w:rFonts w:hint="eastAsia" w:hAnsi="宋体" w:cs="宋体"/>
          <w:sz w:val="24"/>
          <w:szCs w:val="24"/>
        </w:rPr>
        <w:t>法定代表人或授权代表（签字或盖章）：XXXX。</w:t>
      </w:r>
    </w:p>
    <w:p>
      <w:pPr>
        <w:spacing w:line="360" w:lineRule="auto"/>
        <w:ind w:firstLine="540"/>
        <w:rPr>
          <w:rFonts w:hAnsi="宋体" w:cs="宋体"/>
          <w:sz w:val="24"/>
          <w:szCs w:val="24"/>
        </w:rPr>
      </w:pPr>
      <w:r>
        <w:rPr>
          <w:rFonts w:hint="eastAsia" w:hAnsi="宋体" w:cs="宋体"/>
          <w:sz w:val="24"/>
          <w:szCs w:val="24"/>
        </w:rPr>
        <w:t xml:space="preserve">日    期：XXXX  </w:t>
      </w:r>
    </w:p>
    <w:p>
      <w:pPr>
        <w:pStyle w:val="2"/>
        <w:rPr>
          <w:rFonts w:ascii="宋体" w:hAnsi="宋体" w:eastAsia="宋体" w:cs="宋体"/>
          <w:b/>
          <w:sz w:val="24"/>
          <w:szCs w:val="24"/>
        </w:rPr>
      </w:pPr>
    </w:p>
    <w:p>
      <w:pPr>
        <w:pStyle w:val="2"/>
        <w:rPr>
          <w:rFonts w:ascii="黑体" w:eastAsia="黑体"/>
          <w:b/>
          <w:sz w:val="32"/>
          <w:szCs w:val="32"/>
        </w:rPr>
      </w:pPr>
    </w:p>
    <w:p>
      <w:pPr>
        <w:pStyle w:val="2"/>
        <w:rPr>
          <w:rFonts w:ascii="黑体" w:eastAsia="黑体"/>
          <w:b/>
          <w:sz w:val="32"/>
          <w:szCs w:val="32"/>
        </w:rPr>
      </w:pPr>
    </w:p>
    <w:p>
      <w:pPr>
        <w:pStyle w:val="2"/>
        <w:rPr>
          <w:rFonts w:ascii="黑体" w:eastAsia="黑体"/>
          <w:b/>
          <w:sz w:val="32"/>
          <w:szCs w:val="32"/>
        </w:rPr>
      </w:pPr>
    </w:p>
    <w:p>
      <w:pPr>
        <w:jc w:val="left"/>
        <w:rPr>
          <w:rFonts w:hAnsi="宋体" w:cs="宋体"/>
          <w:b/>
          <w:sz w:val="24"/>
          <w:szCs w:val="24"/>
        </w:rPr>
      </w:pPr>
    </w:p>
    <w:p>
      <w:pPr>
        <w:jc w:val="left"/>
        <w:rPr>
          <w:rFonts w:hAnsi="宋体" w:cs="宋体"/>
          <w:b/>
          <w:sz w:val="24"/>
          <w:szCs w:val="24"/>
        </w:rPr>
      </w:pPr>
    </w:p>
    <w:p>
      <w:pPr>
        <w:jc w:val="left"/>
        <w:rPr>
          <w:rFonts w:hAnsi="宋体" w:cs="宋体"/>
          <w:b/>
          <w:sz w:val="24"/>
          <w:szCs w:val="24"/>
        </w:rPr>
      </w:pPr>
    </w:p>
    <w:p>
      <w:pPr>
        <w:pStyle w:val="2"/>
      </w:pPr>
    </w:p>
    <w:p>
      <w:pPr>
        <w:jc w:val="center"/>
        <w:rPr>
          <w:rFonts w:hAnsi="宋体" w:cs="宋体"/>
          <w:b/>
          <w:sz w:val="24"/>
          <w:szCs w:val="24"/>
        </w:rPr>
      </w:pPr>
    </w:p>
    <w:p>
      <w:pPr>
        <w:pStyle w:val="29"/>
        <w:ind w:firstLine="241"/>
        <w:rPr>
          <w:rFonts w:hAnsi="宋体" w:cs="宋体"/>
          <w:b/>
          <w:sz w:val="24"/>
          <w:szCs w:val="24"/>
        </w:rPr>
      </w:pPr>
    </w:p>
    <w:p/>
    <w:p>
      <w:pPr>
        <w:pStyle w:val="2"/>
        <w:rPr>
          <w:rFonts w:hAnsi="宋体" w:cs="宋体"/>
          <w:b/>
          <w:sz w:val="24"/>
          <w:szCs w:val="24"/>
        </w:rPr>
      </w:pPr>
    </w:p>
    <w:p>
      <w:pPr>
        <w:pStyle w:val="24"/>
        <w:rPr>
          <w:rFonts w:hAnsi="宋体" w:cs="宋体"/>
          <w:b/>
          <w:sz w:val="24"/>
          <w:szCs w:val="24"/>
        </w:rPr>
      </w:pPr>
    </w:p>
    <w:p>
      <w:pPr>
        <w:rPr>
          <w:rFonts w:hAnsi="宋体" w:cs="宋体"/>
          <w:b/>
          <w:sz w:val="24"/>
          <w:szCs w:val="24"/>
        </w:rPr>
      </w:pPr>
    </w:p>
    <w:p>
      <w:pPr>
        <w:pStyle w:val="2"/>
      </w:pPr>
    </w:p>
    <w:p>
      <w:pPr>
        <w:jc w:val="left"/>
        <w:rPr>
          <w:rFonts w:hAnsi="宋体" w:cs="宋体"/>
          <w:b/>
          <w:sz w:val="24"/>
          <w:szCs w:val="24"/>
        </w:rPr>
      </w:pPr>
    </w:p>
    <w:p>
      <w:pPr>
        <w:widowControl/>
        <w:spacing w:line="360" w:lineRule="atLeast"/>
        <w:outlineLvl w:val="1"/>
        <w:rPr>
          <w:rFonts w:ascii="黑体" w:eastAsia="黑体"/>
          <w:b/>
          <w:sz w:val="32"/>
          <w:szCs w:val="32"/>
        </w:rPr>
      </w:pPr>
      <w:r>
        <w:rPr>
          <w:rFonts w:hint="eastAsia" w:hAnsi="宋体" w:cs="宋体"/>
          <w:b/>
          <w:sz w:val="24"/>
          <w:szCs w:val="24"/>
        </w:rPr>
        <w:t>附件4：</w:t>
      </w:r>
      <w:r>
        <w:rPr>
          <w:rFonts w:hint="eastAsia" w:ascii="黑体" w:eastAsia="黑体"/>
          <w:b/>
          <w:sz w:val="32"/>
          <w:szCs w:val="32"/>
        </w:rPr>
        <w:t xml:space="preserve">  具有履行合同所必需的设备和专业技术能力的承诺函</w:t>
      </w:r>
    </w:p>
    <w:p>
      <w:pPr>
        <w:widowControl/>
        <w:spacing w:line="360" w:lineRule="atLeast"/>
        <w:jc w:val="center"/>
        <w:outlineLvl w:val="1"/>
        <w:rPr>
          <w:b/>
          <w:sz w:val="24"/>
        </w:rPr>
      </w:pPr>
    </w:p>
    <w:p>
      <w:pPr>
        <w:widowControl/>
        <w:spacing w:line="360" w:lineRule="atLeast"/>
        <w:jc w:val="left"/>
        <w:outlineLvl w:val="1"/>
        <w:rPr>
          <w:sz w:val="24"/>
        </w:rPr>
      </w:pPr>
      <w:r>
        <w:rPr>
          <w:rFonts w:hint="eastAsia"/>
          <w:sz w:val="24"/>
        </w:rPr>
        <w:t>广元市自然资源局朝天区分局：</w:t>
      </w:r>
    </w:p>
    <w:p>
      <w:pPr>
        <w:widowControl/>
        <w:spacing w:line="360" w:lineRule="atLeast"/>
        <w:ind w:firstLine="480" w:firstLineChars="200"/>
        <w:jc w:val="left"/>
        <w:outlineLvl w:val="1"/>
        <w:rPr>
          <w:sz w:val="24"/>
        </w:rPr>
      </w:pPr>
      <w:r>
        <w:rPr>
          <w:rFonts w:hint="eastAsia"/>
          <w:sz w:val="24"/>
        </w:rPr>
        <w:t>本公司</w:t>
      </w:r>
      <w:r>
        <w:rPr>
          <w:rFonts w:hint="eastAsia"/>
          <w:sz w:val="24"/>
          <w:u w:val="single"/>
        </w:rPr>
        <w:t xml:space="preserve">                  </w:t>
      </w:r>
      <w:r>
        <w:rPr>
          <w:rFonts w:hint="eastAsia"/>
          <w:sz w:val="24"/>
        </w:rPr>
        <w:t>（公司名称）参加</w:t>
      </w:r>
      <w:r>
        <w:rPr>
          <w:rFonts w:hint="eastAsia"/>
          <w:sz w:val="24"/>
          <w:u w:val="single"/>
        </w:rPr>
        <w:t xml:space="preserve">                </w:t>
      </w:r>
      <w:r>
        <w:rPr>
          <w:rFonts w:hint="eastAsia"/>
          <w:sz w:val="24"/>
        </w:rPr>
        <w:t>（项目名称）的磋商活动，现承诺我公司具有履行合同所必需的设备和专业技术能力。</w:t>
      </w:r>
    </w:p>
    <w:p>
      <w:pPr>
        <w:widowControl/>
        <w:spacing w:line="360" w:lineRule="atLeast"/>
        <w:ind w:firstLine="480" w:firstLineChars="200"/>
        <w:jc w:val="left"/>
        <w:outlineLvl w:val="1"/>
        <w:rPr>
          <w:sz w:val="24"/>
        </w:rPr>
      </w:pPr>
      <w:r>
        <w:rPr>
          <w:rFonts w:hint="eastAsia"/>
          <w:sz w:val="24"/>
        </w:rPr>
        <w:t>如违反以上承诺，本公司愿承担一切法律责任。</w:t>
      </w:r>
    </w:p>
    <w:p>
      <w:pPr>
        <w:widowControl/>
        <w:spacing w:line="360" w:lineRule="atLeast"/>
        <w:jc w:val="left"/>
        <w:outlineLvl w:val="1"/>
        <w:rPr>
          <w:sz w:val="24"/>
        </w:rPr>
      </w:pPr>
      <w:r>
        <w:rPr>
          <w:rFonts w:hint="eastAsia"/>
          <w:sz w:val="24"/>
        </w:rPr>
        <w:t xml:space="preserve">       </w:t>
      </w:r>
    </w:p>
    <w:p>
      <w:pPr>
        <w:widowControl/>
        <w:spacing w:line="360" w:lineRule="atLeast"/>
        <w:ind w:firstLine="470" w:firstLineChars="196"/>
        <w:jc w:val="left"/>
        <w:outlineLvl w:val="1"/>
        <w:rPr>
          <w:sz w:val="24"/>
        </w:rPr>
      </w:pPr>
      <w:r>
        <w:rPr>
          <w:rFonts w:hint="eastAsia"/>
          <w:sz w:val="24"/>
        </w:rPr>
        <w:t>供应商名称：</w:t>
      </w:r>
      <w:r>
        <w:rPr>
          <w:rFonts w:hint="eastAsia" w:hAnsi="宋体" w:cs="宋体"/>
          <w:sz w:val="24"/>
          <w:szCs w:val="24"/>
        </w:rPr>
        <w:t>XXXX</w:t>
      </w:r>
      <w:r>
        <w:rPr>
          <w:rFonts w:hint="eastAsia"/>
          <w:sz w:val="24"/>
        </w:rPr>
        <w:t xml:space="preserve"> （单位公章）。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w:t>
      </w:r>
      <w:r>
        <w:rPr>
          <w:rFonts w:hint="eastAsia" w:hAnsi="宋体" w:cs="宋体"/>
          <w:sz w:val="24"/>
          <w:szCs w:val="24"/>
        </w:rPr>
        <w:t>XXXX</w:t>
      </w:r>
      <w:r>
        <w:rPr>
          <w:rFonts w:hint="eastAsia"/>
          <w:sz w:val="24"/>
        </w:rPr>
        <w:t>。</w:t>
      </w:r>
    </w:p>
    <w:p>
      <w:pPr>
        <w:widowControl/>
        <w:spacing w:line="360" w:lineRule="atLeast"/>
        <w:ind w:firstLine="470" w:firstLineChars="196"/>
        <w:jc w:val="left"/>
        <w:outlineLvl w:val="1"/>
        <w:rPr>
          <w:sz w:val="24"/>
        </w:rPr>
      </w:pPr>
      <w:r>
        <w:rPr>
          <w:rFonts w:hint="eastAsia"/>
          <w:sz w:val="24"/>
        </w:rPr>
        <w:t>日    期：</w:t>
      </w:r>
      <w:r>
        <w:rPr>
          <w:rFonts w:hint="eastAsia" w:hAnsi="宋体" w:cs="宋体"/>
          <w:sz w:val="24"/>
          <w:szCs w:val="24"/>
        </w:rPr>
        <w:t>XXXX</w:t>
      </w:r>
      <w:r>
        <w:rPr>
          <w:rFonts w:hint="eastAsia"/>
          <w:sz w:val="24"/>
        </w:rPr>
        <w:t>。</w:t>
      </w:r>
    </w:p>
    <w:p>
      <w:pPr>
        <w:jc w:val="left"/>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rPr>
          <w:rFonts w:ascii="仿宋" w:hAnsi="仿宋" w:eastAsia="仿宋" w:cs="仿宋"/>
          <w:b/>
          <w:szCs w:val="24"/>
        </w:rPr>
      </w:pPr>
    </w:p>
    <w:p>
      <w:pPr>
        <w:rPr>
          <w:rFonts w:ascii="仿宋" w:hAnsi="仿宋" w:eastAsia="仿宋" w:cs="仿宋"/>
          <w:b/>
          <w:sz w:val="28"/>
          <w:szCs w:val="24"/>
        </w:rPr>
      </w:pPr>
    </w:p>
    <w:p>
      <w:pPr>
        <w:pStyle w:val="2"/>
      </w:pPr>
    </w:p>
    <w:p>
      <w:pPr>
        <w:rPr>
          <w:rFonts w:ascii="仿宋" w:hAnsi="仿宋" w:eastAsia="仿宋" w:cs="仿宋"/>
          <w:b/>
          <w:sz w:val="28"/>
          <w:szCs w:val="24"/>
        </w:rPr>
      </w:pPr>
    </w:p>
    <w:p>
      <w:pPr>
        <w:jc w:val="left"/>
        <w:rPr>
          <w:b/>
          <w:bCs/>
          <w:sz w:val="36"/>
          <w:szCs w:val="44"/>
        </w:rPr>
      </w:pPr>
      <w:r>
        <w:rPr>
          <w:rFonts w:hint="eastAsia" w:ascii="仿宋" w:hAnsi="仿宋" w:eastAsia="仿宋" w:cs="仿宋"/>
          <w:b/>
          <w:sz w:val="28"/>
          <w:szCs w:val="24"/>
        </w:rPr>
        <w:t>附件5：</w:t>
      </w:r>
      <w:r>
        <w:rPr>
          <w:rFonts w:hint="eastAsia" w:ascii="仿宋" w:hAnsi="仿宋" w:eastAsia="仿宋" w:cs="仿宋"/>
          <w:b/>
          <w:sz w:val="24"/>
        </w:rPr>
        <w:t xml:space="preserve">      </w:t>
      </w:r>
      <w:r>
        <w:rPr>
          <w:rFonts w:hint="eastAsia"/>
          <w:b/>
          <w:bCs/>
          <w:sz w:val="36"/>
          <w:szCs w:val="44"/>
        </w:rPr>
        <w:t>供应商参加本次采购活动前三年内，</w:t>
      </w:r>
    </w:p>
    <w:p>
      <w:pPr>
        <w:jc w:val="center"/>
        <w:rPr>
          <w:b/>
          <w:bCs/>
          <w:sz w:val="36"/>
          <w:szCs w:val="44"/>
        </w:rPr>
      </w:pPr>
      <w:r>
        <w:rPr>
          <w:rFonts w:hint="eastAsia"/>
          <w:b/>
          <w:bCs/>
          <w:sz w:val="36"/>
          <w:szCs w:val="44"/>
        </w:rPr>
        <w:t>在经营活动中没有重大违法违规记录的承诺函</w:t>
      </w:r>
    </w:p>
    <w:p>
      <w:pPr>
        <w:pStyle w:val="12"/>
        <w:ind w:firstLine="680"/>
      </w:pPr>
    </w:p>
    <w:p>
      <w:pPr>
        <w:widowControl/>
        <w:shd w:val="clear" w:color="auto" w:fill="FFFFFF"/>
        <w:spacing w:line="480" w:lineRule="exact"/>
        <w:jc w:val="left"/>
        <w:rPr>
          <w:sz w:val="24"/>
        </w:rPr>
      </w:pPr>
      <w:r>
        <w:rPr>
          <w:rFonts w:hint="eastAsia"/>
          <w:sz w:val="24"/>
        </w:rPr>
        <w:t>广元市自然资源局朝天区分局：</w:t>
      </w:r>
    </w:p>
    <w:p>
      <w:pPr>
        <w:widowControl/>
        <w:shd w:val="clear" w:color="auto" w:fill="FFFFFF"/>
        <w:spacing w:line="480" w:lineRule="exact"/>
        <w:ind w:firstLine="480" w:firstLineChars="200"/>
        <w:jc w:val="left"/>
        <w:rPr>
          <w:sz w:val="24"/>
        </w:rPr>
      </w:pPr>
      <w:r>
        <w:rPr>
          <w:rFonts w:hint="eastAsia"/>
          <w:sz w:val="24"/>
        </w:rPr>
        <w:t>本公司作为“</w:t>
      </w:r>
      <w:r>
        <w:rPr>
          <w:rFonts w:hint="eastAsia"/>
          <w:sz w:val="24"/>
          <w:u w:val="single"/>
        </w:rPr>
        <w:t xml:space="preserve">     （项目名称）       </w:t>
      </w:r>
      <w:r>
        <w:rPr>
          <w:rFonts w:hint="eastAsia"/>
          <w:sz w:val="24"/>
        </w:rPr>
        <w:t>”</w:t>
      </w:r>
      <w:r>
        <w:rPr>
          <w:rFonts w:hint="eastAsia"/>
          <w:sz w:val="24"/>
          <w:u w:val="single"/>
        </w:rPr>
        <w:t xml:space="preserve"> 编号：XXXX </w:t>
      </w:r>
      <w:r>
        <w:rPr>
          <w:rFonts w:hint="eastAsia"/>
          <w:sz w:val="24"/>
        </w:rPr>
        <w:t>采购项目的供应商，郑重声明：</w:t>
      </w:r>
    </w:p>
    <w:p>
      <w:pPr>
        <w:spacing w:line="480" w:lineRule="exact"/>
        <w:ind w:firstLine="480" w:firstLineChars="200"/>
        <w:rPr>
          <w:rFonts w:hAnsi="宋体"/>
          <w:sz w:val="24"/>
        </w:rPr>
      </w:pPr>
      <w:r>
        <w:rPr>
          <w:rFonts w:hint="eastAsia" w:hAnsi="宋体"/>
          <w:sz w:val="24"/>
        </w:rPr>
        <w:t>1、在参与本次同一合同项下的采购活动中，不存在与其他供应商的</w:t>
      </w:r>
      <w:r>
        <w:rPr>
          <w:rFonts w:hAnsi="宋体"/>
          <w:sz w:val="24"/>
        </w:rPr>
        <w:t>单位负责人为同一人或者</w:t>
      </w:r>
      <w:r>
        <w:rPr>
          <w:rFonts w:hint="eastAsia" w:hAnsi="宋体"/>
          <w:sz w:val="24"/>
        </w:rPr>
        <w:t>与其他供应商</w:t>
      </w:r>
      <w:r>
        <w:rPr>
          <w:rFonts w:hAnsi="宋体"/>
          <w:sz w:val="24"/>
        </w:rPr>
        <w:t>存在直接控股、管理关系</w:t>
      </w:r>
      <w:r>
        <w:rPr>
          <w:rFonts w:hint="eastAsia" w:hAnsi="宋体"/>
          <w:sz w:val="24"/>
        </w:rPr>
        <w:t>的情形；</w:t>
      </w:r>
    </w:p>
    <w:p>
      <w:pPr>
        <w:widowControl/>
        <w:shd w:val="clear" w:color="auto" w:fill="FFFFFF"/>
        <w:spacing w:line="480" w:lineRule="exact"/>
        <w:ind w:firstLine="480" w:firstLineChars="200"/>
        <w:jc w:val="left"/>
        <w:rPr>
          <w:rFonts w:hAnsi="宋体"/>
          <w:sz w:val="24"/>
        </w:rPr>
      </w:pPr>
      <w:r>
        <w:rPr>
          <w:rFonts w:hint="eastAsia"/>
          <w:sz w:val="24"/>
        </w:rPr>
        <w:t>2、在参加本次采购活动前，未</w:t>
      </w:r>
      <w:r>
        <w:rPr>
          <w:rFonts w:hint="eastAsia" w:hAnsi="宋体"/>
          <w:sz w:val="24"/>
        </w:rPr>
        <w:t>被</w:t>
      </w:r>
      <w:r>
        <w:rPr>
          <w:rFonts w:hAnsi="宋体"/>
          <w:sz w:val="24"/>
        </w:rPr>
        <w:t>纳入法院、工商行政管理部门、税务部门、银行认定的失信名单</w:t>
      </w:r>
      <w:r>
        <w:rPr>
          <w:rFonts w:hint="eastAsia" w:hAnsi="宋体"/>
          <w:sz w:val="24"/>
        </w:rPr>
        <w:t>内；</w:t>
      </w:r>
    </w:p>
    <w:p>
      <w:pPr>
        <w:widowControl/>
        <w:shd w:val="clear" w:color="auto" w:fill="FFFFFF"/>
        <w:spacing w:line="480" w:lineRule="exact"/>
        <w:ind w:firstLine="480" w:firstLineChars="200"/>
        <w:jc w:val="left"/>
        <w:rPr>
          <w:rFonts w:hAnsi="宋体"/>
          <w:sz w:val="24"/>
        </w:rPr>
      </w:pPr>
      <w:r>
        <w:rPr>
          <w:rFonts w:hint="eastAsia" w:hAnsi="宋体"/>
          <w:sz w:val="24"/>
        </w:rPr>
        <w:t>3、</w:t>
      </w:r>
      <w:r>
        <w:rPr>
          <w:rFonts w:hAnsi="宋体"/>
          <w:sz w:val="24"/>
        </w:rPr>
        <w:t>在</w:t>
      </w:r>
      <w:r>
        <w:rPr>
          <w:rFonts w:hint="eastAsia"/>
          <w:sz w:val="24"/>
        </w:rPr>
        <w:t>参加本次采购活动前三年内</w:t>
      </w:r>
      <w:r>
        <w:rPr>
          <w:rFonts w:hint="eastAsia" w:hAnsi="宋体"/>
          <w:sz w:val="24"/>
        </w:rPr>
        <w:t>的采购</w:t>
      </w:r>
      <w:r>
        <w:rPr>
          <w:rFonts w:hAnsi="宋体"/>
          <w:sz w:val="24"/>
        </w:rPr>
        <w:t>合同履约过程中及其他经营活动履约过程中</w:t>
      </w:r>
      <w:r>
        <w:rPr>
          <w:rFonts w:hint="eastAsia" w:hAnsi="宋体"/>
          <w:sz w:val="24"/>
        </w:rPr>
        <w:t>，无</w:t>
      </w:r>
      <w:r>
        <w:rPr>
          <w:rFonts w:hAnsi="宋体"/>
          <w:sz w:val="24"/>
        </w:rPr>
        <w:t>未依法履约被有关部门处罚（处理）</w:t>
      </w:r>
      <w:r>
        <w:rPr>
          <w:rFonts w:hint="eastAsia" w:hAnsi="宋体"/>
          <w:sz w:val="24"/>
        </w:rPr>
        <w:t>的行为；</w:t>
      </w:r>
    </w:p>
    <w:p>
      <w:pPr>
        <w:spacing w:line="480" w:lineRule="exact"/>
        <w:ind w:firstLine="480" w:firstLineChars="200"/>
        <w:rPr>
          <w:rFonts w:hAnsi="宋体"/>
          <w:sz w:val="24"/>
        </w:rPr>
      </w:pPr>
      <w:r>
        <w:rPr>
          <w:rFonts w:hint="eastAsia" w:hAnsi="宋体"/>
          <w:sz w:val="24"/>
        </w:rPr>
        <w:t>4、在参加采购活动前三年内无《四川省政府采购当事人诚信管理办法》第八条之规定的失信行为。</w:t>
      </w:r>
    </w:p>
    <w:p>
      <w:pPr>
        <w:spacing w:line="480" w:lineRule="exact"/>
        <w:ind w:firstLine="480" w:firstLineChars="200"/>
        <w:rPr>
          <w:rFonts w:hAnsi="宋体"/>
          <w:sz w:val="24"/>
        </w:rPr>
      </w:pPr>
      <w:r>
        <w:rPr>
          <w:rFonts w:hint="eastAsia" w:hAnsi="宋体"/>
          <w:sz w:val="24"/>
        </w:rPr>
        <w:t xml:space="preserve"> 5、在参加本次采购活动前三年内，在经营活动中没有重大违法违规记录。</w:t>
      </w:r>
    </w:p>
    <w:p>
      <w:pPr>
        <w:spacing w:line="480" w:lineRule="exact"/>
        <w:ind w:firstLine="480" w:firstLineChars="200"/>
        <w:rPr>
          <w:sz w:val="24"/>
        </w:rPr>
      </w:pPr>
      <w:r>
        <w:rPr>
          <w:rFonts w:hint="eastAsia" w:hAnsi="宋体"/>
          <w:sz w:val="24"/>
        </w:rPr>
        <w:t>本公司对上述声明的真实性负责。如有虚假，将依法承担相应责任。</w:t>
      </w:r>
    </w:p>
    <w:p>
      <w:pPr>
        <w:spacing w:line="480" w:lineRule="exact"/>
        <w:rPr>
          <w:rFonts w:hAnsi="宋体"/>
          <w:sz w:val="28"/>
        </w:rPr>
      </w:pPr>
    </w:p>
    <w:p>
      <w:pPr>
        <w:spacing w:line="480" w:lineRule="exact"/>
        <w:rPr>
          <w:rFonts w:hAnsi="宋体"/>
          <w:sz w:val="28"/>
        </w:rPr>
      </w:pPr>
    </w:p>
    <w:p>
      <w:pPr>
        <w:spacing w:line="480" w:lineRule="exact"/>
        <w:rPr>
          <w:rFonts w:hAnsi="宋体"/>
          <w:sz w:val="28"/>
        </w:rPr>
      </w:pPr>
    </w:p>
    <w:p>
      <w:pPr>
        <w:pStyle w:val="12"/>
        <w:spacing w:line="480" w:lineRule="exact"/>
        <w:ind w:firstLine="480"/>
        <w:rPr>
          <w:sz w:val="24"/>
        </w:rPr>
      </w:pPr>
      <w:r>
        <w:rPr>
          <w:rFonts w:hint="eastAsia"/>
          <w:sz w:val="24"/>
        </w:rPr>
        <w:t>供应商名称：XXXXX（盖章）</w:t>
      </w:r>
    </w:p>
    <w:p>
      <w:pPr>
        <w:pStyle w:val="12"/>
        <w:spacing w:line="480" w:lineRule="exact"/>
        <w:ind w:firstLine="480"/>
        <w:rPr>
          <w:sz w:val="24"/>
        </w:rPr>
      </w:pPr>
      <w:r>
        <w:rPr>
          <w:rFonts w:hint="eastAsia"/>
          <w:sz w:val="24"/>
        </w:rPr>
        <w:t>法定代表人或授权代表（签字或盖章）：XXXX</w:t>
      </w:r>
    </w:p>
    <w:p>
      <w:pPr>
        <w:spacing w:line="480" w:lineRule="exact"/>
        <w:ind w:firstLine="480" w:firstLineChars="200"/>
        <w:rPr>
          <w:rFonts w:hAnsi="宋体"/>
          <w:sz w:val="28"/>
        </w:rPr>
      </w:pPr>
      <w:r>
        <w:rPr>
          <w:rFonts w:hint="eastAsia" w:hAnsi="宋体"/>
          <w:sz w:val="24"/>
        </w:rPr>
        <w:t>日      期：  XXX 年XXX月XXX日</w:t>
      </w:r>
    </w:p>
    <w:p>
      <w:pPr>
        <w:widowControl/>
        <w:spacing w:line="360" w:lineRule="atLeast"/>
        <w:outlineLvl w:val="1"/>
        <w:rPr>
          <w:rFonts w:hAnsi="宋体" w:cs="宋体"/>
          <w:b/>
          <w:sz w:val="24"/>
          <w:szCs w:val="24"/>
        </w:rPr>
      </w:pPr>
    </w:p>
    <w:p>
      <w:pPr>
        <w:widowControl/>
        <w:spacing w:line="360" w:lineRule="atLeast"/>
        <w:jc w:val="center"/>
        <w:outlineLvl w:val="1"/>
        <w:rPr>
          <w:rFonts w:ascii="黑体" w:eastAsia="黑体"/>
          <w:b/>
          <w:sz w:val="32"/>
          <w:szCs w:val="32"/>
        </w:rPr>
      </w:pPr>
    </w:p>
    <w:p>
      <w:pPr>
        <w:pStyle w:val="2"/>
        <w:rPr>
          <w:rFonts w:ascii="宋体"/>
          <w:sz w:val="24"/>
        </w:rPr>
      </w:pPr>
    </w:p>
    <w:p>
      <w:pPr>
        <w:rPr>
          <w:sz w:val="24"/>
        </w:rPr>
      </w:pPr>
    </w:p>
    <w:bookmarkEnd w:id="117"/>
    <w:p>
      <w:pPr>
        <w:widowControl/>
        <w:spacing w:line="360" w:lineRule="atLeast"/>
        <w:outlineLvl w:val="1"/>
        <w:rPr>
          <w:rFonts w:hAnsi="宋体" w:cs="宋体"/>
          <w:b/>
          <w:sz w:val="24"/>
          <w:szCs w:val="24"/>
        </w:rPr>
      </w:pPr>
    </w:p>
    <w:p>
      <w:pPr>
        <w:widowControl/>
        <w:spacing w:line="360" w:lineRule="atLeast"/>
        <w:outlineLvl w:val="1"/>
        <w:rPr>
          <w:rFonts w:hAnsi="宋体" w:cs="宋体"/>
          <w:b/>
          <w:sz w:val="24"/>
          <w:szCs w:val="24"/>
        </w:rPr>
      </w:pPr>
    </w:p>
    <w:p>
      <w:pPr>
        <w:pStyle w:val="3"/>
        <w:rPr>
          <w:rFonts w:ascii="宋体" w:hAnsi="宋体"/>
        </w:rPr>
      </w:pPr>
      <w:bookmarkStart w:id="118" w:name="_Toc20831"/>
      <w:r>
        <w:rPr>
          <w:rFonts w:hint="eastAsia" w:ascii="仿宋" w:hAnsi="仿宋" w:eastAsia="仿宋" w:cs="仿宋"/>
          <w:sz w:val="28"/>
          <w:szCs w:val="24"/>
        </w:rPr>
        <w:t>附件6：</w:t>
      </w:r>
      <w:r>
        <w:rPr>
          <w:rFonts w:hint="eastAsia" w:ascii="仿宋" w:hAnsi="仿宋" w:eastAsia="仿宋" w:cs="仿宋"/>
          <w:sz w:val="24"/>
        </w:rPr>
        <w:t xml:space="preserve">      </w:t>
      </w:r>
      <w:r>
        <w:rPr>
          <w:rFonts w:hint="eastAsia" w:ascii="宋体" w:hAnsi="Calibri" w:cs="黑体"/>
          <w:kern w:val="0"/>
          <w:sz w:val="36"/>
        </w:rPr>
        <w:t>在参加本次采购活动前3年内，供应商单位及现任法定代表人（主要负责人）不具有行贿犯罪记录的承诺函</w:t>
      </w:r>
      <w:bookmarkEnd w:id="118"/>
    </w:p>
    <w:p>
      <w:pPr>
        <w:spacing w:line="360" w:lineRule="auto"/>
        <w:rPr>
          <w:rFonts w:hAnsi="宋体" w:cs="宋体"/>
          <w:sz w:val="24"/>
          <w:szCs w:val="24"/>
        </w:rPr>
      </w:pPr>
      <w:r>
        <w:rPr>
          <w:rFonts w:hint="eastAsia" w:hAnsi="宋体" w:cs="宋体"/>
          <w:sz w:val="24"/>
          <w:szCs w:val="24"/>
        </w:rPr>
        <w:t>广元市自然资源局朝天区分局：</w:t>
      </w:r>
    </w:p>
    <w:p>
      <w:pPr>
        <w:spacing w:line="360" w:lineRule="auto"/>
        <w:ind w:firstLine="480" w:firstLineChars="200"/>
        <w:rPr>
          <w:rFonts w:hAnsi="宋体" w:cs="宋体"/>
          <w:sz w:val="24"/>
          <w:szCs w:val="24"/>
        </w:rPr>
      </w:pPr>
      <w:r>
        <w:rPr>
          <w:rFonts w:hint="eastAsia" w:hAnsi="宋体" w:cs="宋体"/>
          <w:sz w:val="24"/>
          <w:szCs w:val="24"/>
          <w:u w:val="single"/>
        </w:rPr>
        <w:t xml:space="preserve">             </w:t>
      </w:r>
      <w:r>
        <w:rPr>
          <w:rFonts w:hint="eastAsia" w:hAnsi="宋体" w:cs="宋体"/>
          <w:sz w:val="24"/>
          <w:szCs w:val="24"/>
        </w:rPr>
        <w:t>（供应商名称）郑重承诺：</w:t>
      </w:r>
    </w:p>
    <w:p>
      <w:pPr>
        <w:spacing w:line="360" w:lineRule="auto"/>
        <w:ind w:firstLine="540"/>
        <w:rPr>
          <w:sz w:val="24"/>
          <w:szCs w:val="24"/>
        </w:rPr>
      </w:pPr>
      <w:r>
        <w:rPr>
          <w:rFonts w:hint="eastAsia" w:hAnsi="宋体" w:cs="宋体"/>
          <w:sz w:val="24"/>
          <w:szCs w:val="24"/>
          <w:u w:val="single"/>
        </w:rPr>
        <w:t xml:space="preserve">             </w:t>
      </w:r>
      <w:r>
        <w:rPr>
          <w:rFonts w:hint="eastAsia" w:hAnsi="宋体" w:cs="宋体"/>
          <w:sz w:val="24"/>
          <w:szCs w:val="24"/>
        </w:rPr>
        <w:t>（供应商名称）</w:t>
      </w:r>
      <w:r>
        <w:rPr>
          <w:rFonts w:hint="eastAsia"/>
          <w:sz w:val="24"/>
          <w:szCs w:val="24"/>
        </w:rPr>
        <w:t>在参加本次采购活动前3年内，供应商单位及现任法定代表人（主要负责人）不具有行贿犯罪记录。</w:t>
      </w:r>
    </w:p>
    <w:p>
      <w:pPr>
        <w:spacing w:line="360" w:lineRule="auto"/>
        <w:ind w:firstLine="540"/>
        <w:rPr>
          <w:sz w:val="24"/>
          <w:szCs w:val="24"/>
        </w:rPr>
      </w:pPr>
      <w:r>
        <w:rPr>
          <w:sz w:val="24"/>
          <w:szCs w:val="24"/>
        </w:rPr>
        <w:t>本单位</w:t>
      </w:r>
      <w:r>
        <w:rPr>
          <w:rFonts w:hint="eastAsia"/>
          <w:sz w:val="24"/>
          <w:szCs w:val="24"/>
        </w:rPr>
        <w:t>（个人）对上述承诺的内容事项真实性负责，如有虚假，由我单位（个人）承担相关法律责任。</w:t>
      </w:r>
    </w:p>
    <w:p>
      <w:pPr>
        <w:spacing w:line="360" w:lineRule="auto"/>
        <w:ind w:firstLine="540"/>
        <w:rPr>
          <w:sz w:val="24"/>
          <w:szCs w:val="24"/>
        </w:rPr>
      </w:pPr>
    </w:p>
    <w:p>
      <w:pPr>
        <w:spacing w:line="360" w:lineRule="auto"/>
        <w:ind w:firstLine="540"/>
        <w:rPr>
          <w:sz w:val="24"/>
          <w:szCs w:val="24"/>
        </w:rPr>
      </w:pPr>
      <w:r>
        <w:rPr>
          <w:sz w:val="24"/>
          <w:szCs w:val="24"/>
        </w:rPr>
        <w:t>供应商名称</w:t>
      </w:r>
      <w:r>
        <w:rPr>
          <w:rFonts w:hint="eastAsia"/>
          <w:sz w:val="24"/>
          <w:szCs w:val="24"/>
        </w:rPr>
        <w:t>：</w:t>
      </w:r>
      <w:r>
        <w:rPr>
          <w:rFonts w:hint="eastAsia"/>
          <w:sz w:val="24"/>
        </w:rPr>
        <w:t>XXXXX（盖章）</w:t>
      </w:r>
    </w:p>
    <w:p>
      <w:pPr>
        <w:spacing w:line="360" w:lineRule="auto"/>
        <w:ind w:firstLine="540"/>
        <w:rPr>
          <w:sz w:val="24"/>
          <w:szCs w:val="24"/>
        </w:rPr>
      </w:pPr>
      <w:r>
        <w:rPr>
          <w:sz w:val="24"/>
          <w:szCs w:val="24"/>
        </w:rPr>
        <w:t>法定代表人或授权代表</w:t>
      </w:r>
      <w:r>
        <w:rPr>
          <w:rFonts w:hint="eastAsia"/>
          <w:sz w:val="24"/>
          <w:szCs w:val="24"/>
        </w:rPr>
        <w:t>（签字或盖章）：</w:t>
      </w:r>
    </w:p>
    <w:p>
      <w:pPr>
        <w:spacing w:line="360" w:lineRule="auto"/>
        <w:ind w:firstLine="540"/>
        <w:rPr>
          <w:sz w:val="24"/>
          <w:szCs w:val="24"/>
        </w:rPr>
      </w:pPr>
      <w:r>
        <w:rPr>
          <w:rFonts w:hint="eastAsia"/>
          <w:sz w:val="24"/>
          <w:szCs w:val="24"/>
        </w:rPr>
        <w:t xml:space="preserve">日     期：     年   月  日  </w:t>
      </w:r>
    </w:p>
    <w:p>
      <w:pPr>
        <w:pStyle w:val="4"/>
        <w:sectPr>
          <w:pgSz w:w="11906" w:h="16838"/>
          <w:pgMar w:top="1440" w:right="1800" w:bottom="1440" w:left="1800" w:header="851" w:footer="992" w:gutter="0"/>
          <w:cols w:space="425" w:num="1"/>
          <w:docGrid w:type="lines" w:linePitch="312" w:charSpace="0"/>
        </w:sectPr>
      </w:pPr>
    </w:p>
    <w:p>
      <w:pPr>
        <w:widowControl/>
        <w:spacing w:line="360" w:lineRule="atLeast"/>
        <w:outlineLvl w:val="1"/>
        <w:rPr>
          <w:rFonts w:ascii="黑体" w:eastAsia="黑体"/>
          <w:b/>
          <w:sz w:val="32"/>
          <w:szCs w:val="32"/>
        </w:rPr>
      </w:pPr>
      <w:r>
        <w:rPr>
          <w:rFonts w:hint="eastAsia" w:hAnsi="宋体" w:cs="宋体"/>
          <w:b/>
          <w:sz w:val="24"/>
          <w:szCs w:val="24"/>
        </w:rPr>
        <w:t>附件7：</w:t>
      </w:r>
      <w:r>
        <w:rPr>
          <w:rFonts w:hint="eastAsia" w:ascii="黑体" w:eastAsia="黑体"/>
          <w:b/>
          <w:sz w:val="32"/>
          <w:szCs w:val="32"/>
        </w:rPr>
        <w:t xml:space="preserve">  承诺函</w:t>
      </w:r>
    </w:p>
    <w:p>
      <w:pPr>
        <w:widowControl/>
        <w:spacing w:line="360" w:lineRule="atLeast"/>
        <w:jc w:val="center"/>
        <w:outlineLvl w:val="1"/>
        <w:rPr>
          <w:b/>
          <w:sz w:val="24"/>
        </w:rPr>
      </w:pPr>
    </w:p>
    <w:p>
      <w:pPr>
        <w:widowControl/>
        <w:spacing w:line="360" w:lineRule="atLeast"/>
        <w:jc w:val="left"/>
        <w:outlineLvl w:val="1"/>
        <w:rPr>
          <w:sz w:val="24"/>
        </w:rPr>
      </w:pPr>
      <w:r>
        <w:rPr>
          <w:rFonts w:hint="eastAsia"/>
          <w:sz w:val="24"/>
        </w:rPr>
        <w:t>广元市自然资源局朝天区分局：</w:t>
      </w:r>
    </w:p>
    <w:p>
      <w:pPr>
        <w:widowControl/>
        <w:spacing w:line="360" w:lineRule="atLeast"/>
        <w:ind w:firstLine="480" w:firstLineChars="200"/>
        <w:jc w:val="left"/>
        <w:outlineLvl w:val="1"/>
        <w:rPr>
          <w:sz w:val="24"/>
        </w:rPr>
      </w:pPr>
      <w:r>
        <w:rPr>
          <w:rFonts w:hint="eastAsia"/>
          <w:sz w:val="24"/>
        </w:rPr>
        <w:t>我公司作为本次采购项目的供应商，根据磋商文件要求，现郑重承诺如下：</w:t>
      </w:r>
    </w:p>
    <w:p>
      <w:pPr>
        <w:widowControl/>
        <w:spacing w:line="360" w:lineRule="atLeast"/>
        <w:ind w:firstLine="480" w:firstLineChars="200"/>
        <w:jc w:val="left"/>
        <w:outlineLvl w:val="1"/>
        <w:rPr>
          <w:sz w:val="24"/>
        </w:rPr>
      </w:pPr>
      <w:r>
        <w:rPr>
          <w:rFonts w:hint="eastAsia"/>
          <w:sz w:val="24"/>
        </w:rPr>
        <w:t>一、具备下列供应商应具备的条件：</w:t>
      </w:r>
    </w:p>
    <w:p>
      <w:pPr>
        <w:widowControl/>
        <w:spacing w:line="360" w:lineRule="atLeast"/>
        <w:ind w:firstLine="480" w:firstLineChars="200"/>
        <w:jc w:val="left"/>
        <w:outlineLvl w:val="1"/>
        <w:rPr>
          <w:sz w:val="24"/>
        </w:rPr>
      </w:pPr>
      <w:r>
        <w:rPr>
          <w:rFonts w:hint="eastAsia"/>
          <w:sz w:val="24"/>
        </w:rPr>
        <w:t xml:space="preserve">（一）具有独立承担民事责任的能力； </w:t>
      </w:r>
      <w:r>
        <w:rPr>
          <w:rFonts w:hint="eastAsia"/>
          <w:sz w:val="24"/>
        </w:rPr>
        <w:br w:type="textWrapping"/>
      </w:r>
      <w:r>
        <w:rPr>
          <w:rFonts w:hint="eastAsia"/>
          <w:sz w:val="24"/>
        </w:rPr>
        <w:t xml:space="preserve">　　（二）具有良好的商业信誉和健全的财务会计制度； </w:t>
      </w:r>
      <w:r>
        <w:rPr>
          <w:rFonts w:hint="eastAsia"/>
          <w:sz w:val="24"/>
        </w:rPr>
        <w:br w:type="textWrapping"/>
      </w:r>
      <w:r>
        <w:rPr>
          <w:rFonts w:hint="eastAsia"/>
          <w:sz w:val="24"/>
        </w:rPr>
        <w:t xml:space="preserve">　　（三）具有履行合同所必需的设备和专业技术能力； </w:t>
      </w:r>
      <w:r>
        <w:rPr>
          <w:rFonts w:hint="eastAsia"/>
          <w:sz w:val="24"/>
        </w:rPr>
        <w:br w:type="textWrapping"/>
      </w:r>
      <w:r>
        <w:rPr>
          <w:rFonts w:hint="eastAsia"/>
          <w:sz w:val="24"/>
        </w:rPr>
        <w:t xml:space="preserve">　　（四）有依法缴纳税收和社会保障资金的良好记录； </w:t>
      </w:r>
      <w:r>
        <w:rPr>
          <w:rFonts w:hint="eastAsia"/>
          <w:sz w:val="24"/>
        </w:rPr>
        <w:br w:type="textWrapping"/>
      </w:r>
      <w:r>
        <w:rPr>
          <w:rFonts w:hint="eastAsia"/>
          <w:sz w:val="24"/>
        </w:rPr>
        <w:t>　　（五）参加采购活动前三年内，在经营活动中没有重大违法记录；</w:t>
      </w:r>
    </w:p>
    <w:p>
      <w:pPr>
        <w:widowControl/>
        <w:spacing w:line="360" w:lineRule="atLeast"/>
        <w:ind w:firstLine="480" w:firstLineChars="200"/>
        <w:jc w:val="left"/>
        <w:outlineLvl w:val="1"/>
        <w:rPr>
          <w:sz w:val="24"/>
        </w:rPr>
      </w:pPr>
      <w:r>
        <w:rPr>
          <w:rFonts w:hint="eastAsia"/>
          <w:sz w:val="24"/>
        </w:rPr>
        <w:t>（六）</w:t>
      </w:r>
      <w:r>
        <w:rPr>
          <w:rFonts w:hint="eastAsia" w:hAnsi="宋体" w:cs="宋体"/>
          <w:sz w:val="24"/>
          <w:szCs w:val="24"/>
        </w:rPr>
        <w:t>参加本次采购活动前三年内，供应商单位及法定代表人无行贿犯罪纪录</w:t>
      </w:r>
      <w:r>
        <w:rPr>
          <w:rFonts w:hint="eastAsia"/>
          <w:sz w:val="24"/>
        </w:rPr>
        <w:t>；</w:t>
      </w:r>
    </w:p>
    <w:p>
      <w:pPr>
        <w:widowControl/>
        <w:spacing w:line="360" w:lineRule="atLeast"/>
        <w:ind w:firstLine="480" w:firstLineChars="200"/>
        <w:jc w:val="left"/>
        <w:outlineLvl w:val="1"/>
        <w:rPr>
          <w:sz w:val="24"/>
        </w:rPr>
      </w:pPr>
      <w:r>
        <w:rPr>
          <w:rFonts w:hint="eastAsia"/>
          <w:sz w:val="24"/>
        </w:rPr>
        <w:t>（七）法律、行政法规规定的其他条件</w:t>
      </w:r>
      <w:r>
        <w:rPr>
          <w:sz w:val="24"/>
        </w:rPr>
        <w:t>。</w:t>
      </w:r>
    </w:p>
    <w:p>
      <w:pPr>
        <w:widowControl/>
        <w:spacing w:line="360" w:lineRule="atLeast"/>
        <w:ind w:firstLine="480" w:firstLineChars="200"/>
        <w:jc w:val="left"/>
        <w:outlineLvl w:val="1"/>
        <w:rPr>
          <w:sz w:val="24"/>
        </w:rPr>
      </w:pPr>
      <w:r>
        <w:rPr>
          <w:sz w:val="24"/>
        </w:rPr>
        <w:t>二、完全接受和满足本项目</w:t>
      </w:r>
      <w:r>
        <w:rPr>
          <w:rFonts w:hint="eastAsia"/>
          <w:sz w:val="24"/>
        </w:rPr>
        <w:t>磋商文件</w:t>
      </w:r>
      <w:r>
        <w:rPr>
          <w:sz w:val="24"/>
        </w:rPr>
        <w:t>中规定的实质性要求，如对</w:t>
      </w:r>
      <w:r>
        <w:rPr>
          <w:rFonts w:hint="eastAsia"/>
          <w:sz w:val="24"/>
        </w:rPr>
        <w:t>磋商文件</w:t>
      </w:r>
      <w:r>
        <w:rPr>
          <w:sz w:val="24"/>
        </w:rPr>
        <w:t>有异议，已经在</w:t>
      </w:r>
      <w:r>
        <w:rPr>
          <w:rFonts w:hint="eastAsia"/>
          <w:sz w:val="24"/>
        </w:rPr>
        <w:t>响应文件递交</w:t>
      </w:r>
      <w:r>
        <w:rPr>
          <w:sz w:val="24"/>
        </w:rPr>
        <w:t>截止时间届满前依法进行维权救济，不存在对</w:t>
      </w:r>
      <w:r>
        <w:rPr>
          <w:rFonts w:hint="eastAsia"/>
          <w:sz w:val="24"/>
        </w:rPr>
        <w:t>磋商文件</w:t>
      </w:r>
      <w:r>
        <w:rPr>
          <w:sz w:val="24"/>
        </w:rPr>
        <w:t>有异议的同时又参加</w:t>
      </w:r>
      <w:r>
        <w:rPr>
          <w:rFonts w:hint="eastAsia"/>
          <w:sz w:val="24"/>
        </w:rPr>
        <w:t>磋商</w:t>
      </w:r>
      <w:r>
        <w:rPr>
          <w:sz w:val="24"/>
        </w:rPr>
        <w:t>以求侥幸</w:t>
      </w:r>
      <w:r>
        <w:rPr>
          <w:rFonts w:hint="eastAsia"/>
          <w:sz w:val="24"/>
        </w:rPr>
        <w:t>成交</w:t>
      </w:r>
      <w:r>
        <w:rPr>
          <w:sz w:val="24"/>
        </w:rPr>
        <w:t>或者为实现其他非法目的的行为。</w:t>
      </w:r>
    </w:p>
    <w:p>
      <w:r>
        <w:rPr>
          <w:rFonts w:hint="eastAsia"/>
          <w:sz w:val="24"/>
        </w:rPr>
        <w:t xml:space="preserve">    三、参加本次磋商采购活动，</w:t>
      </w:r>
      <w:r>
        <w:rPr>
          <w:rFonts w:hint="eastAsia" w:hAnsi="宋体"/>
          <w:sz w:val="24"/>
          <w:szCs w:val="24"/>
        </w:rPr>
        <w:t>未对本次采购项目提供过整体设计、规范编制或者项目管理、监理、检测等服务</w:t>
      </w:r>
    </w:p>
    <w:p>
      <w:pPr>
        <w:widowControl/>
        <w:spacing w:line="360" w:lineRule="atLeast"/>
        <w:ind w:firstLine="480" w:firstLineChars="200"/>
        <w:jc w:val="left"/>
        <w:outlineLvl w:val="1"/>
        <w:rPr>
          <w:sz w:val="24"/>
        </w:rPr>
      </w:pPr>
      <w:r>
        <w:rPr>
          <w:rFonts w:hint="eastAsia"/>
          <w:sz w:val="24"/>
        </w:rPr>
        <w:t>四、参加本次磋商采购活动，不存在和其他供应商在同一合同项下的采购项目中，同时委托同一个自然人、同一家庭的人员、同一单位的人员作为代理人的行为。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sz w:val="24"/>
        </w:rPr>
      </w:pPr>
      <w:r>
        <w:rPr>
          <w:rFonts w:hint="eastAsia"/>
          <w:sz w:val="24"/>
        </w:rPr>
        <w:t>五、如果有《四川省政府采购当事人诚信管理办法》（川财采[2015]33号）规定的记入诚信档案的失信行为，将在响应文件中全面如实反映。</w:t>
      </w:r>
    </w:p>
    <w:p>
      <w:pPr>
        <w:widowControl/>
        <w:spacing w:line="360" w:lineRule="atLeast"/>
        <w:ind w:firstLine="480" w:firstLineChars="200"/>
        <w:jc w:val="left"/>
        <w:outlineLvl w:val="1"/>
        <w:rPr>
          <w:sz w:val="24"/>
        </w:rPr>
      </w:pPr>
      <w:r>
        <w:rPr>
          <w:rFonts w:hint="eastAsia"/>
          <w:sz w:val="24"/>
        </w:rPr>
        <w:t>六、响应文件中提供的能够给予我公司带来优惠、好处的任何材料资料和技术、服务、商务等响应承诺情况都是真实的、有效的、合法的。</w:t>
      </w:r>
    </w:p>
    <w:p>
      <w:pPr>
        <w:widowControl/>
        <w:spacing w:line="360" w:lineRule="atLeast"/>
        <w:ind w:firstLine="480" w:firstLineChars="200"/>
        <w:jc w:val="left"/>
        <w:outlineLvl w:val="1"/>
        <w:rPr>
          <w:sz w:val="24"/>
        </w:rPr>
      </w:pPr>
      <w:r>
        <w:rPr>
          <w:rFonts w:hint="eastAsia"/>
          <w:sz w:val="24"/>
        </w:rPr>
        <w:t>本公司对上述承诺的内容事项真实性负责。如经查实上述承诺的内容事项存在虚假，我公司愿意接受以提供虚假材料谋取成交追究法律责任。</w:t>
      </w:r>
    </w:p>
    <w:p>
      <w:pPr>
        <w:widowControl/>
        <w:spacing w:line="360" w:lineRule="atLeast"/>
        <w:jc w:val="left"/>
        <w:outlineLvl w:val="1"/>
        <w:rPr>
          <w:sz w:val="24"/>
        </w:rPr>
      </w:pPr>
      <w:r>
        <w:rPr>
          <w:rFonts w:hint="eastAsia"/>
          <w:sz w:val="24"/>
        </w:rPr>
        <w:t xml:space="preserve">       </w:t>
      </w:r>
    </w:p>
    <w:p>
      <w:pPr>
        <w:widowControl/>
        <w:spacing w:line="360" w:lineRule="atLeast"/>
        <w:ind w:firstLine="470" w:firstLineChars="196"/>
        <w:jc w:val="left"/>
        <w:outlineLvl w:val="1"/>
        <w:rPr>
          <w:sz w:val="24"/>
        </w:rPr>
      </w:pPr>
      <w:r>
        <w:rPr>
          <w:rFonts w:hint="eastAsia"/>
          <w:sz w:val="24"/>
        </w:rPr>
        <w:t>供应商名称：</w:t>
      </w:r>
      <w:r>
        <w:rPr>
          <w:rFonts w:hint="eastAsia" w:hAnsi="宋体" w:cs="宋体"/>
          <w:sz w:val="24"/>
          <w:szCs w:val="24"/>
        </w:rPr>
        <w:t>XXXX</w:t>
      </w:r>
      <w:r>
        <w:rPr>
          <w:rFonts w:hint="eastAsia"/>
          <w:sz w:val="24"/>
        </w:rPr>
        <w:t xml:space="preserve"> （单位公章）。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w:t>
      </w:r>
      <w:r>
        <w:rPr>
          <w:rFonts w:hint="eastAsia" w:hAnsi="宋体" w:cs="宋体"/>
          <w:sz w:val="24"/>
          <w:szCs w:val="24"/>
        </w:rPr>
        <w:t>XXXX</w:t>
      </w:r>
      <w:r>
        <w:rPr>
          <w:rFonts w:hint="eastAsia"/>
          <w:sz w:val="24"/>
        </w:rPr>
        <w:t>。</w:t>
      </w:r>
    </w:p>
    <w:p>
      <w:pPr>
        <w:widowControl/>
        <w:spacing w:line="360" w:lineRule="atLeast"/>
        <w:ind w:firstLine="470" w:firstLineChars="196"/>
        <w:jc w:val="left"/>
        <w:outlineLvl w:val="1"/>
        <w:rPr>
          <w:sz w:val="24"/>
        </w:rPr>
      </w:pPr>
      <w:r>
        <w:rPr>
          <w:rFonts w:hint="eastAsia"/>
          <w:sz w:val="24"/>
        </w:rPr>
        <w:t>日    期：</w:t>
      </w:r>
      <w:r>
        <w:rPr>
          <w:rFonts w:hint="eastAsia" w:hAnsi="宋体" w:cs="宋体"/>
          <w:sz w:val="24"/>
          <w:szCs w:val="24"/>
        </w:rPr>
        <w:t>XXXX</w:t>
      </w:r>
      <w:r>
        <w:rPr>
          <w:rFonts w:hint="eastAsia"/>
          <w:sz w:val="24"/>
        </w:rPr>
        <w:t>。</w:t>
      </w:r>
    </w:p>
    <w:p>
      <w:pPr>
        <w:pStyle w:val="2"/>
        <w:rPr>
          <w:rFonts w:hAnsi="宋体" w:cs="宋体"/>
          <w:b/>
          <w:sz w:val="24"/>
          <w:szCs w:val="24"/>
        </w:rPr>
      </w:pPr>
    </w:p>
    <w:p>
      <w:pPr>
        <w:pStyle w:val="2"/>
        <w:rPr>
          <w:rFonts w:hAnsi="宋体" w:cs="宋体"/>
          <w:b/>
          <w:sz w:val="24"/>
          <w:szCs w:val="24"/>
        </w:rPr>
      </w:pPr>
    </w:p>
    <w:p>
      <w:pPr>
        <w:pStyle w:val="2"/>
        <w:rPr>
          <w:rFonts w:hAnsi="宋体" w:cs="宋体"/>
          <w:b/>
          <w:sz w:val="24"/>
          <w:szCs w:val="24"/>
        </w:rPr>
      </w:pPr>
    </w:p>
    <w:p>
      <w:pPr>
        <w:rPr>
          <w:rFonts w:hAnsi="宋体" w:cs="宋体"/>
          <w:b/>
          <w:sz w:val="24"/>
          <w:szCs w:val="24"/>
        </w:rPr>
      </w:pPr>
    </w:p>
    <w:p>
      <w:pPr>
        <w:pStyle w:val="2"/>
        <w:rPr>
          <w:rFonts w:hAnsi="宋体" w:cs="宋体"/>
          <w:b/>
          <w:sz w:val="24"/>
          <w:szCs w:val="24"/>
        </w:rPr>
      </w:pPr>
    </w:p>
    <w:p>
      <w:pPr>
        <w:rPr>
          <w:rFonts w:hAnsi="宋体" w:cs="宋体"/>
          <w:b/>
          <w:sz w:val="24"/>
          <w:szCs w:val="24"/>
        </w:rPr>
      </w:pPr>
    </w:p>
    <w:p>
      <w:pPr>
        <w:pStyle w:val="2"/>
      </w:pPr>
    </w:p>
    <w:p>
      <w:pPr>
        <w:rPr>
          <w:rFonts w:hAnsi="宋体" w:cs="宋体"/>
          <w:b/>
          <w:sz w:val="24"/>
          <w:szCs w:val="24"/>
        </w:rPr>
      </w:pPr>
    </w:p>
    <w:p>
      <w:pPr>
        <w:pStyle w:val="2"/>
        <w:rPr>
          <w:rFonts w:hAnsi="宋体" w:cs="宋体"/>
          <w:b/>
          <w:sz w:val="24"/>
          <w:szCs w:val="24"/>
        </w:rPr>
      </w:pPr>
    </w:p>
    <w:p>
      <w:pPr>
        <w:pStyle w:val="2"/>
      </w:pPr>
      <w:r>
        <w:rPr>
          <w:rFonts w:hint="eastAsia" w:hAnsi="宋体" w:cs="宋体"/>
          <w:b/>
          <w:sz w:val="24"/>
          <w:szCs w:val="24"/>
        </w:rPr>
        <w:t>附件8：</w:t>
      </w:r>
      <w:r>
        <w:rPr>
          <w:rFonts w:hint="eastAsia" w:ascii="黑体" w:eastAsia="黑体"/>
          <w:b/>
          <w:sz w:val="32"/>
          <w:szCs w:val="32"/>
        </w:rPr>
        <w:t xml:space="preserve"> </w:t>
      </w:r>
    </w:p>
    <w:p>
      <w:pPr>
        <w:pStyle w:val="3"/>
        <w:jc w:val="center"/>
        <w:rPr>
          <w:sz w:val="36"/>
          <w:szCs w:val="36"/>
        </w:rPr>
      </w:pPr>
      <w:r>
        <w:rPr>
          <w:rFonts w:hint="eastAsia"/>
          <w:sz w:val="36"/>
          <w:szCs w:val="36"/>
        </w:rPr>
        <w:t>企业诚信情况承诺函</w:t>
      </w:r>
    </w:p>
    <w:p>
      <w:pPr>
        <w:spacing w:line="360" w:lineRule="auto"/>
        <w:rPr>
          <w:rFonts w:hAnsi="宋体" w:cs="宋体"/>
          <w:sz w:val="24"/>
          <w:szCs w:val="24"/>
        </w:rPr>
      </w:pPr>
      <w:r>
        <w:rPr>
          <w:rFonts w:hint="eastAsia" w:hAnsi="宋体" w:cs="宋体"/>
          <w:sz w:val="24"/>
          <w:szCs w:val="24"/>
        </w:rPr>
        <w:t>广元市自然资源局朝天区分局：</w:t>
      </w:r>
    </w:p>
    <w:p>
      <w:pPr>
        <w:spacing w:line="360" w:lineRule="auto"/>
        <w:ind w:firstLine="480" w:firstLineChars="200"/>
        <w:rPr>
          <w:rFonts w:hAnsi="宋体" w:cs="宋体"/>
          <w:sz w:val="24"/>
          <w:szCs w:val="24"/>
        </w:rPr>
      </w:pPr>
      <w:r>
        <w:rPr>
          <w:rFonts w:hint="eastAsia" w:hAnsi="宋体" w:cs="宋体"/>
          <w:sz w:val="24"/>
          <w:szCs w:val="24"/>
          <w:u w:val="single"/>
        </w:rPr>
        <w:t xml:space="preserve">             </w:t>
      </w:r>
      <w:r>
        <w:rPr>
          <w:rFonts w:hint="eastAsia" w:hAnsi="宋体" w:cs="宋体"/>
          <w:sz w:val="24"/>
          <w:szCs w:val="24"/>
        </w:rPr>
        <w:t>（供应商名称）郑重承诺：</w:t>
      </w:r>
    </w:p>
    <w:p>
      <w:pPr>
        <w:spacing w:line="360" w:lineRule="auto"/>
        <w:ind w:firstLine="480" w:firstLineChars="200"/>
        <w:rPr>
          <w:rFonts w:hAnsi="宋体" w:cs="宋体"/>
          <w:sz w:val="24"/>
          <w:szCs w:val="24"/>
        </w:rPr>
      </w:pPr>
      <w:r>
        <w:rPr>
          <w:rFonts w:hint="eastAsia" w:hAnsi="宋体" w:cs="宋体"/>
          <w:sz w:val="24"/>
          <w:szCs w:val="24"/>
          <w:u w:val="single"/>
        </w:rPr>
        <w:t xml:space="preserve">             </w:t>
      </w:r>
      <w:r>
        <w:rPr>
          <w:rFonts w:hint="eastAsia" w:hAnsi="宋体" w:cs="宋体"/>
          <w:sz w:val="24"/>
          <w:szCs w:val="24"/>
        </w:rPr>
        <w:t>（供应商名称）在参加本次采购活动前，无</w:t>
      </w:r>
      <w:r>
        <w:rPr>
          <w:rFonts w:hint="eastAsia"/>
          <w:sz w:val="24"/>
        </w:rPr>
        <w:t>记入诚信档案记录且不是有效期内的失信供应商。</w:t>
      </w:r>
    </w:p>
    <w:p>
      <w:pPr>
        <w:spacing w:line="360" w:lineRule="auto"/>
        <w:ind w:firstLine="540"/>
        <w:rPr>
          <w:rFonts w:hAnsi="宋体" w:cs="宋体"/>
          <w:sz w:val="24"/>
          <w:szCs w:val="24"/>
        </w:rPr>
      </w:pPr>
      <w:r>
        <w:rPr>
          <w:rFonts w:hint="eastAsia" w:hAnsi="宋体" w:cs="宋体"/>
          <w:sz w:val="24"/>
          <w:szCs w:val="24"/>
        </w:rPr>
        <w:t>本单位（个人）对上述承诺的内容事项真实性负责，如有虚假，由我单位（个人）承担相关法律责任。</w:t>
      </w:r>
    </w:p>
    <w:p>
      <w:pPr>
        <w:pStyle w:val="29"/>
        <w:tabs>
          <w:tab w:val="left" w:pos="425"/>
          <w:tab w:val="left" w:pos="720"/>
        </w:tabs>
        <w:ind w:firstLine="280"/>
      </w:pPr>
    </w:p>
    <w:p>
      <w:pPr>
        <w:spacing w:line="360" w:lineRule="auto"/>
        <w:ind w:firstLine="540"/>
        <w:rPr>
          <w:sz w:val="24"/>
          <w:szCs w:val="24"/>
        </w:rPr>
      </w:pPr>
      <w:r>
        <w:rPr>
          <w:sz w:val="24"/>
          <w:szCs w:val="24"/>
        </w:rPr>
        <w:t>供应商名称</w:t>
      </w:r>
      <w:r>
        <w:rPr>
          <w:rFonts w:hint="eastAsia"/>
          <w:sz w:val="24"/>
          <w:szCs w:val="24"/>
        </w:rPr>
        <w:t>：</w:t>
      </w:r>
      <w:r>
        <w:rPr>
          <w:rFonts w:hint="eastAsia"/>
          <w:sz w:val="24"/>
        </w:rPr>
        <w:t>XXXXX（盖章）</w:t>
      </w:r>
    </w:p>
    <w:p>
      <w:pPr>
        <w:spacing w:line="360" w:lineRule="auto"/>
        <w:ind w:firstLine="540"/>
        <w:rPr>
          <w:sz w:val="24"/>
          <w:szCs w:val="24"/>
        </w:rPr>
      </w:pPr>
      <w:r>
        <w:rPr>
          <w:sz w:val="24"/>
          <w:szCs w:val="24"/>
        </w:rPr>
        <w:t>法定代表人或授权代表</w:t>
      </w:r>
      <w:r>
        <w:rPr>
          <w:rFonts w:hint="eastAsia"/>
          <w:sz w:val="24"/>
          <w:szCs w:val="24"/>
        </w:rPr>
        <w:t>（签字或盖章）：</w:t>
      </w:r>
    </w:p>
    <w:p>
      <w:pPr>
        <w:spacing w:line="360" w:lineRule="auto"/>
        <w:ind w:firstLine="540"/>
        <w:rPr>
          <w:rFonts w:hAnsi="宋体" w:cs="宋体"/>
          <w:sz w:val="24"/>
          <w:szCs w:val="24"/>
        </w:rPr>
      </w:pPr>
      <w:r>
        <w:rPr>
          <w:rFonts w:hint="eastAsia"/>
          <w:sz w:val="24"/>
          <w:szCs w:val="24"/>
        </w:rPr>
        <w:t xml:space="preserve">日     期：     年   月  日 </w:t>
      </w:r>
      <w:r>
        <w:rPr>
          <w:rFonts w:hint="eastAsia" w:hAnsi="宋体" w:cs="宋体"/>
          <w:sz w:val="24"/>
          <w:szCs w:val="24"/>
        </w:rPr>
        <w:t xml:space="preserve"> </w:t>
      </w:r>
    </w:p>
    <w:p/>
    <w:p/>
    <w:p>
      <w:pPr>
        <w:pStyle w:val="2"/>
      </w:pPr>
    </w:p>
    <w:bookmarkEnd w:id="107"/>
    <w:p>
      <w:pPr>
        <w:rPr>
          <w:rFonts w:hAnsi="宋体" w:cs="宋体"/>
          <w:b/>
          <w:sz w:val="24"/>
          <w:szCs w:val="24"/>
        </w:rPr>
      </w:pPr>
      <w:bookmarkStart w:id="119" w:name="_Toc217446086"/>
    </w:p>
    <w:p>
      <w:pPr>
        <w:pStyle w:val="2"/>
        <w:rPr>
          <w:rFonts w:hAnsi="宋体" w:cs="宋体"/>
          <w:b/>
          <w:sz w:val="24"/>
          <w:szCs w:val="24"/>
        </w:rPr>
      </w:pPr>
    </w:p>
    <w:p>
      <w:pPr>
        <w:rPr>
          <w:rFonts w:hAnsi="宋体" w:cs="宋体"/>
          <w:b/>
          <w:sz w:val="24"/>
          <w:szCs w:val="24"/>
        </w:rPr>
      </w:pPr>
    </w:p>
    <w:p>
      <w:pPr>
        <w:pStyle w:val="2"/>
        <w:rPr>
          <w:rFonts w:hAnsi="宋体" w:cs="宋体"/>
          <w:b/>
          <w:sz w:val="24"/>
          <w:szCs w:val="24"/>
        </w:rPr>
      </w:pPr>
    </w:p>
    <w:p/>
    <w:p>
      <w:pPr>
        <w:pStyle w:val="2"/>
        <w:rPr>
          <w:rFonts w:hAnsi="宋体" w:cs="宋体"/>
          <w:b/>
          <w:sz w:val="24"/>
          <w:szCs w:val="24"/>
        </w:rPr>
      </w:pPr>
    </w:p>
    <w:p>
      <w:pPr>
        <w:rPr>
          <w:rFonts w:hAnsi="宋体" w:cs="宋体"/>
          <w:b/>
          <w:sz w:val="24"/>
          <w:szCs w:val="24"/>
        </w:rPr>
      </w:pPr>
    </w:p>
    <w:p>
      <w:pPr>
        <w:pStyle w:val="2"/>
        <w:rPr>
          <w:rFonts w:hAnsi="宋体" w:cs="宋体"/>
          <w:b/>
          <w:sz w:val="24"/>
          <w:szCs w:val="24"/>
        </w:rPr>
      </w:pPr>
    </w:p>
    <w:p>
      <w:pPr>
        <w:rPr>
          <w:rFonts w:hAnsi="宋体" w:cs="宋体"/>
          <w:b/>
          <w:sz w:val="24"/>
          <w:szCs w:val="24"/>
        </w:rPr>
      </w:pPr>
    </w:p>
    <w:p>
      <w:pPr>
        <w:pStyle w:val="2"/>
        <w:rPr>
          <w:rFonts w:hAnsi="宋体" w:cs="宋体"/>
          <w:b/>
          <w:sz w:val="24"/>
          <w:szCs w:val="24"/>
        </w:rPr>
      </w:pPr>
    </w:p>
    <w:p/>
    <w:p>
      <w:pPr>
        <w:rPr>
          <w:rFonts w:hAnsi="宋体" w:cs="宋体"/>
          <w:b/>
          <w:sz w:val="24"/>
          <w:szCs w:val="24"/>
        </w:rPr>
      </w:pPr>
    </w:p>
    <w:p>
      <w:pPr>
        <w:pStyle w:val="2"/>
        <w:rPr>
          <w:rFonts w:hAnsi="宋体" w:cs="宋体"/>
          <w:b/>
          <w:sz w:val="24"/>
          <w:szCs w:val="24"/>
        </w:rPr>
      </w:pPr>
    </w:p>
    <w:p>
      <w:pPr>
        <w:pStyle w:val="2"/>
        <w:rPr>
          <w:rFonts w:ascii="宋体"/>
          <w:b/>
          <w:sz w:val="24"/>
        </w:rPr>
      </w:pPr>
      <w:bookmarkStart w:id="120" w:name="_Toc217446085"/>
    </w:p>
    <w:bookmarkEnd w:id="120"/>
    <w:p>
      <w:pPr>
        <w:spacing w:before="64" w:line="225" w:lineRule="auto"/>
        <w:jc w:val="center"/>
        <w:rPr>
          <w:rFonts w:hAnsi="宋体" w:cs="宋体"/>
          <w:sz w:val="31"/>
          <w:szCs w:val="31"/>
        </w:rPr>
      </w:pPr>
      <w:r>
        <w:rPr>
          <w:rFonts w:hAnsi="宋体" w:cs="宋体"/>
          <w:spacing w:val="16"/>
          <w:sz w:val="31"/>
          <w:szCs w:val="31"/>
        </w:rPr>
        <w:t>第</w:t>
      </w:r>
      <w:r>
        <w:rPr>
          <w:rFonts w:hAnsi="宋体" w:cs="宋体"/>
          <w:spacing w:val="8"/>
          <w:sz w:val="31"/>
          <w:szCs w:val="31"/>
        </w:rPr>
        <w:t>二部分 其他响应文件 (格式)</w:t>
      </w:r>
    </w:p>
    <w:p>
      <w:pPr>
        <w:widowControl/>
        <w:spacing w:line="360" w:lineRule="atLeast"/>
        <w:outlineLvl w:val="1"/>
        <w:rPr>
          <w:rFonts w:hAnsi="宋体" w:cs="宋体"/>
          <w:b/>
          <w:sz w:val="24"/>
          <w:szCs w:val="24"/>
        </w:rPr>
      </w:pPr>
    </w:p>
    <w:p>
      <w:pPr>
        <w:widowControl/>
        <w:spacing w:line="360" w:lineRule="atLeast"/>
        <w:jc w:val="left"/>
        <w:outlineLvl w:val="1"/>
        <w:rPr>
          <w:rFonts w:ascii="黑体" w:eastAsia="黑体"/>
          <w:b/>
          <w:sz w:val="32"/>
          <w:szCs w:val="32"/>
        </w:rPr>
      </w:pPr>
      <w:r>
        <w:rPr>
          <w:rFonts w:hint="eastAsia" w:hAnsi="宋体" w:cs="宋体"/>
          <w:b/>
          <w:sz w:val="24"/>
          <w:szCs w:val="24"/>
        </w:rPr>
        <w:t xml:space="preserve">附件1：                     </w:t>
      </w:r>
    </w:p>
    <w:p>
      <w:pPr>
        <w:widowControl/>
        <w:spacing w:line="360" w:lineRule="atLeast"/>
        <w:ind w:firstLine="472" w:firstLineChars="196"/>
        <w:jc w:val="left"/>
        <w:outlineLvl w:val="1"/>
        <w:rPr>
          <w:b/>
          <w:sz w:val="24"/>
        </w:rPr>
      </w:pPr>
    </w:p>
    <w:p>
      <w:pPr>
        <w:pStyle w:val="5"/>
        <w:jc w:val="center"/>
        <w:rPr>
          <w:rFonts w:eastAsia="黑体"/>
        </w:rPr>
      </w:pPr>
      <w:r>
        <w:rPr>
          <w:rFonts w:hint="eastAsia" w:ascii="黑体" w:eastAsia="黑体"/>
        </w:rPr>
        <w:t>报价一览表</w:t>
      </w:r>
    </w:p>
    <w:tbl>
      <w:tblPr>
        <w:tblStyle w:val="31"/>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7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077" w:type="dxa"/>
            <w:vAlign w:val="center"/>
          </w:tcPr>
          <w:p>
            <w:pPr>
              <w:spacing w:line="440" w:lineRule="exact"/>
              <w:jc w:val="center"/>
              <w:rPr>
                <w:rFonts w:hAnsi="宋体" w:cs="宋体"/>
                <w:sz w:val="28"/>
                <w:szCs w:val="28"/>
              </w:rPr>
            </w:pPr>
            <w:r>
              <w:rPr>
                <w:rFonts w:hint="eastAsia" w:hAnsi="宋体" w:cs="宋体"/>
                <w:sz w:val="28"/>
                <w:szCs w:val="28"/>
              </w:rPr>
              <w:t>项目名称</w:t>
            </w:r>
          </w:p>
        </w:tc>
        <w:tc>
          <w:tcPr>
            <w:tcW w:w="7782" w:type="dxa"/>
            <w:vAlign w:val="center"/>
          </w:tcPr>
          <w:p>
            <w:pPr>
              <w:spacing w:line="440" w:lineRule="exact"/>
              <w:jc w:val="center"/>
              <w:rPr>
                <w:rFonts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77" w:type="dxa"/>
            <w:vAlign w:val="center"/>
          </w:tcPr>
          <w:p>
            <w:pPr>
              <w:spacing w:line="440" w:lineRule="exact"/>
              <w:jc w:val="center"/>
              <w:rPr>
                <w:rFonts w:hAnsi="宋体" w:cs="宋体"/>
                <w:sz w:val="28"/>
                <w:szCs w:val="28"/>
              </w:rPr>
            </w:pPr>
            <w:r>
              <w:rPr>
                <w:rFonts w:hint="eastAsia" w:hAnsi="宋体" w:cs="宋体"/>
                <w:sz w:val="28"/>
                <w:szCs w:val="28"/>
              </w:rPr>
              <w:t>项目编号</w:t>
            </w:r>
          </w:p>
        </w:tc>
        <w:tc>
          <w:tcPr>
            <w:tcW w:w="7782" w:type="dxa"/>
            <w:vAlign w:val="center"/>
          </w:tcPr>
          <w:p>
            <w:pPr>
              <w:spacing w:line="440" w:lineRule="exact"/>
              <w:jc w:val="center"/>
              <w:rPr>
                <w:rFonts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jc w:val="center"/>
        </w:trPr>
        <w:tc>
          <w:tcPr>
            <w:tcW w:w="2077" w:type="dxa"/>
            <w:vAlign w:val="center"/>
          </w:tcPr>
          <w:p>
            <w:pPr>
              <w:spacing w:line="440" w:lineRule="exact"/>
              <w:jc w:val="center"/>
              <w:rPr>
                <w:rFonts w:hAnsi="宋体" w:cs="宋体"/>
                <w:sz w:val="28"/>
                <w:szCs w:val="28"/>
              </w:rPr>
            </w:pPr>
            <w:r>
              <w:rPr>
                <w:rFonts w:hint="eastAsia" w:hAnsi="宋体" w:cs="宋体"/>
                <w:sz w:val="28"/>
                <w:szCs w:val="28"/>
              </w:rPr>
              <w:t>报价</w:t>
            </w:r>
          </w:p>
        </w:tc>
        <w:tc>
          <w:tcPr>
            <w:tcW w:w="7782" w:type="dxa"/>
            <w:vAlign w:val="center"/>
          </w:tcPr>
          <w:p>
            <w:pPr>
              <w:spacing w:line="440" w:lineRule="exact"/>
              <w:jc w:val="left"/>
            </w:pPr>
          </w:p>
          <w:p>
            <w:pPr>
              <w:pStyle w:val="2"/>
            </w:pPr>
          </w:p>
          <w:p/>
          <w:p>
            <w:pPr>
              <w:pStyle w:val="2"/>
            </w:pPr>
          </w:p>
          <w:p/>
          <w:p>
            <w:pPr>
              <w:pStyle w:val="2"/>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9859" w:type="dxa"/>
            <w:gridSpan w:val="2"/>
            <w:vAlign w:val="center"/>
          </w:tcPr>
          <w:p>
            <w:pPr>
              <w:spacing w:line="440" w:lineRule="exact"/>
              <w:jc w:val="left"/>
              <w:rPr>
                <w:rFonts w:hAnsi="宋体" w:cs="宋体"/>
                <w:sz w:val="28"/>
                <w:szCs w:val="28"/>
              </w:rPr>
            </w:pPr>
            <w:r>
              <w:rPr>
                <w:rFonts w:hint="eastAsia" w:hAnsi="宋体"/>
                <w:b/>
                <w:sz w:val="24"/>
              </w:rPr>
              <w:t>备注：</w:t>
            </w:r>
          </w:p>
        </w:tc>
      </w:tr>
    </w:tbl>
    <w:p>
      <w:pPr>
        <w:widowControl/>
        <w:spacing w:line="360" w:lineRule="atLeast"/>
        <w:jc w:val="left"/>
        <w:outlineLvl w:val="1"/>
        <w:rPr>
          <w:b/>
          <w:sz w:val="24"/>
        </w:rPr>
      </w:pPr>
    </w:p>
    <w:p>
      <w:pPr>
        <w:widowControl/>
        <w:spacing w:line="360" w:lineRule="atLeast"/>
        <w:ind w:firstLine="470" w:firstLineChars="196"/>
        <w:jc w:val="left"/>
        <w:outlineLvl w:val="1"/>
        <w:rPr>
          <w:sz w:val="24"/>
        </w:rPr>
      </w:pPr>
      <w:r>
        <w:rPr>
          <w:rFonts w:hint="eastAsia"/>
          <w:sz w:val="24"/>
        </w:rPr>
        <w:t>供应商名称：</w:t>
      </w:r>
      <w:r>
        <w:rPr>
          <w:rFonts w:hint="eastAsia" w:hAnsi="宋体"/>
          <w:bCs/>
          <w:sz w:val="24"/>
        </w:rPr>
        <w:t xml:space="preserve">XXX XXX </w:t>
      </w:r>
      <w:r>
        <w:rPr>
          <w:rFonts w:hint="eastAsia"/>
          <w:sz w:val="24"/>
        </w:rPr>
        <w:t>（单位盖章）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w:t>
      </w:r>
      <w:r>
        <w:rPr>
          <w:rFonts w:hint="eastAsia" w:hAnsi="宋体"/>
          <w:bCs/>
          <w:sz w:val="24"/>
        </w:rPr>
        <w:t xml:space="preserve">XXX XXX </w:t>
      </w:r>
      <w:r>
        <w:rPr>
          <w:rFonts w:hint="eastAsia"/>
          <w:sz w:val="24"/>
        </w:rPr>
        <w:t xml:space="preserve"> </w:t>
      </w:r>
    </w:p>
    <w:p>
      <w:pPr>
        <w:widowControl/>
        <w:spacing w:line="360" w:lineRule="atLeast"/>
        <w:ind w:firstLine="470" w:firstLineChars="196"/>
        <w:jc w:val="left"/>
        <w:outlineLvl w:val="1"/>
        <w:rPr>
          <w:rFonts w:hAnsi="宋体" w:cs="宋体"/>
          <w:b/>
          <w:sz w:val="24"/>
          <w:szCs w:val="24"/>
        </w:rPr>
      </w:pPr>
      <w:r>
        <w:rPr>
          <w:rFonts w:hint="eastAsia"/>
          <w:sz w:val="24"/>
        </w:rPr>
        <w:t>日期：</w:t>
      </w:r>
      <w:r>
        <w:rPr>
          <w:rFonts w:hint="eastAsia" w:hAnsi="宋体"/>
          <w:bCs/>
          <w:sz w:val="24"/>
        </w:rPr>
        <w:t xml:space="preserve">XXX XXX </w:t>
      </w:r>
    </w:p>
    <w:bookmarkEnd w:id="119"/>
    <w:p>
      <w:pPr>
        <w:widowControl/>
        <w:spacing w:line="360" w:lineRule="atLeast"/>
        <w:jc w:val="center"/>
        <w:outlineLvl w:val="1"/>
        <w:rPr>
          <w:rFonts w:ascii="黑体" w:eastAsia="黑体"/>
          <w:b/>
          <w:sz w:val="32"/>
          <w:szCs w:val="32"/>
        </w:rPr>
      </w:pPr>
      <w:bookmarkStart w:id="121" w:name="_Toc217446087"/>
    </w:p>
    <w:p>
      <w:pPr>
        <w:widowControl/>
        <w:spacing w:line="360" w:lineRule="atLeast"/>
        <w:outlineLvl w:val="1"/>
        <w:rPr>
          <w:rFonts w:hAnsi="宋体" w:cs="宋体"/>
          <w:b/>
          <w:bCs/>
          <w:sz w:val="24"/>
          <w:szCs w:val="24"/>
        </w:rPr>
      </w:pPr>
    </w:p>
    <w:p>
      <w:pPr>
        <w:widowControl/>
        <w:spacing w:line="360" w:lineRule="atLeast"/>
        <w:outlineLvl w:val="1"/>
        <w:rPr>
          <w:rFonts w:hAnsi="宋体" w:cs="宋体"/>
          <w:b/>
          <w:bCs/>
          <w:sz w:val="24"/>
          <w:szCs w:val="24"/>
        </w:rPr>
      </w:pPr>
    </w:p>
    <w:p>
      <w:pPr>
        <w:pStyle w:val="2"/>
        <w:rPr>
          <w:rFonts w:hAnsi="宋体" w:cs="宋体"/>
          <w:b/>
          <w:bCs/>
          <w:sz w:val="24"/>
          <w:szCs w:val="24"/>
        </w:rPr>
      </w:pPr>
    </w:p>
    <w:p/>
    <w:p>
      <w:pPr>
        <w:widowControl/>
        <w:spacing w:line="360" w:lineRule="atLeast"/>
        <w:outlineLvl w:val="1"/>
        <w:rPr>
          <w:rFonts w:hAnsi="宋体" w:cs="宋体"/>
          <w:b/>
          <w:bCs/>
          <w:sz w:val="24"/>
          <w:szCs w:val="24"/>
        </w:rPr>
      </w:pPr>
    </w:p>
    <w:p>
      <w:pPr>
        <w:widowControl/>
        <w:spacing w:line="360" w:lineRule="atLeast"/>
        <w:outlineLvl w:val="1"/>
        <w:rPr>
          <w:rFonts w:hAnsi="宋体" w:cs="宋体"/>
          <w:b/>
          <w:bCs/>
          <w:sz w:val="24"/>
          <w:szCs w:val="24"/>
        </w:rPr>
      </w:pPr>
    </w:p>
    <w:p>
      <w:pPr>
        <w:rPr>
          <w:rFonts w:ascii="黑体" w:eastAsia="黑体"/>
          <w:b/>
          <w:sz w:val="32"/>
          <w:szCs w:val="32"/>
        </w:rPr>
      </w:pPr>
      <w:r>
        <w:rPr>
          <w:rFonts w:hint="eastAsia" w:hAnsi="宋体" w:cs="宋体"/>
          <w:b/>
          <w:sz w:val="24"/>
          <w:szCs w:val="24"/>
        </w:rPr>
        <w:t xml:space="preserve">附件2：                 </w:t>
      </w:r>
      <w:r>
        <w:rPr>
          <w:rFonts w:hint="eastAsia" w:ascii="黑体" w:eastAsia="黑体"/>
          <w:b/>
          <w:sz w:val="32"/>
          <w:szCs w:val="32"/>
        </w:rPr>
        <w:t>供应商基本情况表</w:t>
      </w:r>
    </w:p>
    <w:p>
      <w:pPr>
        <w:widowControl/>
        <w:spacing w:line="360" w:lineRule="atLeast"/>
        <w:ind w:firstLine="472" w:firstLineChars="196"/>
        <w:jc w:val="left"/>
        <w:outlineLvl w:val="1"/>
        <w:rPr>
          <w:b/>
          <w:sz w:val="24"/>
        </w:rPr>
      </w:pPr>
    </w:p>
    <w:tbl>
      <w:tblPr>
        <w:tblStyle w:val="31"/>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059"/>
        <w:gridCol w:w="177"/>
        <w:gridCol w:w="1374"/>
        <w:gridCol w:w="1295"/>
        <w:gridCol w:w="215"/>
        <w:gridCol w:w="372"/>
        <w:gridCol w:w="100"/>
        <w:gridCol w:w="1421"/>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720" w:type="dxa"/>
            <w:vAlign w:val="center"/>
          </w:tcPr>
          <w:p>
            <w:pPr>
              <w:jc w:val="center"/>
              <w:rPr>
                <w:rFonts w:hAnsi="宋体" w:cs="宋体"/>
                <w:sz w:val="24"/>
                <w:szCs w:val="24"/>
              </w:rPr>
            </w:pPr>
            <w:r>
              <w:rPr>
                <w:rFonts w:hint="eastAsia" w:hAnsi="宋体" w:cs="宋体"/>
                <w:sz w:val="24"/>
                <w:szCs w:val="24"/>
              </w:rPr>
              <w:t>供应商名称</w:t>
            </w:r>
          </w:p>
        </w:tc>
        <w:tc>
          <w:tcPr>
            <w:tcW w:w="7619" w:type="dxa"/>
            <w:gridSpan w:val="9"/>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720" w:type="dxa"/>
            <w:vAlign w:val="center"/>
          </w:tcPr>
          <w:p>
            <w:pPr>
              <w:jc w:val="center"/>
              <w:rPr>
                <w:rFonts w:hAnsi="宋体" w:cs="宋体"/>
                <w:sz w:val="24"/>
                <w:szCs w:val="24"/>
              </w:rPr>
            </w:pPr>
            <w:r>
              <w:rPr>
                <w:rFonts w:hint="eastAsia" w:hAnsi="宋体" w:cs="宋体"/>
                <w:sz w:val="24"/>
                <w:szCs w:val="24"/>
              </w:rPr>
              <w:t>注册地址</w:t>
            </w:r>
          </w:p>
        </w:tc>
        <w:tc>
          <w:tcPr>
            <w:tcW w:w="4592" w:type="dxa"/>
            <w:gridSpan w:val="7"/>
            <w:vAlign w:val="center"/>
          </w:tcPr>
          <w:p>
            <w:pPr>
              <w:jc w:val="center"/>
              <w:rPr>
                <w:rFonts w:hAnsi="宋体" w:cs="宋体"/>
                <w:sz w:val="24"/>
                <w:szCs w:val="24"/>
              </w:rPr>
            </w:pPr>
          </w:p>
        </w:tc>
        <w:tc>
          <w:tcPr>
            <w:tcW w:w="1421" w:type="dxa"/>
            <w:vAlign w:val="center"/>
          </w:tcPr>
          <w:p>
            <w:pPr>
              <w:jc w:val="center"/>
              <w:rPr>
                <w:rFonts w:hAnsi="宋体" w:cs="宋体"/>
                <w:sz w:val="24"/>
                <w:szCs w:val="24"/>
              </w:rPr>
            </w:pPr>
            <w:r>
              <w:rPr>
                <w:rFonts w:hint="eastAsia" w:hAnsi="宋体" w:cs="宋体"/>
                <w:sz w:val="24"/>
                <w:szCs w:val="24"/>
              </w:rPr>
              <w:t>邮政编码</w:t>
            </w: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20" w:type="dxa"/>
            <w:vMerge w:val="restart"/>
            <w:vAlign w:val="center"/>
          </w:tcPr>
          <w:p>
            <w:pPr>
              <w:jc w:val="center"/>
              <w:rPr>
                <w:rFonts w:hAnsi="宋体" w:cs="宋体"/>
                <w:sz w:val="24"/>
                <w:szCs w:val="24"/>
              </w:rPr>
            </w:pPr>
            <w:r>
              <w:rPr>
                <w:rFonts w:hint="eastAsia" w:hAnsi="宋体" w:cs="宋体"/>
                <w:sz w:val="24"/>
                <w:szCs w:val="24"/>
              </w:rPr>
              <w:t>联系方式</w:t>
            </w:r>
          </w:p>
        </w:tc>
        <w:tc>
          <w:tcPr>
            <w:tcW w:w="1059" w:type="dxa"/>
            <w:vAlign w:val="center"/>
          </w:tcPr>
          <w:p>
            <w:pPr>
              <w:jc w:val="center"/>
              <w:rPr>
                <w:rFonts w:hAnsi="宋体" w:cs="宋体"/>
                <w:sz w:val="24"/>
                <w:szCs w:val="24"/>
              </w:rPr>
            </w:pPr>
            <w:r>
              <w:rPr>
                <w:rFonts w:hint="eastAsia" w:hAnsi="宋体" w:cs="宋体"/>
                <w:sz w:val="24"/>
                <w:szCs w:val="24"/>
              </w:rPr>
              <w:t>联系人</w:t>
            </w:r>
          </w:p>
        </w:tc>
        <w:tc>
          <w:tcPr>
            <w:tcW w:w="3533" w:type="dxa"/>
            <w:gridSpan w:val="6"/>
            <w:vAlign w:val="center"/>
          </w:tcPr>
          <w:p>
            <w:pPr>
              <w:jc w:val="center"/>
              <w:rPr>
                <w:rFonts w:hAnsi="宋体" w:cs="宋体"/>
                <w:sz w:val="24"/>
                <w:szCs w:val="24"/>
              </w:rPr>
            </w:pPr>
          </w:p>
        </w:tc>
        <w:tc>
          <w:tcPr>
            <w:tcW w:w="1421" w:type="dxa"/>
            <w:vAlign w:val="center"/>
          </w:tcPr>
          <w:p>
            <w:pPr>
              <w:jc w:val="center"/>
              <w:rPr>
                <w:rFonts w:hAnsi="宋体" w:cs="宋体"/>
                <w:sz w:val="24"/>
                <w:szCs w:val="24"/>
              </w:rPr>
            </w:pPr>
            <w:r>
              <w:rPr>
                <w:rFonts w:hint="eastAsia" w:hAnsi="宋体" w:cs="宋体"/>
                <w:sz w:val="24"/>
                <w:szCs w:val="24"/>
              </w:rPr>
              <w:t>联系电话</w:t>
            </w: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20" w:type="dxa"/>
            <w:vMerge w:val="continue"/>
            <w:vAlign w:val="center"/>
          </w:tcPr>
          <w:p>
            <w:pPr>
              <w:jc w:val="center"/>
              <w:rPr>
                <w:rFonts w:hAnsi="宋体" w:cs="宋体"/>
                <w:sz w:val="24"/>
                <w:szCs w:val="24"/>
              </w:rPr>
            </w:pPr>
          </w:p>
        </w:tc>
        <w:tc>
          <w:tcPr>
            <w:tcW w:w="1059" w:type="dxa"/>
            <w:vAlign w:val="center"/>
          </w:tcPr>
          <w:p>
            <w:pPr>
              <w:jc w:val="center"/>
              <w:rPr>
                <w:rFonts w:hAnsi="宋体" w:cs="宋体"/>
                <w:sz w:val="24"/>
                <w:szCs w:val="24"/>
              </w:rPr>
            </w:pPr>
            <w:r>
              <w:rPr>
                <w:rFonts w:hint="eastAsia" w:hAnsi="宋体" w:cs="宋体"/>
                <w:sz w:val="24"/>
                <w:szCs w:val="24"/>
              </w:rPr>
              <w:t>传真</w:t>
            </w:r>
          </w:p>
        </w:tc>
        <w:tc>
          <w:tcPr>
            <w:tcW w:w="3533" w:type="dxa"/>
            <w:gridSpan w:val="6"/>
            <w:vAlign w:val="center"/>
          </w:tcPr>
          <w:p>
            <w:pPr>
              <w:jc w:val="center"/>
              <w:rPr>
                <w:rFonts w:hAnsi="宋体" w:cs="宋体"/>
                <w:sz w:val="24"/>
                <w:szCs w:val="24"/>
              </w:rPr>
            </w:pPr>
          </w:p>
        </w:tc>
        <w:tc>
          <w:tcPr>
            <w:tcW w:w="1421" w:type="dxa"/>
            <w:vAlign w:val="center"/>
          </w:tcPr>
          <w:p>
            <w:pPr>
              <w:jc w:val="center"/>
              <w:rPr>
                <w:rFonts w:hAnsi="宋体" w:cs="宋体"/>
                <w:sz w:val="24"/>
                <w:szCs w:val="24"/>
              </w:rPr>
            </w:pPr>
            <w:r>
              <w:rPr>
                <w:rFonts w:hint="eastAsia" w:hAnsi="宋体" w:cs="宋体"/>
                <w:sz w:val="24"/>
                <w:szCs w:val="24"/>
              </w:rPr>
              <w:t>网址</w:t>
            </w: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20" w:type="dxa"/>
            <w:vAlign w:val="center"/>
          </w:tcPr>
          <w:p>
            <w:pPr>
              <w:jc w:val="center"/>
              <w:rPr>
                <w:rFonts w:hAnsi="宋体" w:cs="宋体"/>
                <w:sz w:val="24"/>
                <w:szCs w:val="24"/>
              </w:rPr>
            </w:pPr>
            <w:r>
              <w:rPr>
                <w:rFonts w:hint="eastAsia" w:hAnsi="宋体" w:cs="宋体"/>
                <w:sz w:val="24"/>
                <w:szCs w:val="24"/>
              </w:rPr>
              <w:t>组织结构</w:t>
            </w:r>
          </w:p>
        </w:tc>
        <w:tc>
          <w:tcPr>
            <w:tcW w:w="7619" w:type="dxa"/>
            <w:gridSpan w:val="9"/>
            <w:vAlign w:val="center"/>
          </w:tcPr>
          <w:p>
            <w:pPr>
              <w:jc w:val="center"/>
              <w:rPr>
                <w:rFonts w:hAnsi="宋体" w:cs="宋体"/>
                <w:sz w:val="24"/>
                <w:szCs w:val="24"/>
              </w:rPr>
            </w:pPr>
            <w:r>
              <w:rPr>
                <w:rFonts w:hint="eastAsia" w:hAnsi="宋体" w:cs="宋体"/>
                <w:sz w:val="24"/>
                <w:szCs w:val="24"/>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20" w:type="dxa"/>
            <w:vAlign w:val="center"/>
          </w:tcPr>
          <w:p>
            <w:pPr>
              <w:jc w:val="center"/>
              <w:rPr>
                <w:rFonts w:hAnsi="宋体" w:cs="宋体"/>
                <w:sz w:val="24"/>
                <w:szCs w:val="24"/>
              </w:rPr>
            </w:pPr>
            <w:r>
              <w:rPr>
                <w:rFonts w:hint="eastAsia" w:hAnsi="宋体" w:cs="宋体"/>
                <w:sz w:val="24"/>
                <w:szCs w:val="24"/>
              </w:rPr>
              <w:t>法定代表人</w:t>
            </w:r>
          </w:p>
        </w:tc>
        <w:tc>
          <w:tcPr>
            <w:tcW w:w="1236" w:type="dxa"/>
            <w:gridSpan w:val="2"/>
            <w:vAlign w:val="center"/>
          </w:tcPr>
          <w:p>
            <w:pPr>
              <w:jc w:val="center"/>
              <w:rPr>
                <w:rFonts w:hAnsi="宋体" w:cs="宋体"/>
                <w:sz w:val="24"/>
                <w:szCs w:val="24"/>
              </w:rPr>
            </w:pPr>
            <w:r>
              <w:rPr>
                <w:rFonts w:hint="eastAsia" w:hAnsi="宋体" w:cs="宋体"/>
                <w:sz w:val="24"/>
                <w:szCs w:val="24"/>
              </w:rPr>
              <w:t>姓名</w:t>
            </w:r>
          </w:p>
        </w:tc>
        <w:tc>
          <w:tcPr>
            <w:tcW w:w="1374" w:type="dxa"/>
            <w:vAlign w:val="center"/>
          </w:tcPr>
          <w:p>
            <w:pPr>
              <w:jc w:val="center"/>
              <w:rPr>
                <w:rFonts w:hAnsi="宋体" w:cs="宋体"/>
                <w:sz w:val="24"/>
                <w:szCs w:val="24"/>
              </w:rPr>
            </w:pPr>
          </w:p>
        </w:tc>
        <w:tc>
          <w:tcPr>
            <w:tcW w:w="1295" w:type="dxa"/>
            <w:vAlign w:val="center"/>
          </w:tcPr>
          <w:p>
            <w:pPr>
              <w:jc w:val="center"/>
              <w:rPr>
                <w:rFonts w:hAnsi="宋体" w:cs="宋体"/>
                <w:sz w:val="24"/>
                <w:szCs w:val="24"/>
              </w:rPr>
            </w:pPr>
            <w:r>
              <w:rPr>
                <w:rFonts w:hint="eastAsia" w:hAnsi="宋体" w:cs="宋体"/>
                <w:sz w:val="24"/>
                <w:szCs w:val="24"/>
              </w:rPr>
              <w:t>技术职称</w:t>
            </w:r>
          </w:p>
        </w:tc>
        <w:tc>
          <w:tcPr>
            <w:tcW w:w="587" w:type="dxa"/>
            <w:gridSpan w:val="2"/>
            <w:vAlign w:val="center"/>
          </w:tcPr>
          <w:p>
            <w:pPr>
              <w:jc w:val="center"/>
              <w:rPr>
                <w:rFonts w:hAnsi="宋体" w:cs="宋体"/>
                <w:sz w:val="24"/>
                <w:szCs w:val="24"/>
              </w:rPr>
            </w:pPr>
            <w:r>
              <w:rPr>
                <w:rFonts w:hint="eastAsia" w:hAnsi="宋体" w:cs="宋体"/>
                <w:sz w:val="24"/>
                <w:szCs w:val="24"/>
              </w:rPr>
              <w:t>/</w:t>
            </w:r>
          </w:p>
        </w:tc>
        <w:tc>
          <w:tcPr>
            <w:tcW w:w="1521" w:type="dxa"/>
            <w:gridSpan w:val="2"/>
            <w:vAlign w:val="center"/>
          </w:tcPr>
          <w:p>
            <w:pPr>
              <w:jc w:val="center"/>
              <w:rPr>
                <w:rFonts w:hAnsi="宋体" w:cs="宋体"/>
                <w:sz w:val="24"/>
                <w:szCs w:val="24"/>
              </w:rPr>
            </w:pPr>
            <w:r>
              <w:rPr>
                <w:rFonts w:hint="eastAsia" w:hAnsi="宋体" w:cs="宋体"/>
                <w:sz w:val="24"/>
                <w:szCs w:val="24"/>
              </w:rPr>
              <w:t>联系电话</w:t>
            </w:r>
          </w:p>
        </w:tc>
        <w:tc>
          <w:tcPr>
            <w:tcW w:w="1606" w:type="dxa"/>
            <w:vAlign w:val="center"/>
          </w:tcPr>
          <w:p>
            <w:pPr>
              <w:jc w:val="center"/>
              <w:rPr>
                <w:rFonts w:hAnsi="宋体" w:cs="宋体"/>
                <w:sz w:val="24"/>
                <w:szCs w:val="24"/>
              </w:rPr>
            </w:pPr>
            <w:r>
              <w:rPr>
                <w:rFonts w:hint="eastAsia" w:hAnsi="宋体" w:cs="宋体"/>
                <w:sz w:val="24"/>
                <w:szCs w:val="24"/>
                <w:lang w:val="en-US" w:eastAsia="zh-CN"/>
              </w:rPr>
              <w:t xml:space="preserve"> </w:t>
            </w:r>
            <w:r>
              <w:rPr>
                <w:rFonts w:hint="eastAsia" w:hAnsi="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20" w:type="dxa"/>
            <w:vAlign w:val="center"/>
          </w:tcPr>
          <w:p>
            <w:pPr>
              <w:jc w:val="center"/>
              <w:rPr>
                <w:rFonts w:hAnsi="宋体" w:cs="宋体"/>
                <w:sz w:val="24"/>
                <w:szCs w:val="24"/>
              </w:rPr>
            </w:pPr>
            <w:r>
              <w:rPr>
                <w:rFonts w:hint="eastAsia" w:hAnsi="宋体" w:cs="宋体"/>
                <w:sz w:val="24"/>
                <w:szCs w:val="24"/>
              </w:rPr>
              <w:t>技术负责人</w:t>
            </w:r>
          </w:p>
        </w:tc>
        <w:tc>
          <w:tcPr>
            <w:tcW w:w="1236" w:type="dxa"/>
            <w:gridSpan w:val="2"/>
            <w:vAlign w:val="center"/>
          </w:tcPr>
          <w:p>
            <w:pPr>
              <w:jc w:val="center"/>
              <w:rPr>
                <w:rFonts w:hAnsi="宋体" w:cs="宋体"/>
                <w:sz w:val="24"/>
                <w:szCs w:val="24"/>
              </w:rPr>
            </w:pPr>
            <w:r>
              <w:rPr>
                <w:rFonts w:hint="eastAsia" w:hAnsi="宋体" w:cs="宋体"/>
                <w:sz w:val="24"/>
                <w:szCs w:val="24"/>
              </w:rPr>
              <w:t>姓名</w:t>
            </w:r>
          </w:p>
        </w:tc>
        <w:tc>
          <w:tcPr>
            <w:tcW w:w="1374" w:type="dxa"/>
            <w:vAlign w:val="center"/>
          </w:tcPr>
          <w:p>
            <w:pPr>
              <w:jc w:val="center"/>
              <w:rPr>
                <w:rFonts w:hAnsi="宋体" w:cs="宋体"/>
                <w:sz w:val="24"/>
                <w:szCs w:val="24"/>
              </w:rPr>
            </w:pPr>
          </w:p>
        </w:tc>
        <w:tc>
          <w:tcPr>
            <w:tcW w:w="1295" w:type="dxa"/>
            <w:vAlign w:val="center"/>
          </w:tcPr>
          <w:p>
            <w:pPr>
              <w:jc w:val="center"/>
              <w:rPr>
                <w:rFonts w:hAnsi="宋体" w:cs="宋体"/>
                <w:sz w:val="24"/>
                <w:szCs w:val="24"/>
              </w:rPr>
            </w:pPr>
            <w:r>
              <w:rPr>
                <w:rFonts w:hint="eastAsia" w:hAnsi="宋体" w:cs="宋体"/>
                <w:sz w:val="24"/>
                <w:szCs w:val="24"/>
              </w:rPr>
              <w:t>技术职称</w:t>
            </w:r>
          </w:p>
        </w:tc>
        <w:tc>
          <w:tcPr>
            <w:tcW w:w="587" w:type="dxa"/>
            <w:gridSpan w:val="2"/>
            <w:vAlign w:val="center"/>
          </w:tcPr>
          <w:p>
            <w:pPr>
              <w:jc w:val="center"/>
              <w:rPr>
                <w:rFonts w:hAnsi="宋体" w:cs="宋体"/>
                <w:sz w:val="24"/>
                <w:szCs w:val="24"/>
              </w:rPr>
            </w:pPr>
            <w:r>
              <w:rPr>
                <w:rFonts w:hint="eastAsia" w:hAnsi="宋体" w:cs="宋体"/>
                <w:sz w:val="24"/>
                <w:szCs w:val="24"/>
              </w:rPr>
              <w:t>/</w:t>
            </w:r>
          </w:p>
        </w:tc>
        <w:tc>
          <w:tcPr>
            <w:tcW w:w="1521" w:type="dxa"/>
            <w:gridSpan w:val="2"/>
            <w:vAlign w:val="center"/>
          </w:tcPr>
          <w:p>
            <w:pPr>
              <w:jc w:val="center"/>
              <w:rPr>
                <w:rFonts w:hAnsi="宋体" w:cs="宋体"/>
                <w:sz w:val="24"/>
                <w:szCs w:val="24"/>
              </w:rPr>
            </w:pPr>
            <w:r>
              <w:rPr>
                <w:rFonts w:hint="eastAsia" w:hAnsi="宋体" w:cs="宋体"/>
                <w:sz w:val="24"/>
                <w:szCs w:val="24"/>
              </w:rPr>
              <w:t>联系电话</w:t>
            </w:r>
          </w:p>
        </w:tc>
        <w:tc>
          <w:tcPr>
            <w:tcW w:w="1606"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20" w:type="dxa"/>
            <w:vAlign w:val="center"/>
          </w:tcPr>
          <w:p>
            <w:pPr>
              <w:jc w:val="center"/>
              <w:rPr>
                <w:rFonts w:hAnsi="宋体" w:cs="宋体"/>
                <w:sz w:val="24"/>
                <w:szCs w:val="24"/>
              </w:rPr>
            </w:pPr>
            <w:r>
              <w:rPr>
                <w:rFonts w:hint="eastAsia" w:hAnsi="宋体" w:cs="宋体"/>
                <w:sz w:val="24"/>
                <w:szCs w:val="24"/>
              </w:rPr>
              <w:t>成立时间</w:t>
            </w:r>
          </w:p>
        </w:tc>
        <w:tc>
          <w:tcPr>
            <w:tcW w:w="2610" w:type="dxa"/>
            <w:gridSpan w:val="3"/>
            <w:vAlign w:val="center"/>
          </w:tcPr>
          <w:p>
            <w:pPr>
              <w:jc w:val="center"/>
              <w:rPr>
                <w:rFonts w:hAnsi="宋体" w:cs="宋体"/>
                <w:sz w:val="24"/>
                <w:szCs w:val="24"/>
              </w:rPr>
            </w:pPr>
          </w:p>
        </w:tc>
        <w:tc>
          <w:tcPr>
            <w:tcW w:w="5009" w:type="dxa"/>
            <w:gridSpan w:val="6"/>
            <w:vAlign w:val="center"/>
          </w:tcPr>
          <w:p>
            <w:pPr>
              <w:jc w:val="center"/>
              <w:rPr>
                <w:rFonts w:hAnsi="宋体" w:cs="宋体"/>
                <w:sz w:val="24"/>
                <w:szCs w:val="24"/>
              </w:rPr>
            </w:pPr>
            <w:r>
              <w:rPr>
                <w:rFonts w:hint="eastAsia" w:hAnsi="宋体" w:cs="宋体"/>
                <w:sz w:val="24"/>
                <w:szCs w:val="24"/>
              </w:rPr>
              <w:t>员工总人数：30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720" w:type="dxa"/>
            <w:vAlign w:val="center"/>
          </w:tcPr>
          <w:p>
            <w:pPr>
              <w:jc w:val="center"/>
              <w:rPr>
                <w:rFonts w:hAnsi="宋体" w:cs="宋体"/>
                <w:sz w:val="24"/>
                <w:szCs w:val="24"/>
              </w:rPr>
            </w:pPr>
            <w:r>
              <w:rPr>
                <w:rFonts w:hint="eastAsia" w:hAnsi="宋体" w:cs="宋体"/>
                <w:sz w:val="24"/>
                <w:szCs w:val="24"/>
              </w:rPr>
              <w:t>企业资质等级</w:t>
            </w:r>
          </w:p>
        </w:tc>
        <w:tc>
          <w:tcPr>
            <w:tcW w:w="2610" w:type="dxa"/>
            <w:gridSpan w:val="3"/>
            <w:vAlign w:val="center"/>
          </w:tcPr>
          <w:p>
            <w:pPr>
              <w:jc w:val="center"/>
              <w:rPr>
                <w:rFonts w:hAnsi="宋体" w:cs="宋体"/>
                <w:sz w:val="24"/>
                <w:szCs w:val="24"/>
              </w:rPr>
            </w:pPr>
          </w:p>
        </w:tc>
        <w:tc>
          <w:tcPr>
            <w:tcW w:w="1510" w:type="dxa"/>
            <w:gridSpan w:val="2"/>
            <w:vMerge w:val="restart"/>
            <w:vAlign w:val="center"/>
          </w:tcPr>
          <w:p>
            <w:pPr>
              <w:jc w:val="center"/>
              <w:rPr>
                <w:rFonts w:hAnsi="宋体" w:cs="宋体"/>
                <w:sz w:val="24"/>
                <w:szCs w:val="24"/>
              </w:rPr>
            </w:pPr>
            <w:r>
              <w:rPr>
                <w:rFonts w:hint="eastAsia" w:hAnsi="宋体" w:cs="宋体"/>
                <w:sz w:val="24"/>
                <w:szCs w:val="24"/>
              </w:rPr>
              <w:t>其中</w:t>
            </w:r>
          </w:p>
        </w:tc>
        <w:tc>
          <w:tcPr>
            <w:tcW w:w="1893" w:type="dxa"/>
            <w:gridSpan w:val="3"/>
            <w:vAlign w:val="center"/>
          </w:tcPr>
          <w:p>
            <w:pPr>
              <w:jc w:val="center"/>
              <w:rPr>
                <w:rFonts w:hAnsi="宋体" w:cs="宋体"/>
                <w:sz w:val="24"/>
                <w:szCs w:val="24"/>
              </w:rPr>
            </w:pPr>
            <w:r>
              <w:rPr>
                <w:rFonts w:hint="eastAsia" w:hAnsi="宋体" w:cs="宋体"/>
                <w:sz w:val="24"/>
                <w:szCs w:val="24"/>
              </w:rPr>
              <w:t>注册房地产估价师</w:t>
            </w:r>
          </w:p>
        </w:tc>
        <w:tc>
          <w:tcPr>
            <w:tcW w:w="1606"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20" w:type="dxa"/>
            <w:vAlign w:val="center"/>
          </w:tcPr>
          <w:p>
            <w:pPr>
              <w:jc w:val="center"/>
              <w:rPr>
                <w:rFonts w:hAnsi="宋体" w:cs="宋体"/>
                <w:sz w:val="24"/>
                <w:szCs w:val="24"/>
              </w:rPr>
            </w:pPr>
            <w:r>
              <w:rPr>
                <w:rFonts w:hint="eastAsia" w:hAnsi="宋体" w:cs="宋体"/>
                <w:sz w:val="24"/>
                <w:szCs w:val="24"/>
              </w:rPr>
              <w:t>营业执照号</w:t>
            </w:r>
          </w:p>
        </w:tc>
        <w:tc>
          <w:tcPr>
            <w:tcW w:w="2610" w:type="dxa"/>
            <w:gridSpan w:val="3"/>
            <w:vAlign w:val="center"/>
          </w:tcPr>
          <w:p>
            <w:pPr>
              <w:jc w:val="center"/>
              <w:rPr>
                <w:rFonts w:hAnsi="宋体" w:cs="宋体"/>
                <w:sz w:val="24"/>
                <w:szCs w:val="24"/>
              </w:rPr>
            </w:pPr>
          </w:p>
        </w:tc>
        <w:tc>
          <w:tcPr>
            <w:tcW w:w="1510" w:type="dxa"/>
            <w:gridSpan w:val="2"/>
            <w:vMerge w:val="continue"/>
            <w:vAlign w:val="center"/>
          </w:tcPr>
          <w:p>
            <w:pPr>
              <w:jc w:val="center"/>
              <w:rPr>
                <w:rFonts w:hAnsi="宋体" w:cs="宋体"/>
                <w:sz w:val="24"/>
                <w:szCs w:val="24"/>
              </w:rPr>
            </w:pPr>
          </w:p>
        </w:tc>
        <w:tc>
          <w:tcPr>
            <w:tcW w:w="1893" w:type="dxa"/>
            <w:gridSpan w:val="3"/>
            <w:vAlign w:val="center"/>
          </w:tcPr>
          <w:p>
            <w:pPr>
              <w:jc w:val="center"/>
              <w:rPr>
                <w:rFonts w:hAnsi="宋体" w:cs="宋体"/>
                <w:sz w:val="24"/>
                <w:szCs w:val="24"/>
              </w:rPr>
            </w:pPr>
            <w:r>
              <w:rPr>
                <w:rFonts w:hint="eastAsia" w:hAnsi="宋体" w:cs="宋体"/>
                <w:sz w:val="24"/>
                <w:szCs w:val="24"/>
              </w:rPr>
              <w:t>注册土地估价师</w:t>
            </w:r>
          </w:p>
        </w:tc>
        <w:tc>
          <w:tcPr>
            <w:tcW w:w="1606"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0" w:type="dxa"/>
            <w:vAlign w:val="center"/>
          </w:tcPr>
          <w:p>
            <w:pPr>
              <w:jc w:val="center"/>
              <w:rPr>
                <w:rFonts w:hAnsi="宋体" w:cs="宋体"/>
                <w:sz w:val="24"/>
                <w:szCs w:val="24"/>
              </w:rPr>
            </w:pPr>
            <w:r>
              <w:rPr>
                <w:rFonts w:hint="eastAsia" w:hAnsi="宋体" w:cs="宋体"/>
                <w:sz w:val="24"/>
                <w:szCs w:val="24"/>
              </w:rPr>
              <w:t>注册资金</w:t>
            </w:r>
          </w:p>
        </w:tc>
        <w:tc>
          <w:tcPr>
            <w:tcW w:w="2610" w:type="dxa"/>
            <w:gridSpan w:val="3"/>
            <w:vAlign w:val="center"/>
          </w:tcPr>
          <w:p>
            <w:pPr>
              <w:jc w:val="center"/>
              <w:rPr>
                <w:rFonts w:hAnsi="宋体" w:cs="宋体"/>
                <w:sz w:val="24"/>
                <w:szCs w:val="24"/>
              </w:rPr>
            </w:pPr>
          </w:p>
        </w:tc>
        <w:tc>
          <w:tcPr>
            <w:tcW w:w="1510" w:type="dxa"/>
            <w:gridSpan w:val="2"/>
            <w:vMerge w:val="continue"/>
            <w:vAlign w:val="center"/>
          </w:tcPr>
          <w:p>
            <w:pPr>
              <w:jc w:val="center"/>
              <w:rPr>
                <w:rFonts w:hAnsi="宋体" w:cs="宋体"/>
                <w:sz w:val="24"/>
                <w:szCs w:val="24"/>
              </w:rPr>
            </w:pPr>
          </w:p>
        </w:tc>
        <w:tc>
          <w:tcPr>
            <w:tcW w:w="1893" w:type="dxa"/>
            <w:gridSpan w:val="3"/>
            <w:vAlign w:val="center"/>
          </w:tcPr>
          <w:p>
            <w:pPr>
              <w:jc w:val="center"/>
              <w:rPr>
                <w:rFonts w:hAnsi="宋体" w:cs="宋体"/>
                <w:sz w:val="24"/>
                <w:szCs w:val="24"/>
              </w:rPr>
            </w:pP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20" w:type="dxa"/>
            <w:vAlign w:val="center"/>
          </w:tcPr>
          <w:p>
            <w:pPr>
              <w:jc w:val="center"/>
              <w:rPr>
                <w:rFonts w:hAnsi="宋体" w:cs="宋体"/>
                <w:sz w:val="24"/>
                <w:szCs w:val="24"/>
              </w:rPr>
            </w:pPr>
            <w:r>
              <w:rPr>
                <w:rFonts w:hint="eastAsia" w:hAnsi="宋体" w:cs="宋体"/>
                <w:sz w:val="24"/>
                <w:szCs w:val="24"/>
              </w:rPr>
              <w:t>开户银行</w:t>
            </w:r>
          </w:p>
        </w:tc>
        <w:tc>
          <w:tcPr>
            <w:tcW w:w="2610" w:type="dxa"/>
            <w:gridSpan w:val="3"/>
            <w:vAlign w:val="center"/>
          </w:tcPr>
          <w:p>
            <w:pPr>
              <w:jc w:val="center"/>
              <w:rPr>
                <w:rFonts w:hAnsi="宋体" w:cs="宋体"/>
                <w:sz w:val="24"/>
                <w:szCs w:val="24"/>
              </w:rPr>
            </w:pPr>
          </w:p>
        </w:tc>
        <w:tc>
          <w:tcPr>
            <w:tcW w:w="1510" w:type="dxa"/>
            <w:gridSpan w:val="2"/>
            <w:vMerge w:val="continue"/>
            <w:vAlign w:val="center"/>
          </w:tcPr>
          <w:p>
            <w:pPr>
              <w:jc w:val="center"/>
              <w:rPr>
                <w:rFonts w:hAnsi="宋体" w:cs="宋体"/>
                <w:sz w:val="24"/>
                <w:szCs w:val="24"/>
              </w:rPr>
            </w:pPr>
          </w:p>
        </w:tc>
        <w:tc>
          <w:tcPr>
            <w:tcW w:w="1893" w:type="dxa"/>
            <w:gridSpan w:val="3"/>
            <w:vAlign w:val="center"/>
          </w:tcPr>
          <w:p>
            <w:pPr>
              <w:jc w:val="center"/>
              <w:rPr>
                <w:rFonts w:hAnsi="宋体" w:cs="宋体"/>
                <w:sz w:val="24"/>
                <w:szCs w:val="24"/>
              </w:rPr>
            </w:pP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20" w:type="dxa"/>
            <w:vAlign w:val="center"/>
          </w:tcPr>
          <w:p>
            <w:pPr>
              <w:jc w:val="center"/>
              <w:rPr>
                <w:rFonts w:hAnsi="宋体" w:cs="宋体"/>
                <w:sz w:val="24"/>
                <w:szCs w:val="24"/>
              </w:rPr>
            </w:pPr>
            <w:r>
              <w:rPr>
                <w:rFonts w:hint="eastAsia" w:hAnsi="宋体" w:cs="宋体"/>
                <w:sz w:val="24"/>
                <w:szCs w:val="24"/>
              </w:rPr>
              <w:t>账号</w:t>
            </w:r>
          </w:p>
        </w:tc>
        <w:tc>
          <w:tcPr>
            <w:tcW w:w="2610" w:type="dxa"/>
            <w:gridSpan w:val="3"/>
            <w:vAlign w:val="center"/>
          </w:tcPr>
          <w:p>
            <w:pPr>
              <w:jc w:val="center"/>
              <w:rPr>
                <w:rFonts w:hAnsi="宋体" w:cs="宋体"/>
                <w:sz w:val="24"/>
                <w:szCs w:val="24"/>
              </w:rPr>
            </w:pPr>
          </w:p>
        </w:tc>
        <w:tc>
          <w:tcPr>
            <w:tcW w:w="1510" w:type="dxa"/>
            <w:gridSpan w:val="2"/>
            <w:vMerge w:val="continue"/>
            <w:vAlign w:val="center"/>
          </w:tcPr>
          <w:p>
            <w:pPr>
              <w:jc w:val="center"/>
              <w:rPr>
                <w:rFonts w:hAnsi="宋体" w:cs="宋体"/>
                <w:sz w:val="24"/>
                <w:szCs w:val="24"/>
              </w:rPr>
            </w:pPr>
          </w:p>
        </w:tc>
        <w:tc>
          <w:tcPr>
            <w:tcW w:w="1893" w:type="dxa"/>
            <w:gridSpan w:val="3"/>
            <w:vAlign w:val="center"/>
          </w:tcPr>
          <w:p>
            <w:pPr>
              <w:jc w:val="center"/>
              <w:rPr>
                <w:rFonts w:hAnsi="宋体" w:cs="宋体"/>
                <w:sz w:val="24"/>
                <w:szCs w:val="24"/>
              </w:rPr>
            </w:pPr>
          </w:p>
        </w:tc>
        <w:tc>
          <w:tcPr>
            <w:tcW w:w="1606" w:type="dxa"/>
            <w:vAlign w:val="center"/>
          </w:tcPr>
          <w:p>
            <w:pPr>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720" w:type="dxa"/>
            <w:vAlign w:val="center"/>
          </w:tcPr>
          <w:p>
            <w:pPr>
              <w:jc w:val="center"/>
              <w:rPr>
                <w:rFonts w:hAnsi="宋体" w:cs="宋体"/>
                <w:sz w:val="24"/>
                <w:szCs w:val="24"/>
              </w:rPr>
            </w:pPr>
            <w:r>
              <w:rPr>
                <w:rFonts w:hint="eastAsia" w:hAnsi="宋体" w:cs="宋体"/>
                <w:sz w:val="24"/>
                <w:szCs w:val="24"/>
              </w:rPr>
              <w:t>经营范围</w:t>
            </w:r>
          </w:p>
        </w:tc>
        <w:tc>
          <w:tcPr>
            <w:tcW w:w="7619" w:type="dxa"/>
            <w:gridSpan w:val="9"/>
            <w:vAlign w:val="center"/>
          </w:tcPr>
          <w:p>
            <w:pPr>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720" w:type="dxa"/>
            <w:vAlign w:val="center"/>
          </w:tcPr>
          <w:p>
            <w:pPr>
              <w:jc w:val="center"/>
              <w:rPr>
                <w:rFonts w:hAnsi="宋体" w:cs="宋体"/>
                <w:sz w:val="24"/>
                <w:szCs w:val="24"/>
              </w:rPr>
            </w:pPr>
            <w:r>
              <w:rPr>
                <w:rFonts w:hint="eastAsia" w:hAnsi="宋体" w:cs="宋体"/>
                <w:sz w:val="24"/>
                <w:szCs w:val="24"/>
              </w:rPr>
              <w:t>备注</w:t>
            </w:r>
          </w:p>
        </w:tc>
        <w:tc>
          <w:tcPr>
            <w:tcW w:w="7619" w:type="dxa"/>
            <w:gridSpan w:val="9"/>
            <w:vAlign w:val="center"/>
          </w:tcPr>
          <w:p>
            <w:pPr>
              <w:jc w:val="center"/>
              <w:rPr>
                <w:rFonts w:hAnsi="宋体" w:cs="宋体"/>
                <w:sz w:val="24"/>
                <w:szCs w:val="24"/>
              </w:rPr>
            </w:pPr>
          </w:p>
        </w:tc>
      </w:tr>
    </w:tbl>
    <w:p>
      <w:pPr>
        <w:widowControl/>
        <w:spacing w:line="360" w:lineRule="atLeast"/>
        <w:ind w:firstLine="470" w:firstLineChars="196"/>
        <w:jc w:val="left"/>
        <w:outlineLvl w:val="1"/>
        <w:rPr>
          <w:sz w:val="24"/>
        </w:rPr>
      </w:pPr>
    </w:p>
    <w:p>
      <w:pPr>
        <w:widowControl/>
        <w:spacing w:line="360" w:lineRule="atLeast"/>
        <w:ind w:firstLine="470" w:firstLineChars="196"/>
        <w:jc w:val="left"/>
        <w:outlineLvl w:val="1"/>
        <w:rPr>
          <w:sz w:val="24"/>
        </w:rPr>
      </w:pPr>
      <w:r>
        <w:rPr>
          <w:rFonts w:hint="eastAsia"/>
          <w:sz w:val="24"/>
        </w:rPr>
        <w:t>供应商名称：</w:t>
      </w:r>
      <w:r>
        <w:rPr>
          <w:rFonts w:hint="eastAsia" w:hAnsi="宋体"/>
          <w:bCs/>
          <w:sz w:val="24"/>
        </w:rPr>
        <w:t xml:space="preserve">XXX XXX </w:t>
      </w:r>
      <w:r>
        <w:rPr>
          <w:rFonts w:hint="eastAsia"/>
          <w:sz w:val="24"/>
        </w:rPr>
        <w:t>（单位盖章）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w:t>
      </w:r>
      <w:r>
        <w:rPr>
          <w:rFonts w:hint="eastAsia" w:hAnsi="宋体"/>
          <w:bCs/>
          <w:sz w:val="24"/>
        </w:rPr>
        <w:t xml:space="preserve">XXX XXX </w:t>
      </w:r>
      <w:r>
        <w:rPr>
          <w:rFonts w:hint="eastAsia"/>
          <w:sz w:val="24"/>
        </w:rPr>
        <w:t xml:space="preserve"> </w:t>
      </w:r>
    </w:p>
    <w:p>
      <w:pPr>
        <w:widowControl/>
        <w:spacing w:line="360" w:lineRule="atLeast"/>
        <w:ind w:firstLine="470" w:firstLineChars="196"/>
        <w:jc w:val="left"/>
        <w:outlineLvl w:val="1"/>
        <w:rPr>
          <w:rFonts w:hAnsi="宋体" w:cs="宋体"/>
          <w:b/>
          <w:sz w:val="24"/>
          <w:szCs w:val="24"/>
        </w:rPr>
      </w:pPr>
      <w:r>
        <w:rPr>
          <w:rFonts w:hint="eastAsia"/>
          <w:sz w:val="24"/>
        </w:rPr>
        <w:t>日期：</w:t>
      </w:r>
      <w:r>
        <w:rPr>
          <w:rFonts w:hint="eastAsia" w:hAnsi="宋体"/>
          <w:bCs/>
          <w:sz w:val="24"/>
        </w:rPr>
        <w:t xml:space="preserve">XXX XXX </w:t>
      </w:r>
    </w:p>
    <w:p>
      <w:pPr>
        <w:widowControl/>
        <w:spacing w:line="360" w:lineRule="atLeast"/>
        <w:outlineLvl w:val="1"/>
        <w:rPr>
          <w:rFonts w:hAnsi="宋体" w:cs="宋体"/>
          <w:b/>
          <w:bCs/>
          <w:sz w:val="24"/>
          <w:szCs w:val="24"/>
        </w:rPr>
      </w:pPr>
    </w:p>
    <w:p>
      <w:pPr>
        <w:widowControl/>
        <w:spacing w:line="360" w:lineRule="atLeast"/>
        <w:outlineLvl w:val="1"/>
        <w:rPr>
          <w:rFonts w:hAnsi="宋体" w:cs="宋体"/>
          <w:b/>
          <w:bCs/>
          <w:sz w:val="24"/>
          <w:szCs w:val="24"/>
        </w:rPr>
      </w:pPr>
    </w:p>
    <w:p>
      <w:pPr>
        <w:widowControl/>
        <w:spacing w:line="360" w:lineRule="atLeast"/>
        <w:outlineLvl w:val="1"/>
        <w:rPr>
          <w:rFonts w:hAnsi="宋体" w:cs="宋体"/>
          <w:b/>
          <w:bCs/>
          <w:sz w:val="24"/>
          <w:szCs w:val="24"/>
        </w:rPr>
      </w:pPr>
    </w:p>
    <w:p>
      <w:pPr>
        <w:widowControl/>
        <w:spacing w:line="360" w:lineRule="atLeast"/>
        <w:outlineLvl w:val="1"/>
        <w:rPr>
          <w:rFonts w:hAnsi="宋体" w:cs="宋体"/>
          <w:b/>
          <w:sz w:val="32"/>
          <w:szCs w:val="32"/>
        </w:rPr>
      </w:pPr>
      <w:r>
        <w:rPr>
          <w:rFonts w:hint="eastAsia" w:hAnsi="宋体" w:cs="宋体"/>
          <w:b/>
          <w:bCs/>
          <w:sz w:val="24"/>
          <w:szCs w:val="24"/>
        </w:rPr>
        <w:t>附件3：</w:t>
      </w:r>
      <w:r>
        <w:rPr>
          <w:rFonts w:hint="eastAsia" w:hAnsi="宋体" w:cs="宋体"/>
          <w:b/>
          <w:bCs/>
          <w:sz w:val="28"/>
          <w:szCs w:val="28"/>
        </w:rPr>
        <w:t xml:space="preserve">            技术服务要求响应表</w:t>
      </w:r>
    </w:p>
    <w:p>
      <w:pPr>
        <w:widowControl/>
        <w:spacing w:line="360" w:lineRule="atLeast"/>
        <w:jc w:val="left"/>
        <w:outlineLvl w:val="1"/>
        <w:rPr>
          <w:rFonts w:hAnsi="宋体" w:cs="宋体"/>
          <w:bCs/>
          <w:sz w:val="24"/>
        </w:rPr>
      </w:pPr>
      <w:r>
        <w:rPr>
          <w:rFonts w:hint="eastAsia" w:hAnsi="宋体" w:cs="宋体"/>
          <w:bCs/>
          <w:sz w:val="24"/>
        </w:rPr>
        <w:t>项目名称：</w:t>
      </w:r>
    </w:p>
    <w:p>
      <w:pPr>
        <w:widowControl/>
        <w:spacing w:line="360" w:lineRule="atLeast"/>
        <w:jc w:val="left"/>
        <w:outlineLvl w:val="1"/>
        <w:rPr>
          <w:rFonts w:hAnsi="宋体" w:cs="宋体"/>
          <w:sz w:val="24"/>
        </w:rPr>
      </w:pPr>
      <w:r>
        <w:rPr>
          <w:rFonts w:hint="eastAsia" w:hAnsi="宋体" w:cs="宋体"/>
          <w:bCs/>
          <w:sz w:val="24"/>
        </w:rPr>
        <w:t>项目编号：</w:t>
      </w:r>
      <w:r>
        <w:rPr>
          <w:rFonts w:hint="eastAsia" w:hAnsi="宋体" w:cs="宋体"/>
          <w:sz w:val="24"/>
        </w:rPr>
        <w:t xml:space="preserve">                                </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4302"/>
        <w:gridCol w:w="2160"/>
        <w:gridCol w:w="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pStyle w:val="63"/>
              <w:jc w:val="center"/>
              <w:rPr>
                <w:rFonts w:ascii="宋体" w:hAnsi="宋体" w:cs="宋体"/>
              </w:rPr>
            </w:pPr>
            <w:r>
              <w:rPr>
                <w:rFonts w:hint="eastAsia" w:ascii="宋体" w:hAnsi="宋体" w:cs="宋体"/>
              </w:rPr>
              <w:t>序号</w:t>
            </w:r>
          </w:p>
        </w:tc>
        <w:tc>
          <w:tcPr>
            <w:tcW w:w="4302" w:type="dxa"/>
            <w:tcBorders>
              <w:top w:val="single" w:color="auto" w:sz="4" w:space="0"/>
              <w:left w:val="single" w:color="auto" w:sz="4" w:space="0"/>
              <w:bottom w:val="single" w:color="auto" w:sz="4" w:space="0"/>
              <w:right w:val="single" w:color="auto" w:sz="4" w:space="0"/>
            </w:tcBorders>
            <w:vAlign w:val="center"/>
          </w:tcPr>
          <w:p>
            <w:pPr>
              <w:pStyle w:val="63"/>
              <w:jc w:val="center"/>
              <w:rPr>
                <w:rFonts w:ascii="宋体" w:hAnsi="宋体" w:cs="宋体"/>
              </w:rPr>
            </w:pPr>
            <w:r>
              <w:rPr>
                <w:rFonts w:hint="eastAsia" w:ascii="宋体" w:hAnsi="宋体" w:cs="宋体"/>
              </w:rPr>
              <w:t>磋商文件要求</w:t>
            </w:r>
          </w:p>
        </w:tc>
        <w:tc>
          <w:tcPr>
            <w:tcW w:w="2160" w:type="dxa"/>
            <w:tcBorders>
              <w:top w:val="single" w:color="auto" w:sz="4" w:space="0"/>
              <w:left w:val="single" w:color="auto" w:sz="4" w:space="0"/>
              <w:bottom w:val="single" w:color="auto" w:sz="4" w:space="0"/>
              <w:right w:val="single" w:color="auto" w:sz="4" w:space="0"/>
            </w:tcBorders>
            <w:vAlign w:val="center"/>
          </w:tcPr>
          <w:p>
            <w:pPr>
              <w:pStyle w:val="63"/>
              <w:jc w:val="center"/>
              <w:rPr>
                <w:rFonts w:ascii="宋体" w:hAnsi="宋体" w:cs="宋体"/>
              </w:rPr>
            </w:pPr>
            <w:r>
              <w:rPr>
                <w:rFonts w:hint="eastAsia" w:ascii="宋体" w:hAnsi="宋体" w:cs="宋体"/>
              </w:rPr>
              <w:t>投标响应</w:t>
            </w:r>
          </w:p>
        </w:tc>
        <w:tc>
          <w:tcPr>
            <w:tcW w:w="885" w:type="dxa"/>
            <w:tcBorders>
              <w:top w:val="single" w:color="auto" w:sz="4" w:space="0"/>
              <w:left w:val="single" w:color="auto" w:sz="4" w:space="0"/>
              <w:bottom w:val="single" w:color="auto" w:sz="4" w:space="0"/>
              <w:right w:val="single" w:color="auto" w:sz="4" w:space="0"/>
            </w:tcBorders>
            <w:vAlign w:val="center"/>
          </w:tcPr>
          <w:p>
            <w:pPr>
              <w:pStyle w:val="63"/>
              <w:ind w:firstLine="128" w:firstLineChars="50"/>
              <w:rPr>
                <w:rFonts w:ascii="宋体" w:hAnsi="宋体" w:cs="宋体"/>
              </w:rPr>
            </w:pPr>
            <w:r>
              <w:rPr>
                <w:rFonts w:hint="eastAsia" w:ascii="宋体" w:hAnsi="宋体" w:cs="宋体"/>
                <w:bCs/>
                <w:spacing w:val="8"/>
              </w:rPr>
              <w:t>偏离情况</w:t>
            </w:r>
          </w:p>
        </w:tc>
        <w:tc>
          <w:tcPr>
            <w:tcW w:w="1275" w:type="dxa"/>
            <w:tcBorders>
              <w:top w:val="single" w:color="auto" w:sz="4" w:space="0"/>
              <w:left w:val="single" w:color="auto" w:sz="4" w:space="0"/>
              <w:bottom w:val="single" w:color="auto" w:sz="4" w:space="0"/>
              <w:right w:val="single" w:color="auto" w:sz="4" w:space="0"/>
            </w:tcBorders>
            <w:vAlign w:val="center"/>
          </w:tcPr>
          <w:p>
            <w:pPr>
              <w:pStyle w:val="63"/>
              <w:ind w:firstLine="240" w:firstLineChars="100"/>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4302"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4302"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4302"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4302"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2160"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88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c>
          <w:tcPr>
            <w:tcW w:w="1275" w:type="dxa"/>
            <w:tcBorders>
              <w:top w:val="single" w:color="auto" w:sz="4" w:space="0"/>
              <w:left w:val="single" w:color="auto" w:sz="4" w:space="0"/>
              <w:bottom w:val="single" w:color="auto" w:sz="4" w:space="0"/>
              <w:right w:val="single" w:color="auto" w:sz="4" w:space="0"/>
            </w:tcBorders>
          </w:tcPr>
          <w:p>
            <w:pPr>
              <w:pStyle w:val="63"/>
              <w:rPr>
                <w:rFonts w:ascii="宋体" w:hAnsi="宋体" w:cs="宋体"/>
                <w:sz w:val="21"/>
                <w:szCs w:val="21"/>
              </w:rPr>
            </w:pPr>
          </w:p>
        </w:tc>
      </w:tr>
    </w:tbl>
    <w:p>
      <w:pPr>
        <w:widowControl/>
        <w:spacing w:line="360" w:lineRule="atLeast"/>
        <w:jc w:val="left"/>
        <w:outlineLvl w:val="1"/>
        <w:rPr>
          <w:rFonts w:hAnsi="宋体" w:cs="宋体"/>
          <w:sz w:val="24"/>
        </w:rPr>
      </w:pPr>
      <w:r>
        <w:rPr>
          <w:rFonts w:hint="eastAsia" w:hAnsi="宋体" w:cs="宋体"/>
          <w:sz w:val="24"/>
        </w:rPr>
        <w:t xml:space="preserve">                                  </w:t>
      </w:r>
    </w:p>
    <w:p>
      <w:pPr>
        <w:adjustRightInd w:val="0"/>
        <w:spacing w:line="480" w:lineRule="exact"/>
        <w:rPr>
          <w:rFonts w:hAnsi="宋体"/>
          <w:bCs/>
          <w:spacing w:val="8"/>
          <w:sz w:val="24"/>
        </w:rPr>
      </w:pPr>
      <w:r>
        <w:rPr>
          <w:rFonts w:hint="eastAsia" w:hAnsi="宋体"/>
          <w:bCs/>
          <w:spacing w:val="8"/>
          <w:sz w:val="24"/>
        </w:rPr>
        <w:t>注：1、供应商按照招标文件要求做出的技术应答，主要是针对采购项目的技术指标、参数和技术要求做出的实质性响应和满足。</w:t>
      </w:r>
    </w:p>
    <w:p>
      <w:pPr>
        <w:adjustRightInd w:val="0"/>
        <w:spacing w:line="480" w:lineRule="exact"/>
        <w:ind w:firstLine="512" w:firstLineChars="200"/>
        <w:rPr>
          <w:rFonts w:hAnsi="宋体"/>
          <w:bCs/>
          <w:spacing w:val="8"/>
          <w:sz w:val="24"/>
        </w:rPr>
      </w:pPr>
      <w:r>
        <w:rPr>
          <w:rFonts w:hint="eastAsia" w:hAnsi="宋体"/>
          <w:bCs/>
          <w:spacing w:val="8"/>
          <w:sz w:val="24"/>
        </w:rPr>
        <w:t>2、供应商必须顺序逐项对照填写，注明正、负或无偏离</w:t>
      </w:r>
    </w:p>
    <w:p>
      <w:pPr>
        <w:adjustRightInd w:val="0"/>
        <w:spacing w:line="480" w:lineRule="exact"/>
        <w:ind w:firstLine="512" w:firstLineChars="200"/>
        <w:rPr>
          <w:rFonts w:hAnsi="宋体"/>
          <w:bCs/>
          <w:spacing w:val="8"/>
          <w:sz w:val="24"/>
        </w:rPr>
      </w:pPr>
      <w:r>
        <w:rPr>
          <w:rFonts w:hAnsi="宋体"/>
          <w:bCs/>
          <w:spacing w:val="8"/>
          <w:sz w:val="24"/>
        </w:rPr>
        <w:t>3</w:t>
      </w:r>
      <w:r>
        <w:rPr>
          <w:rFonts w:hint="eastAsia" w:hAnsi="宋体"/>
          <w:bCs/>
          <w:spacing w:val="8"/>
          <w:sz w:val="24"/>
        </w:rPr>
        <w:t>、供应商必须据实填写，不得虚假响应，否则将取消其投标或中标资格，并按有关规定进行处罚。</w:t>
      </w:r>
    </w:p>
    <w:p>
      <w:pPr>
        <w:pStyle w:val="2"/>
      </w:pPr>
    </w:p>
    <w:p>
      <w:pPr>
        <w:widowControl/>
        <w:spacing w:line="360" w:lineRule="atLeast"/>
        <w:ind w:firstLine="470" w:firstLineChars="196"/>
        <w:jc w:val="left"/>
        <w:outlineLvl w:val="1"/>
        <w:rPr>
          <w:sz w:val="24"/>
        </w:rPr>
      </w:pPr>
      <w:r>
        <w:rPr>
          <w:rFonts w:hint="eastAsia"/>
          <w:sz w:val="24"/>
        </w:rPr>
        <w:t>供应商名称：</w:t>
      </w:r>
      <w:r>
        <w:rPr>
          <w:rFonts w:hint="eastAsia" w:hAnsi="宋体"/>
          <w:bCs/>
          <w:sz w:val="24"/>
        </w:rPr>
        <w:t xml:space="preserve">XXX XXX </w:t>
      </w:r>
      <w:r>
        <w:rPr>
          <w:rFonts w:hint="eastAsia"/>
          <w:sz w:val="24"/>
        </w:rPr>
        <w:t>（单位盖章）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w:t>
      </w:r>
      <w:r>
        <w:rPr>
          <w:rFonts w:hint="eastAsia" w:hAnsi="宋体"/>
          <w:bCs/>
          <w:sz w:val="24"/>
        </w:rPr>
        <w:t xml:space="preserve">XXX XXX </w:t>
      </w:r>
      <w:r>
        <w:rPr>
          <w:rFonts w:hint="eastAsia"/>
          <w:sz w:val="24"/>
        </w:rPr>
        <w:t xml:space="preserve"> </w:t>
      </w:r>
    </w:p>
    <w:p>
      <w:pPr>
        <w:widowControl/>
        <w:spacing w:line="360" w:lineRule="atLeast"/>
        <w:ind w:firstLine="470" w:firstLineChars="196"/>
        <w:jc w:val="left"/>
        <w:outlineLvl w:val="1"/>
        <w:rPr>
          <w:rFonts w:hAnsi="宋体" w:cs="宋体"/>
          <w:b/>
          <w:sz w:val="24"/>
          <w:szCs w:val="24"/>
        </w:rPr>
      </w:pPr>
      <w:r>
        <w:rPr>
          <w:rFonts w:hint="eastAsia"/>
          <w:sz w:val="24"/>
        </w:rPr>
        <w:t>日期：</w:t>
      </w:r>
      <w:r>
        <w:rPr>
          <w:rFonts w:hint="eastAsia" w:hAnsi="宋体"/>
          <w:bCs/>
          <w:sz w:val="24"/>
        </w:rPr>
        <w:t xml:space="preserve">XXX XXX </w:t>
      </w:r>
    </w:p>
    <w:p>
      <w:pPr>
        <w:rPr>
          <w:rFonts w:hAnsi="宋体" w:cs="宋体"/>
          <w:b/>
          <w:bCs/>
          <w:sz w:val="28"/>
          <w:szCs w:val="28"/>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ind w:firstLine="472" w:firstLineChars="196"/>
        <w:jc w:val="left"/>
        <w:outlineLvl w:val="1"/>
        <w:rPr>
          <w:rFonts w:hAnsi="宋体" w:cs="宋体"/>
          <w:b/>
          <w:sz w:val="24"/>
          <w:szCs w:val="24"/>
        </w:rPr>
      </w:pPr>
    </w:p>
    <w:p>
      <w:pPr>
        <w:widowControl/>
        <w:spacing w:line="360" w:lineRule="atLeast"/>
        <w:jc w:val="left"/>
        <w:outlineLvl w:val="1"/>
        <w:rPr>
          <w:rFonts w:hAnsi="宋体" w:cs="宋体"/>
          <w:b/>
          <w:sz w:val="24"/>
          <w:szCs w:val="24"/>
        </w:rPr>
      </w:pPr>
    </w:p>
    <w:p>
      <w:pPr>
        <w:widowControl/>
        <w:spacing w:line="360" w:lineRule="atLeast"/>
        <w:jc w:val="left"/>
        <w:outlineLvl w:val="1"/>
        <w:rPr>
          <w:rFonts w:hAnsi="宋体" w:cs="宋体"/>
          <w:b/>
          <w:sz w:val="24"/>
          <w:szCs w:val="24"/>
        </w:rPr>
      </w:pPr>
    </w:p>
    <w:p>
      <w:pPr>
        <w:widowControl/>
        <w:spacing w:line="360" w:lineRule="atLeast"/>
        <w:jc w:val="left"/>
        <w:outlineLvl w:val="1"/>
        <w:rPr>
          <w:rFonts w:hAnsi="宋体" w:cs="宋体"/>
          <w:b/>
          <w:sz w:val="24"/>
          <w:szCs w:val="24"/>
        </w:rPr>
      </w:pPr>
    </w:p>
    <w:p>
      <w:pPr>
        <w:widowControl/>
        <w:spacing w:line="360" w:lineRule="atLeast"/>
        <w:jc w:val="left"/>
        <w:outlineLvl w:val="1"/>
        <w:rPr>
          <w:rFonts w:hAnsi="宋体" w:cs="宋体"/>
          <w:b/>
          <w:sz w:val="24"/>
          <w:szCs w:val="24"/>
        </w:rPr>
      </w:pPr>
    </w:p>
    <w:p>
      <w:pPr>
        <w:widowControl/>
        <w:spacing w:line="360" w:lineRule="atLeast"/>
        <w:jc w:val="left"/>
        <w:outlineLvl w:val="1"/>
        <w:rPr>
          <w:sz w:val="24"/>
        </w:rPr>
      </w:pPr>
      <w:r>
        <w:rPr>
          <w:rFonts w:hint="eastAsia" w:hAnsi="宋体" w:cs="宋体"/>
          <w:b/>
          <w:sz w:val="24"/>
          <w:szCs w:val="24"/>
        </w:rPr>
        <w:t xml:space="preserve">附件4：                     </w:t>
      </w:r>
      <w:bookmarkEnd w:id="121"/>
    </w:p>
    <w:p>
      <w:pPr>
        <w:pStyle w:val="19"/>
        <w:tabs>
          <w:tab w:val="left" w:pos="0"/>
        </w:tabs>
        <w:ind w:left="0" w:leftChars="0"/>
        <w:jc w:val="center"/>
        <w:rPr>
          <w:b/>
          <w:sz w:val="32"/>
          <w:szCs w:val="32"/>
        </w:rPr>
      </w:pPr>
      <w:bookmarkStart w:id="122" w:name="_Toc217446088"/>
      <w:r>
        <w:rPr>
          <w:rFonts w:hint="eastAsia"/>
          <w:b/>
          <w:sz w:val="32"/>
          <w:szCs w:val="32"/>
        </w:rPr>
        <w:t>商务要求响应表</w:t>
      </w:r>
    </w:p>
    <w:p>
      <w:pPr>
        <w:widowControl/>
        <w:spacing w:line="360" w:lineRule="atLeast"/>
        <w:jc w:val="left"/>
        <w:outlineLvl w:val="1"/>
        <w:rPr>
          <w:bCs/>
          <w:sz w:val="24"/>
        </w:rPr>
      </w:pPr>
      <w:r>
        <w:rPr>
          <w:rFonts w:hint="eastAsia"/>
          <w:b/>
          <w:sz w:val="32"/>
          <w:szCs w:val="32"/>
        </w:rPr>
        <w:t xml:space="preserve">    </w:t>
      </w:r>
      <w:r>
        <w:rPr>
          <w:rFonts w:hint="eastAsia"/>
          <w:bCs/>
          <w:sz w:val="24"/>
        </w:rPr>
        <w:t>项目名称：</w:t>
      </w:r>
    </w:p>
    <w:p>
      <w:pPr>
        <w:widowControl/>
        <w:spacing w:line="360" w:lineRule="atLeast"/>
        <w:ind w:firstLine="720" w:firstLineChars="300"/>
        <w:jc w:val="left"/>
        <w:outlineLvl w:val="1"/>
      </w:pPr>
      <w:r>
        <w:rPr>
          <w:rFonts w:hint="eastAsia"/>
          <w:bCs/>
          <w:sz w:val="24"/>
        </w:rPr>
        <w:t xml:space="preserve">项目编号：                               </w:t>
      </w:r>
      <w:r>
        <w:rPr>
          <w:rFonts w:hint="eastAsia" w:hAnsi="宋体" w:cs="宋体"/>
          <w:sz w:val="24"/>
        </w:rPr>
        <w:t xml:space="preserve">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703"/>
        <w:gridCol w:w="2703"/>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24" w:type="dxa"/>
            <w:vAlign w:val="center"/>
          </w:tcPr>
          <w:p>
            <w:pPr>
              <w:jc w:val="center"/>
              <w:rPr>
                <w:rFonts w:hAnsi="宋体"/>
                <w:sz w:val="24"/>
              </w:rPr>
            </w:pPr>
            <w:r>
              <w:rPr>
                <w:rFonts w:hint="eastAsia" w:hAnsi="宋体"/>
                <w:sz w:val="24"/>
              </w:rPr>
              <w:t>序号</w:t>
            </w:r>
          </w:p>
        </w:tc>
        <w:tc>
          <w:tcPr>
            <w:tcW w:w="2703" w:type="dxa"/>
            <w:vAlign w:val="center"/>
          </w:tcPr>
          <w:p>
            <w:pPr>
              <w:jc w:val="center"/>
              <w:rPr>
                <w:rFonts w:hAnsi="宋体"/>
                <w:sz w:val="24"/>
              </w:rPr>
            </w:pPr>
            <w:r>
              <w:rPr>
                <w:rFonts w:hint="eastAsia" w:hAnsi="宋体"/>
                <w:sz w:val="24"/>
              </w:rPr>
              <w:t>磋商文件要求</w:t>
            </w:r>
          </w:p>
        </w:tc>
        <w:tc>
          <w:tcPr>
            <w:tcW w:w="2703" w:type="dxa"/>
            <w:vAlign w:val="center"/>
          </w:tcPr>
          <w:p>
            <w:pPr>
              <w:jc w:val="center"/>
              <w:rPr>
                <w:rFonts w:hAnsi="宋体"/>
                <w:sz w:val="24"/>
              </w:rPr>
            </w:pPr>
            <w:r>
              <w:rPr>
                <w:rFonts w:hint="eastAsia" w:hAnsi="宋体"/>
                <w:sz w:val="24"/>
              </w:rPr>
              <w:t>响应文件响应</w:t>
            </w:r>
          </w:p>
        </w:tc>
        <w:tc>
          <w:tcPr>
            <w:tcW w:w="2688" w:type="dxa"/>
            <w:vAlign w:val="center"/>
          </w:tcPr>
          <w:p>
            <w:pPr>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24" w:type="dxa"/>
          </w:tcPr>
          <w:p>
            <w:pPr>
              <w:jc w:val="center"/>
              <w:rPr>
                <w:rFonts w:hAnsi="宋体"/>
                <w:sz w:val="24"/>
              </w:rPr>
            </w:pPr>
          </w:p>
        </w:tc>
        <w:tc>
          <w:tcPr>
            <w:tcW w:w="2703" w:type="dxa"/>
          </w:tcPr>
          <w:p>
            <w:pPr>
              <w:jc w:val="center"/>
              <w:rPr>
                <w:rFonts w:hAnsi="宋体"/>
                <w:sz w:val="24"/>
              </w:rPr>
            </w:pPr>
          </w:p>
        </w:tc>
        <w:tc>
          <w:tcPr>
            <w:tcW w:w="2703" w:type="dxa"/>
          </w:tcPr>
          <w:p>
            <w:pPr>
              <w:jc w:val="center"/>
              <w:rPr>
                <w:rFonts w:hAnsi="宋体"/>
                <w:sz w:val="24"/>
              </w:rPr>
            </w:pPr>
          </w:p>
        </w:tc>
        <w:tc>
          <w:tcPr>
            <w:tcW w:w="2688" w:type="dxa"/>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24" w:type="dxa"/>
          </w:tcPr>
          <w:p>
            <w:pPr>
              <w:jc w:val="center"/>
              <w:rPr>
                <w:rFonts w:hAnsi="宋体"/>
                <w:sz w:val="24"/>
              </w:rPr>
            </w:pPr>
          </w:p>
        </w:tc>
        <w:tc>
          <w:tcPr>
            <w:tcW w:w="2703" w:type="dxa"/>
          </w:tcPr>
          <w:p>
            <w:pPr>
              <w:jc w:val="center"/>
              <w:rPr>
                <w:rFonts w:hAnsi="宋体"/>
                <w:sz w:val="24"/>
              </w:rPr>
            </w:pPr>
          </w:p>
        </w:tc>
        <w:tc>
          <w:tcPr>
            <w:tcW w:w="2703" w:type="dxa"/>
          </w:tcPr>
          <w:p>
            <w:pPr>
              <w:jc w:val="center"/>
              <w:rPr>
                <w:rFonts w:hAnsi="宋体"/>
                <w:sz w:val="24"/>
              </w:rPr>
            </w:pPr>
          </w:p>
        </w:tc>
        <w:tc>
          <w:tcPr>
            <w:tcW w:w="2688" w:type="dxa"/>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24" w:type="dxa"/>
          </w:tcPr>
          <w:p>
            <w:pPr>
              <w:jc w:val="center"/>
              <w:rPr>
                <w:rFonts w:hAnsi="宋体"/>
                <w:sz w:val="24"/>
              </w:rPr>
            </w:pPr>
          </w:p>
        </w:tc>
        <w:tc>
          <w:tcPr>
            <w:tcW w:w="2703" w:type="dxa"/>
          </w:tcPr>
          <w:p>
            <w:pPr>
              <w:jc w:val="center"/>
              <w:rPr>
                <w:rFonts w:hAnsi="宋体"/>
                <w:sz w:val="24"/>
              </w:rPr>
            </w:pPr>
          </w:p>
        </w:tc>
        <w:tc>
          <w:tcPr>
            <w:tcW w:w="2703" w:type="dxa"/>
          </w:tcPr>
          <w:p>
            <w:pPr>
              <w:jc w:val="center"/>
              <w:rPr>
                <w:rFonts w:hAnsi="宋体"/>
                <w:sz w:val="24"/>
              </w:rPr>
            </w:pPr>
          </w:p>
        </w:tc>
        <w:tc>
          <w:tcPr>
            <w:tcW w:w="2688" w:type="dxa"/>
          </w:tcPr>
          <w:p>
            <w:pPr>
              <w:jc w:val="center"/>
              <w:rPr>
                <w:rFonts w:hAnsi="宋体"/>
                <w:sz w:val="24"/>
              </w:rPr>
            </w:pPr>
          </w:p>
        </w:tc>
      </w:tr>
    </w:tbl>
    <w:p>
      <w:pPr>
        <w:ind w:firstLine="482" w:firstLineChars="200"/>
        <w:rPr>
          <w:rFonts w:hAnsi="宋体"/>
          <w:b/>
          <w:sz w:val="24"/>
        </w:rPr>
      </w:pPr>
    </w:p>
    <w:p>
      <w:pPr>
        <w:ind w:firstLine="480" w:firstLineChars="200"/>
        <w:rPr>
          <w:rFonts w:hAnsi="宋体"/>
          <w:b/>
          <w:sz w:val="24"/>
        </w:rPr>
      </w:pPr>
      <w:r>
        <w:rPr>
          <w:rFonts w:hint="eastAsia" w:hAnsi="宋体"/>
          <w:sz w:val="24"/>
        </w:rPr>
        <w:t>注意：供应商必须根据磋商文件中商务要求据实逐条填写，不得虚假响应，否则将取消其磋商或成交资格，并按有关规定进行处罚。</w:t>
      </w:r>
    </w:p>
    <w:p>
      <w:pPr>
        <w:adjustRightInd w:val="0"/>
        <w:spacing w:line="400" w:lineRule="exact"/>
        <w:ind w:firstLine="480" w:firstLineChars="200"/>
        <w:jc w:val="left"/>
        <w:rPr>
          <w:rFonts w:hAnsi="宋体"/>
          <w:sz w:val="24"/>
        </w:rPr>
      </w:pPr>
    </w:p>
    <w:p>
      <w:pPr>
        <w:adjustRightInd w:val="0"/>
        <w:spacing w:line="400" w:lineRule="exact"/>
        <w:ind w:firstLine="480" w:firstLineChars="200"/>
        <w:jc w:val="left"/>
        <w:rPr>
          <w:rFonts w:hAnsi="宋体"/>
          <w:sz w:val="24"/>
        </w:rPr>
      </w:pPr>
      <w:r>
        <w:rPr>
          <w:rFonts w:hint="eastAsia" w:hAnsi="宋体"/>
          <w:sz w:val="24"/>
        </w:rPr>
        <w:t>供应商名称：XXX（盖单位公章）</w:t>
      </w:r>
    </w:p>
    <w:p>
      <w:pPr>
        <w:adjustRightInd w:val="0"/>
        <w:spacing w:line="400" w:lineRule="exact"/>
        <w:ind w:firstLine="540" w:firstLineChars="225"/>
        <w:jc w:val="left"/>
        <w:rPr>
          <w:bCs/>
          <w:sz w:val="24"/>
        </w:rPr>
      </w:pPr>
      <w:r>
        <w:rPr>
          <w:rFonts w:hint="eastAsia"/>
          <w:bCs/>
          <w:sz w:val="24"/>
        </w:rPr>
        <w:t>法定代表人或授权代表（签字或盖章）：XXX</w:t>
      </w:r>
    </w:p>
    <w:p>
      <w:pPr>
        <w:adjustRightInd w:val="0"/>
        <w:spacing w:line="400" w:lineRule="exact"/>
        <w:ind w:firstLine="540" w:firstLineChars="225"/>
        <w:jc w:val="left"/>
        <w:rPr>
          <w:bCs/>
          <w:sz w:val="24"/>
        </w:rPr>
      </w:pPr>
      <w:r>
        <w:rPr>
          <w:rFonts w:hint="eastAsia"/>
          <w:bCs/>
          <w:sz w:val="24"/>
        </w:rPr>
        <w:t>日  期：XXX年XXX月XXX日</w:t>
      </w:r>
    </w:p>
    <w:p>
      <w:pPr>
        <w:pStyle w:val="4"/>
      </w:pPr>
    </w:p>
    <w:p/>
    <w:p>
      <w:pPr>
        <w:pStyle w:val="12"/>
        <w:ind w:firstLine="680"/>
      </w:pPr>
    </w:p>
    <w:p>
      <w:pPr>
        <w:pStyle w:val="12"/>
        <w:ind w:firstLine="680"/>
      </w:pPr>
    </w:p>
    <w:p>
      <w:pPr>
        <w:widowControl/>
        <w:spacing w:line="360" w:lineRule="atLeast"/>
        <w:outlineLvl w:val="1"/>
        <w:rPr>
          <w:rFonts w:ascii="黑体" w:eastAsia="黑体"/>
          <w:b/>
          <w:sz w:val="32"/>
          <w:szCs w:val="32"/>
        </w:rPr>
      </w:pPr>
    </w:p>
    <w:p>
      <w:pPr>
        <w:widowControl/>
        <w:spacing w:line="360" w:lineRule="atLeast"/>
        <w:outlineLvl w:val="1"/>
        <w:rPr>
          <w:rFonts w:ascii="黑体" w:eastAsia="黑体"/>
          <w:b/>
          <w:sz w:val="32"/>
          <w:szCs w:val="32"/>
        </w:rPr>
      </w:pPr>
    </w:p>
    <w:p>
      <w:pPr>
        <w:widowControl/>
        <w:spacing w:line="360" w:lineRule="atLeast"/>
        <w:outlineLvl w:val="1"/>
        <w:rPr>
          <w:rFonts w:ascii="黑体" w:eastAsia="黑体"/>
          <w:b/>
          <w:sz w:val="32"/>
          <w:szCs w:val="32"/>
        </w:rPr>
      </w:pPr>
    </w:p>
    <w:p>
      <w:pPr>
        <w:rPr>
          <w:rFonts w:hAnsi="宋体" w:cs="宋体"/>
          <w:b/>
          <w:sz w:val="24"/>
          <w:szCs w:val="24"/>
        </w:rPr>
      </w:pPr>
    </w:p>
    <w:p>
      <w:pPr>
        <w:rPr>
          <w:rFonts w:hAnsi="宋体" w:cs="宋体"/>
          <w:b/>
          <w:sz w:val="24"/>
          <w:szCs w:val="24"/>
        </w:rPr>
      </w:pPr>
    </w:p>
    <w:p>
      <w:pPr>
        <w:pStyle w:val="2"/>
        <w:rPr>
          <w:rFonts w:hAnsi="宋体" w:cs="宋体"/>
          <w:b/>
          <w:sz w:val="24"/>
          <w:szCs w:val="24"/>
        </w:rPr>
      </w:pPr>
    </w:p>
    <w:p>
      <w:pPr>
        <w:rPr>
          <w:rFonts w:hAnsi="宋体" w:cs="宋体"/>
          <w:b/>
          <w:sz w:val="24"/>
          <w:szCs w:val="24"/>
        </w:rPr>
      </w:pPr>
    </w:p>
    <w:bookmarkEnd w:id="122"/>
    <w:p>
      <w:pPr>
        <w:widowControl/>
        <w:spacing w:line="360" w:lineRule="atLeast"/>
        <w:jc w:val="left"/>
        <w:outlineLvl w:val="1"/>
        <w:rPr>
          <w:b/>
          <w:sz w:val="24"/>
        </w:rPr>
      </w:pPr>
      <w:bookmarkStart w:id="123" w:name="_Toc217446089"/>
    </w:p>
    <w:p>
      <w:pPr>
        <w:widowControl/>
        <w:spacing w:line="360" w:lineRule="atLeast"/>
        <w:outlineLvl w:val="1"/>
        <w:rPr>
          <w:rFonts w:ascii="黑体" w:eastAsia="黑体"/>
          <w:b/>
          <w:sz w:val="36"/>
          <w:szCs w:val="36"/>
        </w:rPr>
      </w:pPr>
      <w:r>
        <w:rPr>
          <w:rFonts w:hint="eastAsia" w:hAnsi="宋体" w:cs="宋体"/>
          <w:b/>
          <w:sz w:val="24"/>
          <w:szCs w:val="24"/>
        </w:rPr>
        <w:t xml:space="preserve">附件5：        </w:t>
      </w:r>
      <w:r>
        <w:rPr>
          <w:rFonts w:hint="eastAsia" w:ascii="黑体" w:eastAsia="黑体"/>
          <w:b/>
          <w:sz w:val="36"/>
          <w:szCs w:val="36"/>
        </w:rPr>
        <w:t xml:space="preserve"> 供应商</w:t>
      </w:r>
      <w:r>
        <w:rPr>
          <w:rFonts w:hint="eastAsia" w:ascii="黑体" w:eastAsia="黑体"/>
          <w:b/>
          <w:sz w:val="36"/>
          <w:szCs w:val="36"/>
          <w:lang w:val="en-US" w:eastAsia="zh-CN"/>
        </w:rPr>
        <w:t>土地评估</w:t>
      </w:r>
      <w:r>
        <w:rPr>
          <w:rFonts w:hint="eastAsia" w:ascii="黑体" w:eastAsia="黑体"/>
          <w:b/>
          <w:sz w:val="36"/>
          <w:szCs w:val="36"/>
        </w:rPr>
        <w:t>业绩一览表</w:t>
      </w:r>
      <w:bookmarkEnd w:id="123"/>
    </w:p>
    <w:p>
      <w:pPr>
        <w:widowControl/>
        <w:spacing w:line="360" w:lineRule="atLeast"/>
        <w:ind w:firstLine="472" w:firstLineChars="196"/>
        <w:jc w:val="left"/>
        <w:outlineLvl w:val="1"/>
        <w:rPr>
          <w:b/>
          <w:sz w:val="24"/>
        </w:rPr>
      </w:pPr>
    </w:p>
    <w:tbl>
      <w:tblPr>
        <w:tblStyle w:val="31"/>
        <w:tblW w:w="1020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61"/>
        <w:gridCol w:w="1473"/>
        <w:gridCol w:w="1544"/>
        <w:gridCol w:w="1360"/>
        <w:gridCol w:w="1589"/>
        <w:gridCol w:w="1589"/>
        <w:gridCol w:w="15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7" w:hRule="atLeast"/>
          <w:jc w:val="center"/>
        </w:trPr>
        <w:tc>
          <w:tcPr>
            <w:tcW w:w="1361" w:type="dxa"/>
            <w:tcBorders>
              <w:top w:val="single" w:color="auto" w:sz="4" w:space="0"/>
            </w:tcBorders>
            <w:vAlign w:val="center"/>
          </w:tcPr>
          <w:p>
            <w:pPr>
              <w:widowControl/>
              <w:spacing w:line="360" w:lineRule="atLeast"/>
              <w:jc w:val="center"/>
              <w:outlineLvl w:val="1"/>
              <w:rPr>
                <w:sz w:val="24"/>
              </w:rPr>
            </w:pPr>
            <w:r>
              <w:rPr>
                <w:rFonts w:hint="eastAsia"/>
                <w:sz w:val="24"/>
              </w:rPr>
              <w:t>序号</w:t>
            </w:r>
          </w:p>
        </w:tc>
        <w:tc>
          <w:tcPr>
            <w:tcW w:w="1905" w:type="dxa"/>
            <w:vAlign w:val="center"/>
          </w:tcPr>
          <w:p>
            <w:pPr>
              <w:widowControl/>
              <w:spacing w:line="360" w:lineRule="atLeast"/>
              <w:jc w:val="center"/>
              <w:outlineLvl w:val="1"/>
              <w:rPr>
                <w:sz w:val="24"/>
              </w:rPr>
            </w:pPr>
            <w:r>
              <w:rPr>
                <w:rFonts w:hint="eastAsia" w:hAnsi="宋体" w:cs="宋体"/>
                <w:sz w:val="24"/>
              </w:rPr>
              <w:t>年份</w:t>
            </w:r>
          </w:p>
        </w:tc>
        <w:tc>
          <w:tcPr>
            <w:tcW w:w="1998" w:type="dxa"/>
            <w:vAlign w:val="center"/>
          </w:tcPr>
          <w:p>
            <w:pPr>
              <w:widowControl/>
              <w:spacing w:line="360" w:lineRule="atLeast"/>
              <w:jc w:val="center"/>
              <w:outlineLvl w:val="1"/>
              <w:rPr>
                <w:sz w:val="24"/>
              </w:rPr>
            </w:pPr>
            <w:r>
              <w:rPr>
                <w:rFonts w:hint="eastAsia" w:hAnsi="宋体" w:cs="宋体"/>
                <w:sz w:val="24"/>
              </w:rPr>
              <w:t>用户名称</w:t>
            </w:r>
          </w:p>
        </w:tc>
        <w:tc>
          <w:tcPr>
            <w:tcW w:w="1756" w:type="dxa"/>
            <w:vAlign w:val="center"/>
          </w:tcPr>
          <w:p>
            <w:pPr>
              <w:widowControl/>
              <w:spacing w:line="360" w:lineRule="atLeast"/>
              <w:jc w:val="center"/>
              <w:outlineLvl w:val="1"/>
              <w:rPr>
                <w:sz w:val="24"/>
              </w:rPr>
            </w:pPr>
            <w:r>
              <w:rPr>
                <w:rFonts w:hint="eastAsia" w:hAnsi="宋体" w:cs="宋体"/>
                <w:sz w:val="24"/>
              </w:rPr>
              <w:t>项目名称</w:t>
            </w:r>
          </w:p>
        </w:tc>
        <w:tc>
          <w:tcPr>
            <w:tcW w:w="2058" w:type="dxa"/>
            <w:vAlign w:val="center"/>
          </w:tcPr>
          <w:p>
            <w:pPr>
              <w:widowControl/>
              <w:spacing w:line="360" w:lineRule="atLeast"/>
              <w:jc w:val="center"/>
              <w:outlineLvl w:val="1"/>
              <w:rPr>
                <w:sz w:val="24"/>
              </w:rPr>
            </w:pPr>
            <w:r>
              <w:rPr>
                <w:rFonts w:hint="eastAsia" w:hAnsi="宋体" w:cs="宋体"/>
                <w:sz w:val="24"/>
              </w:rPr>
              <w:t>完成时间</w:t>
            </w:r>
          </w:p>
        </w:tc>
        <w:tc>
          <w:tcPr>
            <w:tcW w:w="2058" w:type="dxa"/>
            <w:vAlign w:val="center"/>
          </w:tcPr>
          <w:p>
            <w:pPr>
              <w:widowControl/>
              <w:spacing w:line="360" w:lineRule="atLeast"/>
              <w:jc w:val="center"/>
              <w:outlineLvl w:val="1"/>
              <w:rPr>
                <w:sz w:val="24"/>
              </w:rPr>
            </w:pPr>
            <w:r>
              <w:rPr>
                <w:rFonts w:hint="eastAsia" w:hAnsi="宋体" w:cs="宋体"/>
                <w:sz w:val="24"/>
              </w:rPr>
              <w:t>评估金额（万元）</w:t>
            </w:r>
          </w:p>
        </w:tc>
        <w:tc>
          <w:tcPr>
            <w:tcW w:w="2058" w:type="dxa"/>
            <w:vAlign w:val="center"/>
          </w:tcPr>
          <w:p>
            <w:pPr>
              <w:widowControl/>
              <w:spacing w:line="360" w:lineRule="atLeast"/>
              <w:jc w:val="center"/>
              <w:outlineLvl w:val="1"/>
              <w:rPr>
                <w:rFonts w:hAnsi="宋体" w:cs="宋体"/>
                <w:sz w:val="24"/>
              </w:rPr>
            </w:pPr>
            <w:r>
              <w:rPr>
                <w:rFonts w:hint="eastAsia" w:hAnsi="宋体" w:cs="宋体"/>
                <w:sz w:val="24"/>
              </w:rPr>
              <w:t>所在</w:t>
            </w:r>
          </w:p>
          <w:p>
            <w:pPr>
              <w:widowControl/>
              <w:spacing w:line="360" w:lineRule="atLeast"/>
              <w:jc w:val="center"/>
              <w:outlineLvl w:val="1"/>
              <w:rPr>
                <w:rFonts w:hAnsi="宋体" w:cs="宋体"/>
                <w:sz w:val="24"/>
              </w:rPr>
            </w:pPr>
            <w:r>
              <w:rPr>
                <w:rFonts w:hint="eastAsia" w:hAnsi="宋体" w:cs="宋体"/>
                <w:sz w:val="24"/>
              </w:rPr>
              <w:t>区域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jc w:val="center"/>
              <w:outlineLvl w:val="1"/>
              <w:rPr>
                <w:sz w:val="24"/>
              </w:rPr>
            </w:pPr>
          </w:p>
        </w:tc>
        <w:tc>
          <w:tcPr>
            <w:tcW w:w="1998" w:type="dxa"/>
            <w:vAlign w:val="center"/>
          </w:tcPr>
          <w:p>
            <w:pPr>
              <w:widowControl/>
              <w:spacing w:line="360" w:lineRule="atLeast"/>
              <w:jc w:val="center"/>
              <w:outlineLvl w:val="1"/>
              <w:rPr>
                <w:sz w:val="24"/>
              </w:rPr>
            </w:pPr>
          </w:p>
        </w:tc>
        <w:tc>
          <w:tcPr>
            <w:tcW w:w="1756"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81"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jc w:val="center"/>
              <w:outlineLvl w:val="1"/>
              <w:rPr>
                <w:sz w:val="24"/>
              </w:rPr>
            </w:pPr>
          </w:p>
        </w:tc>
        <w:tc>
          <w:tcPr>
            <w:tcW w:w="1998" w:type="dxa"/>
            <w:vAlign w:val="center"/>
          </w:tcPr>
          <w:p>
            <w:pPr>
              <w:widowControl/>
              <w:spacing w:line="360" w:lineRule="atLeast"/>
              <w:jc w:val="center"/>
              <w:outlineLvl w:val="1"/>
              <w:rPr>
                <w:sz w:val="24"/>
              </w:rPr>
            </w:pPr>
          </w:p>
        </w:tc>
        <w:tc>
          <w:tcPr>
            <w:tcW w:w="1756"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jc w:val="center"/>
              <w:outlineLvl w:val="1"/>
              <w:rPr>
                <w:sz w:val="24"/>
              </w:rPr>
            </w:pPr>
          </w:p>
        </w:tc>
        <w:tc>
          <w:tcPr>
            <w:tcW w:w="1998" w:type="dxa"/>
            <w:vAlign w:val="center"/>
          </w:tcPr>
          <w:p>
            <w:pPr>
              <w:widowControl/>
              <w:spacing w:line="360" w:lineRule="atLeast"/>
              <w:jc w:val="center"/>
              <w:outlineLvl w:val="1"/>
              <w:rPr>
                <w:sz w:val="24"/>
              </w:rPr>
            </w:pPr>
          </w:p>
        </w:tc>
        <w:tc>
          <w:tcPr>
            <w:tcW w:w="1756"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tcBorders>
              <w:right w:val="single" w:color="auto" w:sz="4" w:space="0"/>
            </w:tcBorders>
            <w:vAlign w:val="center"/>
          </w:tcPr>
          <w:p>
            <w:pPr>
              <w:widowControl/>
              <w:spacing w:line="360" w:lineRule="atLeast"/>
              <w:jc w:val="center"/>
              <w:outlineLvl w:val="1"/>
              <w:rPr>
                <w:sz w:val="24"/>
              </w:rPr>
            </w:pPr>
          </w:p>
        </w:tc>
        <w:tc>
          <w:tcPr>
            <w:tcW w:w="1998" w:type="dxa"/>
            <w:tcBorders>
              <w:left w:val="single" w:color="auto" w:sz="4" w:space="0"/>
            </w:tcBorders>
            <w:vAlign w:val="center"/>
          </w:tcPr>
          <w:p>
            <w:pPr>
              <w:widowControl/>
              <w:spacing w:line="360" w:lineRule="atLeast"/>
              <w:jc w:val="center"/>
              <w:outlineLvl w:val="1"/>
              <w:rPr>
                <w:sz w:val="24"/>
              </w:rPr>
            </w:pPr>
          </w:p>
        </w:tc>
        <w:tc>
          <w:tcPr>
            <w:tcW w:w="1756"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c>
          <w:tcPr>
            <w:tcW w:w="2058" w:type="dxa"/>
            <w:vAlign w:val="center"/>
          </w:tcPr>
          <w:p>
            <w:pPr>
              <w:widowControl/>
              <w:spacing w:line="360" w:lineRule="atLeast"/>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tcBorders>
              <w:right w:val="single" w:color="auto" w:sz="4" w:space="0"/>
            </w:tcBorders>
            <w:vAlign w:val="center"/>
          </w:tcPr>
          <w:p>
            <w:pPr>
              <w:widowControl/>
              <w:spacing w:line="360" w:lineRule="atLeast"/>
              <w:ind w:firstLine="470" w:firstLineChars="196"/>
              <w:jc w:val="center"/>
              <w:outlineLvl w:val="1"/>
              <w:rPr>
                <w:sz w:val="24"/>
              </w:rPr>
            </w:pPr>
          </w:p>
        </w:tc>
        <w:tc>
          <w:tcPr>
            <w:tcW w:w="1905" w:type="dxa"/>
            <w:tcBorders>
              <w:left w:val="single" w:color="auto" w:sz="4" w:space="0"/>
              <w:right w:val="single" w:color="auto" w:sz="4" w:space="0"/>
            </w:tcBorders>
            <w:vAlign w:val="center"/>
          </w:tcPr>
          <w:p>
            <w:pPr>
              <w:widowControl/>
              <w:spacing w:line="360" w:lineRule="atLeast"/>
              <w:jc w:val="center"/>
              <w:outlineLvl w:val="1"/>
              <w:rPr>
                <w:sz w:val="24"/>
              </w:rPr>
            </w:pPr>
          </w:p>
        </w:tc>
        <w:tc>
          <w:tcPr>
            <w:tcW w:w="1998" w:type="dxa"/>
            <w:tcBorders>
              <w:left w:val="single" w:color="auto" w:sz="4" w:space="0"/>
              <w:right w:val="single" w:color="auto" w:sz="4" w:space="0"/>
            </w:tcBorders>
            <w:vAlign w:val="center"/>
          </w:tcPr>
          <w:p>
            <w:pPr>
              <w:widowControl/>
              <w:tabs>
                <w:tab w:val="left" w:pos="430"/>
              </w:tabs>
              <w:spacing w:line="360" w:lineRule="atLeast"/>
              <w:jc w:val="left"/>
              <w:outlineLvl w:val="1"/>
              <w:rPr>
                <w:sz w:val="24"/>
              </w:rPr>
            </w:pPr>
            <w:r>
              <w:rPr>
                <w:rFonts w:hint="eastAsia"/>
                <w:sz w:val="24"/>
              </w:rPr>
              <w:tab/>
            </w:r>
          </w:p>
        </w:tc>
        <w:tc>
          <w:tcPr>
            <w:tcW w:w="1756" w:type="dxa"/>
            <w:tcBorders>
              <w:left w:val="single" w:color="auto" w:sz="4" w:space="0"/>
              <w:right w:val="single" w:color="auto" w:sz="4" w:space="0"/>
            </w:tcBorders>
            <w:vAlign w:val="center"/>
          </w:tcPr>
          <w:p>
            <w:pPr>
              <w:widowControl/>
              <w:spacing w:line="360" w:lineRule="atLeast"/>
              <w:jc w:val="center"/>
              <w:outlineLvl w:val="1"/>
              <w:rPr>
                <w:sz w:val="24"/>
              </w:rPr>
            </w:pPr>
          </w:p>
        </w:tc>
        <w:tc>
          <w:tcPr>
            <w:tcW w:w="2058" w:type="dxa"/>
            <w:tcBorders>
              <w:left w:val="single" w:color="auto" w:sz="4" w:space="0"/>
              <w:right w:val="single" w:color="auto" w:sz="4" w:space="0"/>
            </w:tcBorders>
            <w:vAlign w:val="center"/>
          </w:tcPr>
          <w:p>
            <w:pPr>
              <w:widowControl/>
              <w:spacing w:line="360" w:lineRule="atLeast"/>
              <w:jc w:val="center"/>
              <w:outlineLvl w:val="1"/>
              <w:rPr>
                <w:sz w:val="24"/>
              </w:rPr>
            </w:pPr>
          </w:p>
        </w:tc>
        <w:tc>
          <w:tcPr>
            <w:tcW w:w="2058" w:type="dxa"/>
            <w:tcBorders>
              <w:left w:val="single" w:color="auto" w:sz="4" w:space="0"/>
              <w:right w:val="single" w:color="auto" w:sz="4" w:space="0"/>
            </w:tcBorders>
            <w:vAlign w:val="center"/>
          </w:tcPr>
          <w:p>
            <w:pPr>
              <w:widowControl/>
              <w:spacing w:line="360" w:lineRule="atLeast"/>
              <w:jc w:val="center"/>
              <w:outlineLvl w:val="1"/>
              <w:rPr>
                <w:sz w:val="24"/>
              </w:rPr>
            </w:pPr>
          </w:p>
        </w:tc>
        <w:tc>
          <w:tcPr>
            <w:tcW w:w="2058" w:type="dxa"/>
            <w:tcBorders>
              <w:left w:val="single" w:color="auto" w:sz="4" w:space="0"/>
              <w:right w:val="single" w:color="auto" w:sz="4" w:space="0"/>
            </w:tcBorders>
            <w:vAlign w:val="center"/>
          </w:tcPr>
          <w:p>
            <w:pPr>
              <w:widowControl/>
              <w:spacing w:line="360" w:lineRule="atLeast"/>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ind w:firstLine="470" w:firstLineChars="196"/>
              <w:jc w:val="center"/>
              <w:outlineLvl w:val="1"/>
              <w:rPr>
                <w:sz w:val="24"/>
              </w:rPr>
            </w:pPr>
          </w:p>
        </w:tc>
        <w:tc>
          <w:tcPr>
            <w:tcW w:w="1998" w:type="dxa"/>
            <w:vAlign w:val="center"/>
          </w:tcPr>
          <w:p>
            <w:pPr>
              <w:widowControl/>
              <w:spacing w:line="360" w:lineRule="atLeast"/>
              <w:ind w:firstLine="470" w:firstLineChars="196"/>
              <w:jc w:val="center"/>
              <w:outlineLvl w:val="1"/>
              <w:rPr>
                <w:sz w:val="24"/>
              </w:rPr>
            </w:pPr>
          </w:p>
        </w:tc>
        <w:tc>
          <w:tcPr>
            <w:tcW w:w="1756" w:type="dxa"/>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ind w:firstLine="470" w:firstLineChars="196"/>
              <w:jc w:val="center"/>
              <w:outlineLvl w:val="1"/>
              <w:rPr>
                <w:sz w:val="24"/>
              </w:rPr>
            </w:pPr>
          </w:p>
        </w:tc>
        <w:tc>
          <w:tcPr>
            <w:tcW w:w="1998" w:type="dxa"/>
            <w:vAlign w:val="center"/>
          </w:tcPr>
          <w:p>
            <w:pPr>
              <w:widowControl/>
              <w:spacing w:line="360" w:lineRule="atLeast"/>
              <w:ind w:firstLine="470" w:firstLineChars="196"/>
              <w:jc w:val="center"/>
              <w:outlineLvl w:val="1"/>
              <w:rPr>
                <w:sz w:val="24"/>
              </w:rPr>
            </w:pPr>
          </w:p>
        </w:tc>
        <w:tc>
          <w:tcPr>
            <w:tcW w:w="1756" w:type="dxa"/>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06" w:hRule="atLeast"/>
          <w:jc w:val="center"/>
        </w:trPr>
        <w:tc>
          <w:tcPr>
            <w:tcW w:w="1361" w:type="dxa"/>
            <w:vAlign w:val="center"/>
          </w:tcPr>
          <w:p>
            <w:pPr>
              <w:widowControl/>
              <w:spacing w:line="360" w:lineRule="atLeast"/>
              <w:ind w:firstLine="470" w:firstLineChars="196"/>
              <w:jc w:val="center"/>
              <w:outlineLvl w:val="1"/>
              <w:rPr>
                <w:sz w:val="24"/>
              </w:rPr>
            </w:pPr>
          </w:p>
        </w:tc>
        <w:tc>
          <w:tcPr>
            <w:tcW w:w="1905" w:type="dxa"/>
            <w:vAlign w:val="center"/>
          </w:tcPr>
          <w:p>
            <w:pPr>
              <w:widowControl/>
              <w:spacing w:line="360" w:lineRule="atLeast"/>
              <w:ind w:firstLine="470" w:firstLineChars="196"/>
              <w:jc w:val="center"/>
              <w:outlineLvl w:val="1"/>
              <w:rPr>
                <w:sz w:val="24"/>
              </w:rPr>
            </w:pPr>
          </w:p>
        </w:tc>
        <w:tc>
          <w:tcPr>
            <w:tcW w:w="1998" w:type="dxa"/>
            <w:vAlign w:val="center"/>
          </w:tcPr>
          <w:p>
            <w:pPr>
              <w:widowControl/>
              <w:spacing w:line="360" w:lineRule="atLeast"/>
              <w:ind w:firstLine="470" w:firstLineChars="196"/>
              <w:jc w:val="center"/>
              <w:outlineLvl w:val="1"/>
              <w:rPr>
                <w:sz w:val="24"/>
              </w:rPr>
            </w:pPr>
          </w:p>
        </w:tc>
        <w:tc>
          <w:tcPr>
            <w:tcW w:w="1756" w:type="dxa"/>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8" w:hRule="atLeast"/>
          <w:jc w:val="center"/>
        </w:trPr>
        <w:tc>
          <w:tcPr>
            <w:tcW w:w="1361" w:type="dxa"/>
            <w:tcBorders>
              <w:bottom w:val="single" w:color="auto" w:sz="4" w:space="0"/>
            </w:tcBorders>
            <w:vAlign w:val="center"/>
          </w:tcPr>
          <w:p>
            <w:pPr>
              <w:widowControl/>
              <w:spacing w:line="360" w:lineRule="atLeast"/>
              <w:ind w:firstLine="470" w:firstLineChars="196"/>
              <w:jc w:val="center"/>
              <w:outlineLvl w:val="1"/>
              <w:rPr>
                <w:sz w:val="24"/>
              </w:rPr>
            </w:pPr>
          </w:p>
        </w:tc>
        <w:tc>
          <w:tcPr>
            <w:tcW w:w="1905" w:type="dxa"/>
            <w:tcBorders>
              <w:bottom w:val="single" w:color="auto" w:sz="4" w:space="0"/>
            </w:tcBorders>
            <w:vAlign w:val="center"/>
          </w:tcPr>
          <w:p>
            <w:pPr>
              <w:widowControl/>
              <w:spacing w:line="360" w:lineRule="atLeast"/>
              <w:ind w:firstLine="470" w:firstLineChars="196"/>
              <w:jc w:val="center"/>
              <w:outlineLvl w:val="1"/>
              <w:rPr>
                <w:sz w:val="24"/>
              </w:rPr>
            </w:pPr>
          </w:p>
        </w:tc>
        <w:tc>
          <w:tcPr>
            <w:tcW w:w="1998" w:type="dxa"/>
            <w:tcBorders>
              <w:bottom w:val="single" w:color="auto" w:sz="4" w:space="0"/>
            </w:tcBorders>
            <w:vAlign w:val="center"/>
          </w:tcPr>
          <w:p>
            <w:pPr>
              <w:widowControl/>
              <w:spacing w:line="360" w:lineRule="atLeast"/>
              <w:ind w:firstLine="470" w:firstLineChars="196"/>
              <w:jc w:val="center"/>
              <w:outlineLvl w:val="1"/>
              <w:rPr>
                <w:sz w:val="24"/>
              </w:rPr>
            </w:pPr>
          </w:p>
        </w:tc>
        <w:tc>
          <w:tcPr>
            <w:tcW w:w="1756" w:type="dxa"/>
            <w:tcBorders>
              <w:bottom w:val="single" w:color="auto" w:sz="4" w:space="0"/>
            </w:tcBorders>
            <w:vAlign w:val="center"/>
          </w:tcPr>
          <w:p>
            <w:pPr>
              <w:widowControl/>
              <w:spacing w:line="360" w:lineRule="atLeast"/>
              <w:ind w:firstLine="470" w:firstLineChars="196"/>
              <w:jc w:val="center"/>
              <w:outlineLvl w:val="1"/>
              <w:rPr>
                <w:sz w:val="24"/>
              </w:rPr>
            </w:pPr>
          </w:p>
        </w:tc>
        <w:tc>
          <w:tcPr>
            <w:tcW w:w="2058" w:type="dxa"/>
            <w:tcBorders>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99" w:hRule="atLeast"/>
          <w:jc w:val="center"/>
        </w:trPr>
        <w:tc>
          <w:tcPr>
            <w:tcW w:w="1361"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05"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98"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756"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99" w:hRule="atLeast"/>
          <w:jc w:val="center"/>
        </w:trPr>
        <w:tc>
          <w:tcPr>
            <w:tcW w:w="1361"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05"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98"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756"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42" w:hRule="atLeast"/>
          <w:jc w:val="center"/>
        </w:trPr>
        <w:tc>
          <w:tcPr>
            <w:tcW w:w="1361"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05"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998"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1756" w:type="dxa"/>
            <w:tcBorders>
              <w:top w:val="single" w:color="auto" w:sz="4" w:space="0"/>
              <w:bottom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bottom w:val="single" w:color="auto" w:sz="4" w:space="0"/>
              <w:right w:val="single" w:color="auto" w:sz="4" w:space="0"/>
            </w:tcBorders>
            <w:vAlign w:val="center"/>
          </w:tcPr>
          <w:p>
            <w:pPr>
              <w:widowControl/>
              <w:spacing w:line="360" w:lineRule="atLeast"/>
              <w:ind w:firstLine="470" w:firstLineChars="196"/>
              <w:jc w:val="center"/>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4" w:hRule="atLeast"/>
          <w:jc w:val="center"/>
        </w:trPr>
        <w:tc>
          <w:tcPr>
            <w:tcW w:w="1361" w:type="dxa"/>
            <w:tcBorders>
              <w:top w:val="single" w:color="auto" w:sz="4" w:space="0"/>
            </w:tcBorders>
            <w:vAlign w:val="center"/>
          </w:tcPr>
          <w:p>
            <w:pPr>
              <w:widowControl/>
              <w:spacing w:line="360" w:lineRule="atLeast"/>
              <w:ind w:firstLine="470" w:firstLineChars="196"/>
              <w:jc w:val="center"/>
              <w:outlineLvl w:val="1"/>
              <w:rPr>
                <w:sz w:val="24"/>
              </w:rPr>
            </w:pPr>
          </w:p>
        </w:tc>
        <w:tc>
          <w:tcPr>
            <w:tcW w:w="1905" w:type="dxa"/>
            <w:tcBorders>
              <w:top w:val="single" w:color="auto" w:sz="4" w:space="0"/>
            </w:tcBorders>
            <w:vAlign w:val="center"/>
          </w:tcPr>
          <w:p>
            <w:pPr>
              <w:widowControl/>
              <w:spacing w:line="360" w:lineRule="atLeast"/>
              <w:ind w:firstLine="470" w:firstLineChars="196"/>
              <w:jc w:val="center"/>
              <w:outlineLvl w:val="1"/>
              <w:rPr>
                <w:sz w:val="24"/>
              </w:rPr>
            </w:pPr>
          </w:p>
        </w:tc>
        <w:tc>
          <w:tcPr>
            <w:tcW w:w="1998" w:type="dxa"/>
            <w:tcBorders>
              <w:top w:val="single" w:color="auto" w:sz="4" w:space="0"/>
            </w:tcBorders>
            <w:vAlign w:val="center"/>
          </w:tcPr>
          <w:p>
            <w:pPr>
              <w:widowControl/>
              <w:spacing w:line="360" w:lineRule="atLeast"/>
              <w:ind w:firstLine="470" w:firstLineChars="196"/>
              <w:jc w:val="center"/>
              <w:outlineLvl w:val="1"/>
              <w:rPr>
                <w:sz w:val="24"/>
              </w:rPr>
            </w:pPr>
          </w:p>
        </w:tc>
        <w:tc>
          <w:tcPr>
            <w:tcW w:w="1756" w:type="dxa"/>
            <w:tcBorders>
              <w:top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right w:val="single" w:color="auto" w:sz="4" w:space="0"/>
            </w:tcBorders>
            <w:vAlign w:val="center"/>
          </w:tcPr>
          <w:p>
            <w:pPr>
              <w:widowControl/>
              <w:spacing w:line="360" w:lineRule="atLeast"/>
              <w:ind w:firstLine="470" w:firstLineChars="196"/>
              <w:jc w:val="center"/>
              <w:outlineLvl w:val="1"/>
              <w:rPr>
                <w:sz w:val="24"/>
              </w:rPr>
            </w:pPr>
          </w:p>
        </w:tc>
        <w:tc>
          <w:tcPr>
            <w:tcW w:w="2058" w:type="dxa"/>
            <w:tcBorders>
              <w:top w:val="single" w:color="auto" w:sz="4" w:space="0"/>
              <w:right w:val="single" w:color="auto" w:sz="4" w:space="0"/>
            </w:tcBorders>
            <w:vAlign w:val="center"/>
          </w:tcPr>
          <w:p>
            <w:pPr>
              <w:widowControl/>
              <w:spacing w:line="360" w:lineRule="atLeast"/>
              <w:ind w:firstLine="470" w:firstLineChars="196"/>
              <w:jc w:val="center"/>
              <w:outlineLvl w:val="1"/>
              <w:rPr>
                <w:sz w:val="24"/>
              </w:rPr>
            </w:pPr>
          </w:p>
        </w:tc>
      </w:tr>
    </w:tbl>
    <w:p>
      <w:pPr>
        <w:widowControl/>
        <w:spacing w:line="360" w:lineRule="atLeast"/>
        <w:ind w:firstLine="470" w:firstLineChars="196"/>
        <w:jc w:val="left"/>
        <w:outlineLvl w:val="1"/>
        <w:rPr>
          <w:sz w:val="24"/>
        </w:rPr>
      </w:pPr>
    </w:p>
    <w:p>
      <w:pPr>
        <w:widowControl/>
        <w:spacing w:line="360" w:lineRule="atLeast"/>
        <w:ind w:firstLine="470" w:firstLineChars="196"/>
        <w:jc w:val="left"/>
        <w:outlineLvl w:val="1"/>
        <w:rPr>
          <w:sz w:val="24"/>
        </w:rPr>
      </w:pPr>
      <w:r>
        <w:rPr>
          <w:rFonts w:hint="eastAsia"/>
          <w:sz w:val="24"/>
        </w:rPr>
        <w:t>注：以上业绩需提供有关书面证明材料（备案页）。</w:t>
      </w:r>
    </w:p>
    <w:p>
      <w:pPr>
        <w:widowControl/>
        <w:spacing w:line="360" w:lineRule="atLeast"/>
        <w:ind w:firstLine="470" w:firstLineChars="196"/>
        <w:jc w:val="left"/>
        <w:outlineLvl w:val="1"/>
        <w:rPr>
          <w:sz w:val="24"/>
        </w:rPr>
      </w:pPr>
    </w:p>
    <w:p>
      <w:pPr>
        <w:widowControl/>
        <w:spacing w:line="360" w:lineRule="atLeast"/>
        <w:ind w:firstLine="470" w:firstLineChars="196"/>
        <w:jc w:val="left"/>
        <w:outlineLvl w:val="1"/>
        <w:rPr>
          <w:sz w:val="24"/>
        </w:rPr>
      </w:pPr>
    </w:p>
    <w:p>
      <w:pPr>
        <w:widowControl/>
        <w:spacing w:line="360" w:lineRule="atLeast"/>
        <w:ind w:firstLine="470" w:firstLineChars="196"/>
        <w:jc w:val="left"/>
        <w:outlineLvl w:val="1"/>
        <w:rPr>
          <w:sz w:val="24"/>
        </w:rPr>
      </w:pPr>
      <w:r>
        <w:rPr>
          <w:rFonts w:hint="eastAsia"/>
          <w:sz w:val="24"/>
        </w:rPr>
        <w:t>供应商名称：</w:t>
      </w:r>
      <w:r>
        <w:rPr>
          <w:rFonts w:hint="eastAsia"/>
          <w:sz w:val="24"/>
          <w:u w:val="single"/>
        </w:rPr>
        <w:t xml:space="preserve">        </w:t>
      </w:r>
      <w:r>
        <w:rPr>
          <w:rFonts w:hint="eastAsia"/>
          <w:sz w:val="24"/>
        </w:rPr>
        <w:t>（单位盖章）。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 xml:space="preserve">）： </w:t>
      </w:r>
      <w:r>
        <w:rPr>
          <w:rFonts w:hint="eastAsia"/>
          <w:sz w:val="24"/>
          <w:u w:val="single"/>
        </w:rPr>
        <w:t xml:space="preserve">           </w:t>
      </w:r>
      <w:r>
        <w:rPr>
          <w:rFonts w:hint="eastAsia"/>
          <w:sz w:val="24"/>
        </w:rPr>
        <w:t>。</w:t>
      </w:r>
    </w:p>
    <w:p>
      <w:pPr>
        <w:widowControl/>
        <w:spacing w:line="360" w:lineRule="atLeast"/>
        <w:ind w:firstLine="470" w:firstLineChars="196"/>
        <w:jc w:val="left"/>
        <w:outlineLvl w:val="1"/>
        <w:rPr>
          <w:sz w:val="24"/>
        </w:rPr>
      </w:pPr>
      <w:r>
        <w:rPr>
          <w:rFonts w:hint="eastAsia"/>
          <w:sz w:val="24"/>
        </w:rPr>
        <w:t xml:space="preserve">日  期: </w:t>
      </w:r>
      <w:r>
        <w:rPr>
          <w:rFonts w:hint="eastAsia"/>
          <w:sz w:val="24"/>
          <w:u w:val="single"/>
        </w:rPr>
        <w:t xml:space="preserve">        </w:t>
      </w:r>
      <w:r>
        <w:rPr>
          <w:rFonts w:hint="eastAsia"/>
          <w:sz w:val="24"/>
        </w:rPr>
        <w:t>。</w:t>
      </w:r>
    </w:p>
    <w:p>
      <w:pPr>
        <w:widowControl/>
        <w:spacing w:line="360" w:lineRule="atLeast"/>
        <w:outlineLvl w:val="1"/>
        <w:rPr>
          <w:rFonts w:ascii="黑体" w:eastAsia="黑体"/>
          <w:b/>
          <w:sz w:val="32"/>
          <w:szCs w:val="32"/>
        </w:rPr>
      </w:pPr>
      <w:bookmarkStart w:id="124" w:name="_Toc217446091"/>
    </w:p>
    <w:p>
      <w:pPr>
        <w:pStyle w:val="2"/>
        <w:rPr>
          <w:rFonts w:ascii="黑体" w:eastAsia="黑体"/>
          <w:b/>
          <w:sz w:val="32"/>
          <w:szCs w:val="32"/>
        </w:rPr>
      </w:pPr>
    </w:p>
    <w:p/>
    <w:p>
      <w:pPr>
        <w:pStyle w:val="2"/>
      </w:pPr>
    </w:p>
    <w:p>
      <w:pPr>
        <w:widowControl/>
        <w:spacing w:line="360" w:lineRule="atLeast"/>
        <w:outlineLvl w:val="1"/>
        <w:rPr>
          <w:rFonts w:ascii="黑体" w:eastAsia="黑体"/>
          <w:b/>
          <w:sz w:val="32"/>
          <w:szCs w:val="32"/>
        </w:rPr>
      </w:pPr>
      <w:r>
        <w:rPr>
          <w:rFonts w:hint="eastAsia" w:ascii="黑体" w:eastAsia="黑体"/>
          <w:b/>
          <w:sz w:val="32"/>
          <w:szCs w:val="32"/>
        </w:rPr>
        <w:t xml:space="preserve"> </w:t>
      </w:r>
      <w:r>
        <w:rPr>
          <w:rFonts w:hint="eastAsia" w:hAnsi="宋体" w:cs="宋体"/>
          <w:b/>
          <w:sz w:val="24"/>
          <w:szCs w:val="24"/>
        </w:rPr>
        <w:t xml:space="preserve">附件6：   </w:t>
      </w:r>
      <w:r>
        <w:rPr>
          <w:rFonts w:hint="eastAsia" w:ascii="黑体" w:eastAsia="黑体"/>
          <w:b/>
          <w:sz w:val="32"/>
          <w:szCs w:val="32"/>
        </w:rPr>
        <w:t>供应商本项目管理、技术、服务人员情况表</w:t>
      </w:r>
      <w:bookmarkEnd w:id="124"/>
    </w:p>
    <w:p>
      <w:pPr>
        <w:widowControl/>
        <w:spacing w:line="360" w:lineRule="atLeast"/>
        <w:ind w:firstLine="470" w:firstLineChars="196"/>
        <w:jc w:val="left"/>
        <w:outlineLvl w:val="1"/>
        <w:rPr>
          <w:bCs/>
          <w:sz w:val="24"/>
        </w:rPr>
      </w:pPr>
    </w:p>
    <w:p>
      <w:pPr>
        <w:widowControl/>
        <w:spacing w:line="360" w:lineRule="atLeast"/>
        <w:ind w:firstLine="470" w:firstLineChars="196"/>
        <w:jc w:val="left"/>
        <w:outlineLvl w:val="1"/>
        <w:rPr>
          <w:bCs/>
          <w:sz w:val="24"/>
        </w:rPr>
      </w:pPr>
      <w:r>
        <w:rPr>
          <w:rFonts w:hint="eastAsia"/>
          <w:bCs/>
          <w:sz w:val="24"/>
        </w:rPr>
        <w:t xml:space="preserve"> 项目名称：</w:t>
      </w:r>
    </w:p>
    <w:p>
      <w:pPr>
        <w:widowControl/>
        <w:spacing w:line="360" w:lineRule="atLeast"/>
        <w:ind w:firstLine="480" w:firstLineChars="200"/>
        <w:jc w:val="left"/>
        <w:outlineLvl w:val="1"/>
        <w:rPr>
          <w:bCs/>
          <w:sz w:val="24"/>
        </w:rPr>
      </w:pPr>
      <w:r>
        <w:rPr>
          <w:rFonts w:hint="eastAsia"/>
          <w:bCs/>
          <w:sz w:val="24"/>
        </w:rPr>
        <w:t xml:space="preserve"> 项目编号：                          </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071"/>
        <w:gridCol w:w="1071"/>
        <w:gridCol w:w="1071"/>
        <w:gridCol w:w="1071"/>
        <w:gridCol w:w="1130"/>
        <w:gridCol w:w="127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restart"/>
            <w:vAlign w:val="center"/>
          </w:tcPr>
          <w:p>
            <w:pPr>
              <w:widowControl/>
              <w:spacing w:line="360" w:lineRule="atLeast"/>
              <w:jc w:val="left"/>
              <w:outlineLvl w:val="1"/>
              <w:rPr>
                <w:sz w:val="24"/>
              </w:rPr>
            </w:pPr>
            <w:r>
              <w:rPr>
                <w:rFonts w:hint="eastAsia"/>
                <w:sz w:val="24"/>
              </w:rPr>
              <w:t>类别</w:t>
            </w:r>
          </w:p>
        </w:tc>
        <w:tc>
          <w:tcPr>
            <w:tcW w:w="1071" w:type="dxa"/>
            <w:vMerge w:val="restart"/>
            <w:vAlign w:val="center"/>
          </w:tcPr>
          <w:p>
            <w:pPr>
              <w:widowControl/>
              <w:spacing w:line="360" w:lineRule="atLeast"/>
              <w:jc w:val="left"/>
              <w:outlineLvl w:val="1"/>
              <w:rPr>
                <w:sz w:val="24"/>
              </w:rPr>
            </w:pPr>
            <w:r>
              <w:rPr>
                <w:rFonts w:hint="eastAsia"/>
                <w:sz w:val="24"/>
              </w:rPr>
              <w:t>职务</w:t>
            </w:r>
          </w:p>
        </w:tc>
        <w:tc>
          <w:tcPr>
            <w:tcW w:w="1071" w:type="dxa"/>
            <w:vMerge w:val="restart"/>
            <w:vAlign w:val="center"/>
          </w:tcPr>
          <w:p>
            <w:pPr>
              <w:widowControl/>
              <w:spacing w:line="360" w:lineRule="atLeast"/>
              <w:jc w:val="left"/>
              <w:outlineLvl w:val="1"/>
              <w:rPr>
                <w:sz w:val="24"/>
              </w:rPr>
            </w:pPr>
            <w:r>
              <w:rPr>
                <w:rFonts w:hint="eastAsia"/>
                <w:sz w:val="24"/>
              </w:rPr>
              <w:t>姓名</w:t>
            </w:r>
          </w:p>
        </w:tc>
        <w:tc>
          <w:tcPr>
            <w:tcW w:w="1071" w:type="dxa"/>
            <w:vMerge w:val="restart"/>
            <w:vAlign w:val="center"/>
          </w:tcPr>
          <w:p>
            <w:pPr>
              <w:widowControl/>
              <w:spacing w:line="360" w:lineRule="atLeast"/>
              <w:jc w:val="left"/>
              <w:outlineLvl w:val="1"/>
              <w:rPr>
                <w:sz w:val="24"/>
              </w:rPr>
            </w:pPr>
            <w:r>
              <w:rPr>
                <w:rFonts w:hint="eastAsia"/>
                <w:sz w:val="24"/>
              </w:rPr>
              <w:t>职称</w:t>
            </w:r>
          </w:p>
        </w:tc>
        <w:tc>
          <w:tcPr>
            <w:tcW w:w="1071" w:type="dxa"/>
            <w:vMerge w:val="restart"/>
            <w:vAlign w:val="center"/>
          </w:tcPr>
          <w:p>
            <w:pPr>
              <w:widowControl/>
              <w:spacing w:line="360" w:lineRule="atLeast"/>
              <w:jc w:val="left"/>
              <w:outlineLvl w:val="1"/>
              <w:rPr>
                <w:sz w:val="24"/>
              </w:rPr>
            </w:pPr>
            <w:r>
              <w:rPr>
                <w:rFonts w:hint="eastAsia"/>
                <w:sz w:val="24"/>
              </w:rPr>
              <w:t>常住地</w:t>
            </w:r>
          </w:p>
        </w:tc>
        <w:tc>
          <w:tcPr>
            <w:tcW w:w="3529" w:type="dxa"/>
            <w:gridSpan w:val="3"/>
            <w:vAlign w:val="center"/>
          </w:tcPr>
          <w:p>
            <w:pPr>
              <w:widowControl/>
              <w:spacing w:line="360" w:lineRule="atLeast"/>
              <w:ind w:firstLine="470" w:firstLineChars="196"/>
              <w:jc w:val="left"/>
              <w:outlineLvl w:val="1"/>
              <w:rPr>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266" w:type="dxa"/>
            <w:vMerge w:val="continue"/>
            <w:vAlign w:val="center"/>
          </w:tcPr>
          <w:p/>
        </w:tc>
        <w:tc>
          <w:tcPr>
            <w:tcW w:w="1071" w:type="dxa"/>
            <w:vMerge w:val="continue"/>
            <w:vAlign w:val="center"/>
          </w:tcPr>
          <w:p/>
        </w:tc>
        <w:tc>
          <w:tcPr>
            <w:tcW w:w="1071" w:type="dxa"/>
            <w:vMerge w:val="continue"/>
            <w:vAlign w:val="center"/>
          </w:tcPr>
          <w:p/>
        </w:tc>
        <w:tc>
          <w:tcPr>
            <w:tcW w:w="1071" w:type="dxa"/>
            <w:vMerge w:val="continue"/>
            <w:vAlign w:val="center"/>
          </w:tcPr>
          <w:p/>
        </w:tc>
        <w:tc>
          <w:tcPr>
            <w:tcW w:w="1071" w:type="dxa"/>
            <w:vMerge w:val="continue"/>
            <w:vAlign w:val="center"/>
          </w:tcPr>
          <w:p/>
        </w:tc>
        <w:tc>
          <w:tcPr>
            <w:tcW w:w="1130" w:type="dxa"/>
            <w:vAlign w:val="center"/>
          </w:tcPr>
          <w:p>
            <w:pPr>
              <w:widowControl/>
              <w:spacing w:line="360" w:lineRule="atLeast"/>
              <w:jc w:val="left"/>
              <w:outlineLvl w:val="1"/>
              <w:rPr>
                <w:sz w:val="24"/>
              </w:rPr>
            </w:pPr>
            <w:r>
              <w:rPr>
                <w:rFonts w:hint="eastAsia"/>
                <w:sz w:val="24"/>
              </w:rPr>
              <w:t>证书</w:t>
            </w:r>
          </w:p>
          <w:p>
            <w:pPr>
              <w:widowControl/>
              <w:spacing w:line="360" w:lineRule="atLeast"/>
              <w:jc w:val="left"/>
              <w:outlineLvl w:val="1"/>
              <w:rPr>
                <w:sz w:val="24"/>
              </w:rPr>
            </w:pPr>
            <w:r>
              <w:rPr>
                <w:rFonts w:hint="eastAsia"/>
                <w:sz w:val="24"/>
              </w:rPr>
              <w:t>名称</w:t>
            </w:r>
          </w:p>
        </w:tc>
        <w:tc>
          <w:tcPr>
            <w:tcW w:w="1274" w:type="dxa"/>
            <w:vAlign w:val="center"/>
          </w:tcPr>
          <w:p>
            <w:pPr>
              <w:widowControl/>
              <w:spacing w:line="360" w:lineRule="atLeast"/>
              <w:jc w:val="left"/>
              <w:outlineLvl w:val="1"/>
              <w:rPr>
                <w:sz w:val="24"/>
              </w:rPr>
            </w:pPr>
            <w:r>
              <w:rPr>
                <w:rFonts w:hint="eastAsia"/>
                <w:sz w:val="24"/>
              </w:rPr>
              <w:t>证号</w:t>
            </w:r>
          </w:p>
        </w:tc>
        <w:tc>
          <w:tcPr>
            <w:tcW w:w="1125" w:type="dxa"/>
            <w:vAlign w:val="center"/>
          </w:tcPr>
          <w:p>
            <w:pPr>
              <w:widowControl/>
              <w:spacing w:line="360" w:lineRule="atLeast"/>
              <w:jc w:val="left"/>
              <w:outlineLvl w:val="1"/>
              <w:rPr>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restart"/>
          </w:tcPr>
          <w:p>
            <w:pPr>
              <w:widowControl/>
              <w:spacing w:line="360" w:lineRule="atLeast"/>
              <w:jc w:val="left"/>
              <w:outlineLvl w:val="1"/>
              <w:rPr>
                <w:sz w:val="24"/>
              </w:rPr>
            </w:pPr>
            <w:r>
              <w:rPr>
                <w:rFonts w:hint="eastAsia"/>
                <w:sz w:val="24"/>
              </w:rPr>
              <w:t>管理</w:t>
            </w:r>
          </w:p>
          <w:p>
            <w:pPr>
              <w:widowControl/>
              <w:spacing w:line="360" w:lineRule="atLeast"/>
              <w:jc w:val="left"/>
              <w:outlineLvl w:val="1"/>
              <w:rPr>
                <w:sz w:val="24"/>
              </w:rPr>
            </w:pPr>
            <w:r>
              <w:rPr>
                <w:rFonts w:hint="eastAsia"/>
                <w:sz w:val="24"/>
              </w:rPr>
              <w:t>人员</w:t>
            </w: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continue"/>
          </w:tc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continue"/>
          </w:tc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restart"/>
          </w:tcPr>
          <w:p>
            <w:pPr>
              <w:widowControl/>
              <w:spacing w:line="360" w:lineRule="atLeast"/>
              <w:jc w:val="left"/>
              <w:outlineLvl w:val="1"/>
              <w:rPr>
                <w:sz w:val="24"/>
              </w:rPr>
            </w:pPr>
            <w:r>
              <w:rPr>
                <w:rFonts w:hint="eastAsia"/>
                <w:sz w:val="24"/>
              </w:rPr>
              <w:t>技术</w:t>
            </w:r>
          </w:p>
          <w:p>
            <w:pPr>
              <w:widowControl/>
              <w:spacing w:line="360" w:lineRule="atLeast"/>
              <w:jc w:val="left"/>
              <w:outlineLvl w:val="1"/>
              <w:rPr>
                <w:sz w:val="24"/>
              </w:rPr>
            </w:pPr>
            <w:r>
              <w:rPr>
                <w:rFonts w:hint="eastAsia"/>
                <w:sz w:val="24"/>
              </w:rPr>
              <w:t>人员</w:t>
            </w: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continue"/>
          </w:tc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266" w:type="dxa"/>
            <w:vMerge w:val="continue"/>
          </w:tc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1266" w:type="dxa"/>
            <w:vMerge w:val="restart"/>
          </w:tcPr>
          <w:p>
            <w:pPr>
              <w:widowControl/>
              <w:spacing w:line="360" w:lineRule="atLeast"/>
              <w:jc w:val="left"/>
              <w:outlineLvl w:val="1"/>
              <w:rPr>
                <w:sz w:val="24"/>
              </w:rPr>
            </w:pPr>
            <w:r>
              <w:rPr>
                <w:rFonts w:hint="eastAsia"/>
                <w:sz w:val="24"/>
              </w:rPr>
              <w:t>其他人员</w:t>
            </w: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266" w:type="dxa"/>
            <w:vMerge w:val="continue"/>
            <w:tcBorders>
              <w:bottom w:val="single" w:color="auto" w:sz="4" w:space="0"/>
            </w:tcBorders>
          </w:tcPr>
          <w:p/>
        </w:tc>
        <w:tc>
          <w:tcPr>
            <w:tcW w:w="1071" w:type="dxa"/>
            <w:tcBorders>
              <w:bottom w:val="single" w:color="auto" w:sz="4" w:space="0"/>
            </w:tcBorders>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071" w:type="dxa"/>
          </w:tcPr>
          <w:p>
            <w:pPr>
              <w:widowControl/>
              <w:spacing w:line="360" w:lineRule="atLeast"/>
              <w:ind w:firstLine="470" w:firstLineChars="196"/>
              <w:jc w:val="left"/>
              <w:outlineLvl w:val="1"/>
              <w:rPr>
                <w:sz w:val="24"/>
              </w:rPr>
            </w:pPr>
          </w:p>
        </w:tc>
        <w:tc>
          <w:tcPr>
            <w:tcW w:w="1130" w:type="dxa"/>
          </w:tcPr>
          <w:p>
            <w:pPr>
              <w:widowControl/>
              <w:spacing w:line="360" w:lineRule="atLeast"/>
              <w:ind w:firstLine="470" w:firstLineChars="196"/>
              <w:jc w:val="left"/>
              <w:outlineLvl w:val="1"/>
              <w:rPr>
                <w:sz w:val="24"/>
              </w:rPr>
            </w:pPr>
          </w:p>
        </w:tc>
        <w:tc>
          <w:tcPr>
            <w:tcW w:w="1274" w:type="dxa"/>
          </w:tcPr>
          <w:p>
            <w:pPr>
              <w:widowControl/>
              <w:spacing w:line="360" w:lineRule="atLeast"/>
              <w:ind w:firstLine="470" w:firstLineChars="196"/>
              <w:jc w:val="left"/>
              <w:outlineLvl w:val="1"/>
              <w:rPr>
                <w:sz w:val="24"/>
              </w:rPr>
            </w:pPr>
          </w:p>
        </w:tc>
        <w:tc>
          <w:tcPr>
            <w:tcW w:w="1125" w:type="dxa"/>
          </w:tcPr>
          <w:p>
            <w:pPr>
              <w:widowControl/>
              <w:spacing w:line="360" w:lineRule="atLeast"/>
              <w:ind w:firstLine="470" w:firstLineChars="196"/>
              <w:jc w:val="left"/>
              <w:outlineLvl w:val="1"/>
              <w:rPr>
                <w:sz w:val="24"/>
              </w:rPr>
            </w:pPr>
          </w:p>
        </w:tc>
      </w:tr>
    </w:tbl>
    <w:p>
      <w:pPr>
        <w:widowControl/>
        <w:spacing w:line="360" w:lineRule="atLeast"/>
        <w:ind w:firstLine="470" w:firstLineChars="196"/>
        <w:jc w:val="left"/>
        <w:outlineLvl w:val="1"/>
        <w:rPr>
          <w:sz w:val="24"/>
        </w:rPr>
      </w:pPr>
    </w:p>
    <w:p>
      <w:pPr>
        <w:widowControl/>
        <w:spacing w:line="360" w:lineRule="atLeast"/>
        <w:ind w:firstLine="470" w:firstLineChars="196"/>
        <w:jc w:val="left"/>
        <w:outlineLvl w:val="1"/>
        <w:rPr>
          <w:sz w:val="24"/>
        </w:rPr>
      </w:pPr>
      <w:r>
        <w:rPr>
          <w:rFonts w:hint="eastAsia"/>
          <w:sz w:val="24"/>
        </w:rPr>
        <w:t>供应商名称：</w:t>
      </w:r>
      <w:r>
        <w:rPr>
          <w:rFonts w:hint="eastAsia"/>
          <w:sz w:val="24"/>
          <w:u w:val="single"/>
        </w:rPr>
        <w:t xml:space="preserve">           </w:t>
      </w:r>
      <w:r>
        <w:rPr>
          <w:rFonts w:hint="eastAsia"/>
          <w:sz w:val="24"/>
        </w:rPr>
        <w:t>（单位盖章）。</w:t>
      </w:r>
    </w:p>
    <w:p>
      <w:pPr>
        <w:widowControl/>
        <w:spacing w:line="360" w:lineRule="atLeast"/>
        <w:ind w:firstLine="470" w:firstLineChars="196"/>
        <w:jc w:val="left"/>
        <w:outlineLvl w:val="1"/>
        <w:rPr>
          <w:sz w:val="24"/>
        </w:rPr>
      </w:pPr>
      <w:r>
        <w:rPr>
          <w:rFonts w:hint="eastAsia"/>
          <w:sz w:val="24"/>
        </w:rPr>
        <w:t>法定代表人或授权代表（</w:t>
      </w:r>
      <w:r>
        <w:rPr>
          <w:rFonts w:hint="eastAsia" w:hAnsi="宋体" w:cs="宋体"/>
          <w:sz w:val="24"/>
          <w:szCs w:val="24"/>
        </w:rPr>
        <w:t>签字或盖章</w:t>
      </w:r>
      <w:r>
        <w:rPr>
          <w:rFonts w:hint="eastAsia"/>
          <w:sz w:val="24"/>
        </w:rPr>
        <w:t xml:space="preserve">）： </w:t>
      </w:r>
      <w:r>
        <w:rPr>
          <w:rFonts w:hint="eastAsia"/>
          <w:sz w:val="24"/>
          <w:u w:val="single"/>
        </w:rPr>
        <w:t xml:space="preserve">             </w:t>
      </w:r>
      <w:r>
        <w:rPr>
          <w:rFonts w:hint="eastAsia"/>
          <w:sz w:val="24"/>
        </w:rPr>
        <w:t>。</w:t>
      </w:r>
    </w:p>
    <w:p>
      <w:pPr>
        <w:widowControl/>
        <w:spacing w:line="360" w:lineRule="atLeast"/>
        <w:ind w:firstLine="470" w:firstLineChars="196"/>
        <w:jc w:val="left"/>
        <w:outlineLvl w:val="1"/>
        <w:rPr>
          <w:sz w:val="24"/>
        </w:rPr>
      </w:pPr>
      <w:r>
        <w:rPr>
          <w:rFonts w:hint="eastAsia"/>
          <w:sz w:val="24"/>
        </w:rPr>
        <w:t xml:space="preserve">日  期: </w:t>
      </w:r>
      <w:r>
        <w:rPr>
          <w:rFonts w:hint="eastAsia"/>
          <w:sz w:val="24"/>
          <w:u w:val="single"/>
        </w:rPr>
        <w:t xml:space="preserve">        </w:t>
      </w:r>
      <w:r>
        <w:rPr>
          <w:rFonts w:hint="eastAsia"/>
          <w:sz w:val="24"/>
        </w:rPr>
        <w:t>。</w:t>
      </w: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p>
    <w:p>
      <w:pPr>
        <w:widowControl/>
        <w:spacing w:line="360" w:lineRule="atLeast"/>
        <w:ind w:firstLine="472" w:firstLineChars="196"/>
        <w:jc w:val="left"/>
        <w:outlineLvl w:val="1"/>
        <w:rPr>
          <w:b/>
          <w:sz w:val="24"/>
        </w:rPr>
      </w:pPr>
      <w:r>
        <w:rPr>
          <w:rFonts w:hint="eastAsia"/>
          <w:b/>
          <w:sz w:val="24"/>
        </w:rPr>
        <w:t>其他资料供应商格式自拟</w:t>
      </w:r>
      <w:bookmarkStart w:id="125" w:name="_Toc3721"/>
      <w:bookmarkStart w:id="126" w:name="_Toc25498"/>
      <w:bookmarkStart w:id="127" w:name="_Toc13046"/>
    </w:p>
    <w:p>
      <w:pPr>
        <w:pStyle w:val="2"/>
        <w:rPr>
          <w:b/>
          <w:sz w:val="24"/>
        </w:rPr>
      </w:pPr>
    </w:p>
    <w:p>
      <w:pPr>
        <w:rPr>
          <w:b/>
          <w:sz w:val="24"/>
        </w:rPr>
      </w:pPr>
    </w:p>
    <w:p>
      <w:pPr>
        <w:pStyle w:val="2"/>
        <w:rPr>
          <w:b/>
          <w:sz w:val="24"/>
        </w:rPr>
      </w:pPr>
    </w:p>
    <w:p>
      <w:pPr>
        <w:rPr>
          <w:b/>
          <w:sz w:val="24"/>
        </w:rPr>
      </w:pPr>
    </w:p>
    <w:p>
      <w:pPr>
        <w:pStyle w:val="2"/>
      </w:pPr>
    </w:p>
    <w:p>
      <w:pPr>
        <w:pStyle w:val="3"/>
        <w:jc w:val="center"/>
      </w:pPr>
      <w:r>
        <w:rPr>
          <w:rFonts w:hint="eastAsia"/>
        </w:rPr>
        <w:t xml:space="preserve">第八章  </w:t>
      </w:r>
      <w:bookmarkEnd w:id="125"/>
      <w:bookmarkStart w:id="128" w:name="_Hlt101846155"/>
      <w:bookmarkEnd w:id="128"/>
      <w:bookmarkStart w:id="129" w:name="_Toc217446097"/>
      <w:bookmarkStart w:id="130" w:name="_Toc183582280"/>
      <w:bookmarkStart w:id="131" w:name="_Toc208849007"/>
      <w:bookmarkStart w:id="132" w:name="_Toc183682415"/>
      <w:r>
        <w:rPr>
          <w:rFonts w:hint="eastAsia"/>
        </w:rPr>
        <w:t>磋商程序及评审</w:t>
      </w:r>
      <w:bookmarkEnd w:id="126"/>
      <w:bookmarkEnd w:id="127"/>
    </w:p>
    <w:bookmarkEnd w:id="129"/>
    <w:bookmarkEnd w:id="130"/>
    <w:bookmarkEnd w:id="131"/>
    <w:bookmarkEnd w:id="132"/>
    <w:p>
      <w:pPr>
        <w:spacing w:line="400" w:lineRule="exact"/>
        <w:ind w:firstLine="482" w:firstLineChars="200"/>
        <w:rPr>
          <w:b/>
          <w:bCs/>
          <w:sz w:val="24"/>
        </w:rPr>
      </w:pPr>
      <w:bookmarkStart w:id="133" w:name="_Toc217446098"/>
      <w:r>
        <w:rPr>
          <w:rFonts w:hint="eastAsia"/>
          <w:b/>
          <w:bCs/>
          <w:sz w:val="24"/>
        </w:rPr>
        <w:t>一、总则</w:t>
      </w:r>
    </w:p>
    <w:p>
      <w:pPr>
        <w:spacing w:line="400" w:lineRule="exact"/>
        <w:ind w:firstLine="480" w:firstLineChars="200"/>
        <w:rPr>
          <w:sz w:val="24"/>
        </w:rPr>
      </w:pPr>
      <w:r>
        <w:rPr>
          <w:rFonts w:hint="eastAsia"/>
          <w:sz w:val="24"/>
        </w:rPr>
        <w:t>1.1 根据本采购项目特点制定本评审办法。</w:t>
      </w:r>
    </w:p>
    <w:p>
      <w:pPr>
        <w:spacing w:line="400" w:lineRule="exact"/>
        <w:ind w:firstLine="480" w:firstLineChars="200"/>
        <w:rPr>
          <w:sz w:val="24"/>
        </w:rPr>
      </w:pPr>
      <w:r>
        <w:rPr>
          <w:rFonts w:hint="eastAsia"/>
          <w:sz w:val="24"/>
        </w:rPr>
        <w:t>1.2 评审工作由磋商采购单位负责组织，具体评审事务由磋商采购单位依法组建的磋商小组负责。</w:t>
      </w:r>
    </w:p>
    <w:p>
      <w:pPr>
        <w:spacing w:line="400" w:lineRule="exact"/>
        <w:ind w:firstLine="480" w:firstLineChars="200"/>
        <w:rPr>
          <w:sz w:val="24"/>
        </w:rPr>
      </w:pPr>
      <w:r>
        <w:rPr>
          <w:rFonts w:hint="eastAsia"/>
          <w:sz w:val="24"/>
        </w:rPr>
        <w:t>1.3 评审工作应遵循公平、公正、科学及择优的原则，并以相同的评审程序和标准对待所有的供应商。</w:t>
      </w:r>
    </w:p>
    <w:p>
      <w:pPr>
        <w:spacing w:line="400" w:lineRule="exact"/>
        <w:ind w:firstLine="480" w:firstLineChars="200"/>
        <w:rPr>
          <w:sz w:val="24"/>
        </w:rPr>
      </w:pPr>
      <w:r>
        <w:rPr>
          <w:rFonts w:hint="eastAsia"/>
          <w:sz w:val="24"/>
        </w:rPr>
        <w:t>1.4 磋商小组按照磋商文件规定的评审方法和标准进行评审，并独立履行下列职责：</w:t>
      </w:r>
    </w:p>
    <w:p>
      <w:pPr>
        <w:spacing w:line="400" w:lineRule="exact"/>
        <w:ind w:firstLine="480" w:firstLineChars="200"/>
        <w:rPr>
          <w:sz w:val="24"/>
        </w:rPr>
      </w:pPr>
      <w:r>
        <w:rPr>
          <w:rFonts w:hint="eastAsia"/>
          <w:sz w:val="24"/>
        </w:rPr>
        <w:t>（一）</w:t>
      </w:r>
      <w:r>
        <w:rPr>
          <w:rFonts w:hint="eastAsia" w:hAnsi="宋体"/>
          <w:bCs/>
          <w:sz w:val="24"/>
          <w:szCs w:val="24"/>
        </w:rPr>
        <w:t>熟悉和理解磋商文件，</w:t>
      </w:r>
      <w:r>
        <w:rPr>
          <w:rFonts w:hint="eastAsia"/>
          <w:sz w:val="24"/>
        </w:rPr>
        <w:t>审查磋商文件内容是否违反国家有关强制性规定或者磋商文件存在歧义、重大缺陷；</w:t>
      </w:r>
    </w:p>
    <w:p>
      <w:pPr>
        <w:spacing w:line="400" w:lineRule="exact"/>
        <w:ind w:firstLine="480" w:firstLineChars="200"/>
        <w:rPr>
          <w:sz w:val="24"/>
        </w:rPr>
      </w:pPr>
      <w:r>
        <w:rPr>
          <w:rFonts w:hint="eastAsia"/>
          <w:sz w:val="24"/>
        </w:rPr>
        <w:t>（二）审查供应商响应文件是否满足磋商文件要求，并作出公正评价；</w:t>
      </w:r>
    </w:p>
    <w:p>
      <w:pPr>
        <w:spacing w:line="400" w:lineRule="exact"/>
        <w:ind w:firstLine="480" w:firstLineChars="200"/>
        <w:rPr>
          <w:sz w:val="24"/>
        </w:rPr>
      </w:pPr>
      <w:r>
        <w:rPr>
          <w:rFonts w:hint="eastAsia"/>
          <w:sz w:val="24"/>
        </w:rPr>
        <w:t>（三）根据需要要求供应商对响应文件有关事项作出澄清、说明或者纠正；</w:t>
      </w:r>
    </w:p>
    <w:p>
      <w:pPr>
        <w:spacing w:line="400" w:lineRule="exact"/>
        <w:ind w:firstLine="480" w:firstLineChars="200"/>
        <w:rPr>
          <w:sz w:val="24"/>
        </w:rPr>
      </w:pPr>
      <w:r>
        <w:rPr>
          <w:rFonts w:hint="eastAsia"/>
          <w:sz w:val="24"/>
        </w:rPr>
        <w:t>（四）推荐成交候选供应商名单，或者受采购人委托确定成交、成交供应商；</w:t>
      </w:r>
    </w:p>
    <w:p>
      <w:pPr>
        <w:spacing w:line="400" w:lineRule="exact"/>
        <w:ind w:firstLine="480" w:firstLineChars="200"/>
        <w:rPr>
          <w:sz w:val="24"/>
        </w:rPr>
      </w:pPr>
      <w:r>
        <w:rPr>
          <w:rFonts w:hint="eastAsia"/>
          <w:sz w:val="24"/>
        </w:rPr>
        <w:t>（五）起草评审报告并进行签署；</w:t>
      </w:r>
    </w:p>
    <w:p>
      <w:pPr>
        <w:spacing w:line="400" w:lineRule="exact"/>
        <w:ind w:firstLine="480" w:firstLineChars="200"/>
        <w:rPr>
          <w:sz w:val="24"/>
        </w:rPr>
      </w:pPr>
      <w:r>
        <w:rPr>
          <w:rFonts w:hint="eastAsia"/>
          <w:sz w:val="24"/>
        </w:rPr>
        <w:t>（六）向磋商采购单位、财政部门或者其他监督部门报告非法干预评审工作的行为；</w:t>
      </w:r>
    </w:p>
    <w:p>
      <w:pPr>
        <w:spacing w:line="400" w:lineRule="exact"/>
        <w:ind w:firstLine="480" w:firstLineChars="200"/>
        <w:rPr>
          <w:sz w:val="24"/>
        </w:rPr>
      </w:pPr>
      <w:r>
        <w:rPr>
          <w:rFonts w:hint="eastAsia"/>
          <w:sz w:val="24"/>
        </w:rPr>
        <w:t>（七）法律、法规和规章规定的其他职责。</w:t>
      </w:r>
    </w:p>
    <w:p>
      <w:pPr>
        <w:spacing w:line="400" w:lineRule="exact"/>
        <w:ind w:firstLine="480" w:firstLineChars="200"/>
        <w:rPr>
          <w:sz w:val="24"/>
        </w:rPr>
      </w:pPr>
      <w:r>
        <w:rPr>
          <w:rFonts w:hint="eastAsia"/>
          <w:sz w:val="24"/>
        </w:rPr>
        <w:t xml:space="preserve">1.5 </w:t>
      </w:r>
      <w:r>
        <w:rPr>
          <w:rFonts w:hint="eastAsia"/>
          <w:b/>
          <w:bCs/>
          <w:sz w:val="24"/>
        </w:rPr>
        <w:t>（实质性要求）</w:t>
      </w:r>
      <w:r>
        <w:rPr>
          <w:rFonts w:hint="eastAsia"/>
          <w:sz w:val="24"/>
        </w:rPr>
        <w:t>评审过程独立、保密。竞磋人非法干预评审评审过程的行为将导致其响应文件作为无效处理。</w:t>
      </w:r>
    </w:p>
    <w:p>
      <w:pPr>
        <w:spacing w:line="400" w:lineRule="exact"/>
        <w:ind w:firstLine="480" w:firstLineChars="200"/>
        <w:rPr>
          <w:sz w:val="24"/>
        </w:rPr>
      </w:pPr>
      <w:r>
        <w:rPr>
          <w:rFonts w:hint="eastAsia"/>
          <w:sz w:val="24"/>
        </w:rPr>
        <w:t>1.6 磋商小组评价响应文件的响应性，对于竞磋人而言，除磋商小组要求其澄清、说明或者纠正而提供的资料外，仅依据响应文件本身的内容，不寻求其他外部证据。</w:t>
      </w:r>
    </w:p>
    <w:p>
      <w:pPr>
        <w:spacing w:line="400" w:lineRule="exact"/>
        <w:ind w:firstLine="482" w:firstLineChars="200"/>
        <w:rPr>
          <w:rFonts w:hAnsi="宋体" w:cs="宋体"/>
          <w:b/>
          <w:bCs/>
          <w:sz w:val="24"/>
        </w:rPr>
      </w:pPr>
      <w:r>
        <w:rPr>
          <w:rFonts w:hint="eastAsia" w:hAnsi="宋体" w:cs="宋体"/>
          <w:b/>
          <w:bCs/>
          <w:sz w:val="24"/>
        </w:rPr>
        <w:t>二、评审方法</w:t>
      </w:r>
    </w:p>
    <w:p>
      <w:pPr>
        <w:spacing w:line="400" w:lineRule="exact"/>
        <w:ind w:firstLine="480" w:firstLineChars="200"/>
        <w:rPr>
          <w:sz w:val="24"/>
        </w:rPr>
      </w:pPr>
      <w:r>
        <w:rPr>
          <w:rFonts w:hint="eastAsia"/>
          <w:sz w:val="24"/>
        </w:rPr>
        <w:t>本项目评审方法：综合评分法。综合评分法是指在最大限度地满足磋商文件实质性要求前提下，按照磋商文件中规定的各项因素进行综合评审后，以评审总得分最高的供应商作为成交候选供应商或者成交供应商的评审方法。</w:t>
      </w:r>
    </w:p>
    <w:p>
      <w:pPr>
        <w:spacing w:line="400" w:lineRule="exact"/>
        <w:ind w:firstLine="482" w:firstLineChars="200"/>
        <w:rPr>
          <w:b/>
          <w:bCs/>
          <w:sz w:val="24"/>
        </w:rPr>
      </w:pPr>
      <w:r>
        <w:rPr>
          <w:rFonts w:hint="eastAsia"/>
          <w:b/>
          <w:bCs/>
          <w:sz w:val="24"/>
        </w:rPr>
        <w:t>三、磋商程序</w:t>
      </w:r>
    </w:p>
    <w:p>
      <w:pPr>
        <w:spacing w:line="400" w:lineRule="exact"/>
        <w:ind w:firstLine="482" w:firstLineChars="200"/>
        <w:rPr>
          <w:b/>
          <w:bCs/>
          <w:sz w:val="24"/>
        </w:rPr>
      </w:pPr>
      <w:r>
        <w:rPr>
          <w:rFonts w:hint="eastAsia"/>
          <w:b/>
          <w:bCs/>
          <w:sz w:val="24"/>
        </w:rPr>
        <w:t>1、 推选磋商小组组长。</w:t>
      </w:r>
    </w:p>
    <w:p>
      <w:pPr>
        <w:spacing w:line="400" w:lineRule="exact"/>
        <w:ind w:firstLine="480" w:firstLineChars="200"/>
        <w:rPr>
          <w:sz w:val="24"/>
        </w:rPr>
      </w:pPr>
      <w:r>
        <w:rPr>
          <w:rFonts w:hint="eastAsia"/>
          <w:sz w:val="24"/>
        </w:rPr>
        <w:t>磋商小组组长主要负责协调磋商小组成员之间的事务性工作、与采购人牵头交涉相关事宜、执笔撰写资格审查报告等。磋商小组组长与其他成员的法定职责、权利和义务相同。磋商小组组长不得影响其他成员依法独立评审。磋商小组组长由评审专家担任，采购人代表不得担任磋商小组组长。</w:t>
      </w:r>
    </w:p>
    <w:p>
      <w:pPr>
        <w:spacing w:line="400" w:lineRule="exact"/>
        <w:ind w:firstLine="482" w:firstLineChars="200"/>
        <w:rPr>
          <w:b/>
          <w:bCs/>
          <w:sz w:val="24"/>
        </w:rPr>
      </w:pPr>
      <w:r>
        <w:rPr>
          <w:rFonts w:hint="eastAsia"/>
          <w:b/>
          <w:bCs/>
          <w:sz w:val="24"/>
        </w:rPr>
        <w:t>2、 理解磋商文件的规定要求。</w:t>
      </w:r>
    </w:p>
    <w:p>
      <w:pPr>
        <w:spacing w:line="400" w:lineRule="exact"/>
        <w:ind w:firstLine="480" w:firstLineChars="200"/>
        <w:rPr>
          <w:sz w:val="24"/>
        </w:rPr>
      </w:pPr>
      <w:r>
        <w:rPr>
          <w:rFonts w:hint="eastAsia"/>
          <w:sz w:val="24"/>
        </w:rPr>
        <w:t>主要包括磋商文件的磋商须知、确定邀请参加磋商的供应商数量、供应商的资格条件要求、供应商应当提供的资格证明材料、采购项目技术和商务要求、磋商程序和成交标准、磋商内容、体现满足采购需求、质量和服务相等的采购项目最低要求以及采购合同主要条款等规定要求。</w:t>
      </w:r>
    </w:p>
    <w:p>
      <w:pPr>
        <w:spacing w:line="400" w:lineRule="exact"/>
        <w:ind w:firstLine="482" w:firstLineChars="200"/>
        <w:rPr>
          <w:b/>
          <w:bCs/>
          <w:sz w:val="24"/>
        </w:rPr>
      </w:pPr>
      <w:r>
        <w:rPr>
          <w:rFonts w:hint="eastAsia"/>
          <w:b/>
          <w:bCs/>
          <w:sz w:val="24"/>
        </w:rPr>
        <w:t>3、 磋商文件审查</w:t>
      </w:r>
    </w:p>
    <w:p>
      <w:pPr>
        <w:spacing w:line="400" w:lineRule="exact"/>
        <w:ind w:firstLine="480" w:firstLineChars="200"/>
        <w:rPr>
          <w:sz w:val="24"/>
        </w:rPr>
      </w:pPr>
      <w:r>
        <w:rPr>
          <w:rFonts w:hint="eastAsia"/>
          <w:sz w:val="24"/>
        </w:rPr>
        <w:t>3.1 审查磋商文件和停止评审。</w:t>
      </w:r>
    </w:p>
    <w:p>
      <w:pPr>
        <w:spacing w:line="400" w:lineRule="exact"/>
        <w:ind w:firstLine="480" w:firstLineChars="200"/>
        <w:rPr>
          <w:sz w:val="24"/>
        </w:rPr>
      </w:pPr>
      <w:r>
        <w:rPr>
          <w:rFonts w:hint="eastAsia"/>
          <w:sz w:val="24"/>
        </w:rPr>
        <w:t>3.1.1 磋商小组正式评审前，应当对磋商文件进行审查，内容主要包括磋商文件中竞磋人资格条件要求、采购项目技术、服务和商务要求、评审方法和标准以及采购合同主要条款等。</w:t>
      </w:r>
    </w:p>
    <w:p>
      <w:pPr>
        <w:spacing w:line="400" w:lineRule="exact"/>
        <w:ind w:firstLine="480" w:firstLineChars="200"/>
        <w:rPr>
          <w:sz w:val="24"/>
        </w:rPr>
      </w:pPr>
      <w:r>
        <w:rPr>
          <w:rFonts w:hint="eastAsia"/>
          <w:sz w:val="24"/>
        </w:rPr>
        <w:t>3.1.2 磋商文件有下列情形之一的，磋商小组应当停止评审：</w:t>
      </w:r>
    </w:p>
    <w:p>
      <w:pPr>
        <w:spacing w:line="400" w:lineRule="exact"/>
        <w:ind w:firstLine="480" w:firstLineChars="200"/>
        <w:rPr>
          <w:sz w:val="24"/>
        </w:rPr>
      </w:pPr>
      <w:r>
        <w:rPr>
          <w:rFonts w:hint="eastAsia"/>
          <w:sz w:val="24"/>
        </w:rPr>
        <w:t>（1）磋商文件的规定存在歧义、重大缺陷的；</w:t>
      </w:r>
    </w:p>
    <w:p>
      <w:pPr>
        <w:spacing w:line="400" w:lineRule="exact"/>
        <w:ind w:firstLine="480" w:firstLineChars="200"/>
        <w:rPr>
          <w:sz w:val="24"/>
        </w:rPr>
      </w:pPr>
      <w:r>
        <w:rPr>
          <w:rFonts w:hint="eastAsia"/>
          <w:sz w:val="24"/>
        </w:rPr>
        <w:t>（2）磋商文件明显以不合理条件对供应商实行差别待遇或者歧视待遇的；</w:t>
      </w:r>
    </w:p>
    <w:p>
      <w:pPr>
        <w:spacing w:line="400" w:lineRule="exact"/>
        <w:ind w:firstLine="480" w:firstLineChars="200"/>
        <w:rPr>
          <w:sz w:val="24"/>
        </w:rPr>
      </w:pPr>
      <w:r>
        <w:rPr>
          <w:rFonts w:hint="eastAsia"/>
          <w:sz w:val="24"/>
        </w:rPr>
        <w:t>（3）磋商文件规定的评审方法是综合评分法、最低评审价法之外的评审方法，或者虽然名称为综合评分法、最低评审价法，但实际上不符合国家规定；</w:t>
      </w:r>
    </w:p>
    <w:p>
      <w:pPr>
        <w:spacing w:line="400" w:lineRule="exact"/>
        <w:ind w:firstLine="480" w:firstLineChars="200"/>
        <w:rPr>
          <w:sz w:val="24"/>
        </w:rPr>
      </w:pPr>
      <w:r>
        <w:rPr>
          <w:rFonts w:hint="eastAsia"/>
          <w:sz w:val="24"/>
        </w:rPr>
        <w:t>（4）磋商文件将竞磋人的资格条件列为评分因素的；</w:t>
      </w:r>
    </w:p>
    <w:p>
      <w:pPr>
        <w:spacing w:line="400" w:lineRule="exact"/>
        <w:ind w:firstLine="480" w:firstLineChars="200"/>
        <w:rPr>
          <w:sz w:val="24"/>
        </w:rPr>
      </w:pPr>
      <w:r>
        <w:rPr>
          <w:rFonts w:hint="eastAsia"/>
          <w:sz w:val="24"/>
        </w:rPr>
        <w:t>（5）磋商文件有违反国家其他有关强制性规定的情形。</w:t>
      </w:r>
    </w:p>
    <w:p>
      <w:pPr>
        <w:spacing w:line="400" w:lineRule="exact"/>
        <w:ind w:firstLine="480" w:firstLineChars="200"/>
        <w:rPr>
          <w:sz w:val="24"/>
        </w:rPr>
      </w:pPr>
      <w:r>
        <w:rPr>
          <w:rFonts w:hint="eastAsia"/>
          <w:sz w:val="24"/>
        </w:rPr>
        <w:t>3.1.3 出现本条3.1.2规定应当停止评审或者可以停止评审情形的，磋商小组成员应当向磋商采购单位书面说明情况。除本条规定的情形外，磋商小组成员不得以任何方式和理由停止评审。</w:t>
      </w:r>
    </w:p>
    <w:p>
      <w:pPr>
        <w:rPr>
          <w:b/>
          <w:bCs/>
          <w:sz w:val="24"/>
          <w:szCs w:val="32"/>
        </w:rPr>
      </w:pPr>
      <w:r>
        <w:rPr>
          <w:rFonts w:hint="eastAsia"/>
          <w:b/>
          <w:bCs/>
          <w:sz w:val="24"/>
          <w:szCs w:val="32"/>
        </w:rPr>
        <w:t>4、 磋商资格性、符合性检查。</w:t>
      </w:r>
    </w:p>
    <w:p>
      <w:pPr>
        <w:rPr>
          <w:rFonts w:eastAsia="黑体"/>
        </w:rPr>
      </w:pPr>
      <w:r>
        <w:rPr>
          <w:rFonts w:hint="eastAsia"/>
          <w:sz w:val="24"/>
        </w:rPr>
        <w:t xml:space="preserve">  </w:t>
      </w:r>
      <w:r>
        <w:rPr>
          <w:rFonts w:hint="eastAsia" w:hAnsi="宋体"/>
          <w:b/>
          <w:sz w:val="24"/>
          <w:szCs w:val="24"/>
        </w:rPr>
        <w:t>本项目需要磋商小组进行资格性、符合性检查。</w:t>
      </w:r>
    </w:p>
    <w:p>
      <w:pPr>
        <w:spacing w:line="360" w:lineRule="auto"/>
        <w:rPr>
          <w:rFonts w:hAnsi="宋体" w:cs="宋体"/>
          <w:sz w:val="24"/>
          <w:szCs w:val="24"/>
        </w:rPr>
      </w:pPr>
      <w:r>
        <w:rPr>
          <w:rFonts w:hint="eastAsia" w:hAnsi="宋体" w:cs="宋体"/>
          <w:sz w:val="24"/>
          <w:szCs w:val="24"/>
        </w:rPr>
        <w:t>4.1资格性检查</w:t>
      </w:r>
    </w:p>
    <w:p>
      <w:pPr>
        <w:spacing w:line="360" w:lineRule="auto"/>
        <w:ind w:firstLine="240" w:firstLineChars="100"/>
        <w:rPr>
          <w:rFonts w:hAnsi="宋体" w:cs="宋体"/>
          <w:sz w:val="24"/>
          <w:szCs w:val="24"/>
        </w:rPr>
      </w:pPr>
      <w:r>
        <w:rPr>
          <w:rFonts w:hint="eastAsia" w:hAnsi="宋体" w:cs="宋体"/>
          <w:sz w:val="24"/>
          <w:szCs w:val="24"/>
        </w:rPr>
        <w:t>4.1.1磋商小组应依据法律法规和磋商文件的规定，对响应文件是否按照规定要求提供资格性证明材料、是否属于禁止参加磋商的供应商、是否存在响应文件无效的情形等进行审查，以确定磋商供应商是否具备磋商资格。</w:t>
      </w:r>
    </w:p>
    <w:p>
      <w:pPr>
        <w:spacing w:line="360" w:lineRule="auto"/>
        <w:ind w:firstLine="240" w:firstLineChars="100"/>
        <w:rPr>
          <w:rFonts w:hAnsi="宋体" w:cs="宋体"/>
          <w:sz w:val="24"/>
          <w:szCs w:val="24"/>
        </w:rPr>
      </w:pPr>
      <w:r>
        <w:rPr>
          <w:rFonts w:hint="eastAsia" w:hAnsi="宋体" w:cs="宋体"/>
          <w:sz w:val="24"/>
          <w:szCs w:val="24"/>
        </w:rPr>
        <w:t>4.1.2供应商资格审查应以有关法律、法规和磋商文件为依据，审查范围不能超过法律法规和磋商文件中供应商的资格条件要求。资格审查过程中，对供应商资格是否符合规定存在争议的，应当以少数服从多数的原则处理。</w:t>
      </w:r>
    </w:p>
    <w:p>
      <w:pPr>
        <w:spacing w:line="360" w:lineRule="auto"/>
        <w:ind w:firstLine="240" w:firstLineChars="100"/>
        <w:rPr>
          <w:rFonts w:hAnsi="宋体" w:cs="宋体"/>
          <w:sz w:val="24"/>
          <w:szCs w:val="24"/>
        </w:rPr>
      </w:pPr>
      <w:r>
        <w:rPr>
          <w:rFonts w:hint="eastAsia" w:hAnsi="宋体" w:cs="宋体"/>
          <w:sz w:val="24"/>
          <w:szCs w:val="24"/>
        </w:rPr>
        <w:t>4.1.3资格审结束后，应当出具资格审查报告，确定参加磋商的供应商名单，资格审查报告应当由全体磋商小组成员签字确认。磋商小组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spacing w:line="360" w:lineRule="auto"/>
        <w:ind w:firstLine="240" w:firstLineChars="100"/>
        <w:rPr>
          <w:rFonts w:hAnsi="宋体" w:cs="宋体"/>
          <w:sz w:val="24"/>
          <w:szCs w:val="24"/>
        </w:rPr>
      </w:pPr>
      <w:r>
        <w:rPr>
          <w:rFonts w:hint="eastAsia" w:hAnsi="宋体" w:cs="宋体"/>
          <w:sz w:val="24"/>
          <w:szCs w:val="24"/>
        </w:rPr>
        <w:t>4.1.4采购组织单位应当将通过资格审查和未通过资格审查的供应商名单向所有递交响应文件的供应商当场宣布，并告知未通过资格审查的供应商未通过资格审查的原因，但涉及商业秘密的除外。</w:t>
      </w:r>
    </w:p>
    <w:p>
      <w:pPr>
        <w:spacing w:line="360" w:lineRule="auto"/>
        <w:ind w:firstLine="240" w:firstLineChars="100"/>
        <w:rPr>
          <w:rFonts w:hAnsi="宋体" w:cs="宋体"/>
          <w:sz w:val="24"/>
          <w:szCs w:val="24"/>
        </w:rPr>
      </w:pPr>
      <w:r>
        <w:rPr>
          <w:rFonts w:hint="eastAsia" w:hAnsi="宋体" w:cs="宋体"/>
          <w:sz w:val="24"/>
          <w:szCs w:val="24"/>
        </w:rPr>
        <w:t>4.1.5递交响应文件的供应商不足3家或者通过资格审查的供应商不足3家的，本次磋商采购活动终止。但市场竞争不充分的科研项目，以及需要扶持的科技成果转化项目，在采购过程中符合要求的供应商（社会资本）只有2家的可以继续进行。</w:t>
      </w:r>
    </w:p>
    <w:p>
      <w:pPr>
        <w:spacing w:line="360" w:lineRule="auto"/>
        <w:rPr>
          <w:rFonts w:hAnsi="宋体" w:cs="宋体"/>
          <w:sz w:val="24"/>
          <w:szCs w:val="24"/>
        </w:rPr>
      </w:pPr>
      <w:r>
        <w:rPr>
          <w:rFonts w:hint="eastAsia" w:hAnsi="宋体" w:cs="宋体"/>
          <w:sz w:val="24"/>
          <w:szCs w:val="24"/>
        </w:rPr>
        <w:t>4.2符合性检查。</w:t>
      </w:r>
    </w:p>
    <w:p>
      <w:pPr>
        <w:spacing w:line="360" w:lineRule="auto"/>
        <w:ind w:firstLine="240" w:firstLineChars="100"/>
        <w:rPr>
          <w:rFonts w:hAnsi="宋体" w:cs="宋体"/>
          <w:sz w:val="24"/>
          <w:szCs w:val="24"/>
        </w:rPr>
      </w:pPr>
      <w:r>
        <w:rPr>
          <w:rFonts w:hint="eastAsia" w:hAnsi="宋体" w:cs="宋体"/>
          <w:sz w:val="24"/>
          <w:szCs w:val="24"/>
        </w:rPr>
        <w:t>4.2.1磋商小组依据本磋商文件的实质性要求，对符合资格的响应文件进行审查，以确定其是否满足本磋商文件的实质性要求。本项目符合性审查事项仅限于本磋商文件的明确规定。响应文件是否满足磋商文件的实质性要求，必须以本磋商文件的明确规定作为依据，否则，不能对响应文件作为无效处理，磋商小组不得臆测符合性审查事项。</w:t>
      </w:r>
    </w:p>
    <w:p>
      <w:pPr>
        <w:spacing w:line="360" w:lineRule="auto"/>
        <w:ind w:firstLine="240" w:firstLineChars="100"/>
        <w:rPr>
          <w:rFonts w:hAnsi="宋体" w:cs="宋体"/>
          <w:sz w:val="24"/>
          <w:szCs w:val="24"/>
        </w:rPr>
      </w:pPr>
      <w:r>
        <w:rPr>
          <w:rFonts w:hint="eastAsia" w:hAnsi="宋体" w:cs="宋体"/>
          <w:sz w:val="24"/>
          <w:szCs w:val="24"/>
        </w:rPr>
        <w:t>4.2.2除采购法律制度规定的情形外，在符合性审查中本项目竞磋人或者其响应文件有下列情形之一的，作为无效磋商处理：</w:t>
      </w:r>
    </w:p>
    <w:p>
      <w:pPr>
        <w:spacing w:line="360" w:lineRule="auto"/>
        <w:ind w:firstLine="480" w:firstLineChars="200"/>
        <w:rPr>
          <w:rFonts w:hAnsi="宋体" w:cs="宋体"/>
          <w:sz w:val="24"/>
          <w:szCs w:val="24"/>
        </w:rPr>
      </w:pPr>
      <w:r>
        <w:rPr>
          <w:rFonts w:hint="eastAsia" w:hAnsi="宋体" w:cs="宋体"/>
          <w:sz w:val="24"/>
          <w:szCs w:val="24"/>
        </w:rPr>
        <w:t>（1）响应报价超过磋商文件规定的预算金额或者最高限价；</w:t>
      </w:r>
    </w:p>
    <w:p>
      <w:pPr>
        <w:spacing w:line="360" w:lineRule="auto"/>
        <w:ind w:firstLine="480" w:firstLineChars="200"/>
        <w:rPr>
          <w:sz w:val="24"/>
        </w:rPr>
      </w:pPr>
      <w:r>
        <w:rPr>
          <w:rFonts w:hint="eastAsia"/>
          <w:sz w:val="24"/>
        </w:rPr>
        <w:t>（2）未按照磋商文件规定要求制作（如响应文件中如附外文资料，没有对应翻译成中文或故意错误翻译的；制作为活页）、签署、盖章的（有磋商文件评标程序中所列评定为不影响整个响应文件有效性和采购活动公平竞争下列情形的除外）；</w:t>
      </w:r>
    </w:p>
    <w:p>
      <w:pPr>
        <w:spacing w:line="360" w:lineRule="auto"/>
        <w:ind w:firstLine="480" w:firstLineChars="200"/>
        <w:rPr>
          <w:sz w:val="24"/>
        </w:rPr>
      </w:pPr>
      <w:r>
        <w:rPr>
          <w:rFonts w:hint="eastAsia"/>
          <w:sz w:val="24"/>
        </w:rPr>
        <w:t>（3）响应文件组成明显不符合磋商文件的规定要求，影响磋商小组评判的；</w:t>
      </w:r>
    </w:p>
    <w:p>
      <w:pPr>
        <w:spacing w:line="360" w:lineRule="auto"/>
        <w:ind w:firstLine="480" w:firstLineChars="200"/>
        <w:rPr>
          <w:sz w:val="24"/>
        </w:rPr>
      </w:pPr>
      <w:r>
        <w:rPr>
          <w:rFonts w:hint="eastAsia"/>
          <w:sz w:val="24"/>
        </w:rPr>
        <w:t>（4）响应文件的格式、语言、计量单位、报价货币、知识产权、磋商有效期、竞标函等不符合磋商文件的规定，影响磋商小组评判的；</w:t>
      </w:r>
    </w:p>
    <w:p>
      <w:pPr>
        <w:spacing w:line="360" w:lineRule="auto"/>
        <w:ind w:firstLine="480" w:firstLineChars="200"/>
        <w:rPr>
          <w:sz w:val="24"/>
        </w:rPr>
      </w:pPr>
      <w:r>
        <w:rPr>
          <w:rFonts w:hint="eastAsia"/>
          <w:sz w:val="24"/>
        </w:rPr>
        <w:t>（5）技术、服务应答内容没有完全响应（指出现负偏离）磋商文件第五章的实质性要求的；</w:t>
      </w:r>
    </w:p>
    <w:p>
      <w:pPr>
        <w:spacing w:line="360" w:lineRule="auto"/>
        <w:ind w:firstLine="480" w:firstLineChars="200"/>
        <w:rPr>
          <w:sz w:val="24"/>
        </w:rPr>
      </w:pPr>
      <w:r>
        <w:rPr>
          <w:rFonts w:hint="eastAsia"/>
          <w:sz w:val="24"/>
        </w:rPr>
        <w:t>（6）技术应答内容完全或者绝大部分复制磋商文件规定要求，且无相关证明材料的（主要适用于专用设备和电子信息化建设采购项目，工程采购、采购的货物属于规格标准统一或者订制产品的除外）；</w:t>
      </w:r>
    </w:p>
    <w:p>
      <w:pPr>
        <w:spacing w:line="360" w:lineRule="auto"/>
        <w:ind w:firstLine="480" w:firstLineChars="200"/>
        <w:rPr>
          <w:sz w:val="24"/>
        </w:rPr>
      </w:pPr>
      <w:r>
        <w:rPr>
          <w:rFonts w:hint="eastAsia"/>
          <w:sz w:val="24"/>
        </w:rPr>
        <w:t>（7）磋商文件有明确要求，但响应文件未载明或者载明的采购项目履约时间、方式、数量与磋商文件要求不一致的；</w:t>
      </w:r>
    </w:p>
    <w:p>
      <w:pPr>
        <w:spacing w:line="360" w:lineRule="auto"/>
        <w:ind w:firstLine="480" w:firstLineChars="200"/>
        <w:rPr>
          <w:sz w:val="24"/>
        </w:rPr>
      </w:pPr>
      <w:r>
        <w:rPr>
          <w:rFonts w:hint="eastAsia"/>
          <w:sz w:val="24"/>
        </w:rPr>
        <w:t>（8）现场演示（如有）：现场演示没有完全响应磋商文件的实质性要求的；</w:t>
      </w:r>
    </w:p>
    <w:p>
      <w:pPr>
        <w:pStyle w:val="16"/>
        <w:tabs>
          <w:tab w:val="left" w:pos="600"/>
        </w:tabs>
        <w:spacing w:line="400" w:lineRule="exact"/>
        <w:ind w:firstLine="240" w:firstLineChars="100"/>
        <w:rPr>
          <w:sz w:val="24"/>
        </w:rPr>
      </w:pPr>
      <w:r>
        <w:rPr>
          <w:rFonts w:hint="eastAsia"/>
          <w:sz w:val="24"/>
        </w:rPr>
        <w:t>4.2.3 磋商小组成员在响应文件初审过程中，对响应文件是否符合规定存在争议的，应当以少数服从多数的原则处理，但不得违背法律法规和磋商文件的规定。有不同意见的磋商小组成员认为响应文件初审不符合法律法规和磋商文件规定的，应当及时向采购单位书面反映。</w:t>
      </w:r>
    </w:p>
    <w:bookmarkEnd w:id="133"/>
    <w:p>
      <w:pPr>
        <w:pStyle w:val="16"/>
        <w:numPr>
          <w:ilvl w:val="0"/>
          <w:numId w:val="10"/>
        </w:numPr>
        <w:tabs>
          <w:tab w:val="left" w:pos="600"/>
        </w:tabs>
        <w:spacing w:line="400" w:lineRule="exact"/>
        <w:ind w:firstLine="0"/>
        <w:rPr>
          <w:b/>
          <w:bCs/>
          <w:sz w:val="24"/>
        </w:rPr>
      </w:pPr>
      <w:bookmarkStart w:id="134" w:name="_Toc217446099"/>
      <w:r>
        <w:rPr>
          <w:rFonts w:hint="eastAsia"/>
          <w:b/>
          <w:bCs/>
          <w:sz w:val="24"/>
        </w:rPr>
        <w:t>磋商。</w:t>
      </w:r>
    </w:p>
    <w:p>
      <w:pPr>
        <w:spacing w:line="480" w:lineRule="exact"/>
        <w:ind w:firstLine="480"/>
        <w:rPr>
          <w:rFonts w:hAnsi="宋体"/>
          <w:b/>
          <w:sz w:val="24"/>
        </w:rPr>
      </w:pPr>
      <w:r>
        <w:rPr>
          <w:rFonts w:hint="eastAsia" w:hAnsi="宋体"/>
          <w:b/>
          <w:sz w:val="24"/>
        </w:rPr>
        <w:t>5.1实物样品/现场演示</w:t>
      </w:r>
    </w:p>
    <w:p>
      <w:pPr>
        <w:spacing w:line="480" w:lineRule="exact"/>
        <w:ind w:firstLine="480"/>
        <w:rPr>
          <w:rFonts w:hAnsi="宋体"/>
          <w:sz w:val="24"/>
        </w:rPr>
      </w:pPr>
      <w:r>
        <w:rPr>
          <w:rFonts w:hint="eastAsia" w:hAnsi="宋体"/>
          <w:b/>
          <w:sz w:val="24"/>
        </w:rPr>
        <w:t>实物样品（若有要求</w:t>
      </w:r>
      <w:r>
        <w:rPr>
          <w:rFonts w:hAnsi="宋体"/>
          <w:b/>
          <w:sz w:val="24"/>
        </w:rPr>
        <w:t>则展示</w:t>
      </w:r>
      <w:r>
        <w:rPr>
          <w:rFonts w:hint="eastAsia" w:hAnsi="宋体"/>
          <w:b/>
          <w:sz w:val="24"/>
        </w:rPr>
        <w:t>）。</w:t>
      </w:r>
      <w:r>
        <w:rPr>
          <w:rFonts w:hint="eastAsia" w:hAnsi="宋体"/>
          <w:sz w:val="24"/>
        </w:rPr>
        <w:t>磋商小组对资格性审查通过的供应商的实物样品进行评定。</w:t>
      </w:r>
    </w:p>
    <w:p>
      <w:pPr>
        <w:spacing w:line="480" w:lineRule="exact"/>
        <w:ind w:firstLine="480"/>
        <w:rPr>
          <w:rFonts w:hAnsi="宋体"/>
          <w:sz w:val="24"/>
        </w:rPr>
      </w:pPr>
      <w:r>
        <w:rPr>
          <w:rFonts w:hint="eastAsia" w:hAnsi="宋体"/>
          <w:b/>
          <w:sz w:val="24"/>
        </w:rPr>
        <w:t>现场演示（若有要求则演示）</w:t>
      </w:r>
      <w:r>
        <w:rPr>
          <w:rFonts w:hint="eastAsia" w:hAnsi="宋体"/>
          <w:sz w:val="24"/>
        </w:rPr>
        <w:t>。现场</w:t>
      </w:r>
      <w:r>
        <w:rPr>
          <w:rFonts w:hint="eastAsia" w:hAnsi="宋体"/>
          <w:bCs/>
          <w:spacing w:val="8"/>
          <w:sz w:val="24"/>
        </w:rPr>
        <w:t>演示的顺序以现场抽签的方式或其他能够给予供应商平等机会的的方式确定。演示</w:t>
      </w:r>
      <w:r>
        <w:rPr>
          <w:rFonts w:hint="eastAsia" w:hAnsi="宋体"/>
          <w:sz w:val="24"/>
        </w:rPr>
        <w:t>应对照采购要求进行。磋商小组对资格性审查通过的供应商的现场演示进行评定。</w:t>
      </w:r>
    </w:p>
    <w:p>
      <w:pPr>
        <w:rPr>
          <w:rFonts w:hAnsi="宋体" w:cs="宋体"/>
          <w:b/>
          <w:bCs/>
          <w:sz w:val="24"/>
          <w:szCs w:val="32"/>
        </w:rPr>
      </w:pPr>
      <w:r>
        <w:rPr>
          <w:rFonts w:hint="eastAsia" w:hAnsi="宋体" w:cs="宋体"/>
          <w:b/>
          <w:bCs/>
          <w:sz w:val="24"/>
          <w:szCs w:val="32"/>
        </w:rPr>
        <w:t>5.2组织磋商</w:t>
      </w:r>
    </w:p>
    <w:p>
      <w:pPr>
        <w:pStyle w:val="4"/>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5.2.1磋商小组所有成员集中</w:t>
      </w:r>
      <w:r>
        <w:rPr>
          <w:rFonts w:hint="eastAsia" w:ascii="宋体" w:hAnsi="宋体" w:eastAsia="宋体" w:cs="宋体"/>
          <w:b w:val="0"/>
          <w:bCs w:val="0"/>
          <w:sz w:val="24"/>
          <w:szCs w:val="24"/>
        </w:rPr>
        <w:t>与通过资格审查的</w:t>
      </w:r>
      <w:r>
        <w:rPr>
          <w:rFonts w:hint="eastAsia" w:ascii="宋体" w:hAnsi="宋体" w:eastAsia="宋体"/>
          <w:b w:val="0"/>
          <w:sz w:val="24"/>
          <w:szCs w:val="24"/>
        </w:rPr>
        <w:t>单一供应商分别进行一轮或多轮磋商，并给予所有参加磋商的供应商平等的磋商机会。磋商顺序以现场抽签</w:t>
      </w:r>
      <w:r>
        <w:rPr>
          <w:rFonts w:hint="eastAsia" w:ascii="宋体" w:hAnsi="宋体" w:eastAsia="宋体" w:cs="宋体"/>
          <w:b w:val="0"/>
          <w:bCs w:val="0"/>
          <w:spacing w:val="8"/>
          <w:sz w:val="24"/>
        </w:rPr>
        <w:t>或其他能够给予供应商平等机会</w:t>
      </w:r>
      <w:r>
        <w:rPr>
          <w:rFonts w:hint="eastAsia" w:ascii="宋体" w:hAnsi="宋体" w:eastAsia="宋体" w:cs="宋体"/>
          <w:b w:val="0"/>
          <w:bCs w:val="0"/>
          <w:sz w:val="24"/>
          <w:szCs w:val="24"/>
        </w:rPr>
        <w:t>的方式确定。磋商过程中，磋商小组可以根据磋商情</w:t>
      </w:r>
      <w:r>
        <w:rPr>
          <w:rFonts w:hint="eastAsia" w:ascii="宋体" w:hAnsi="宋体" w:eastAsia="宋体"/>
          <w:b w:val="0"/>
          <w:sz w:val="24"/>
          <w:szCs w:val="24"/>
        </w:rPr>
        <w:t>况调整磋商轮次。</w:t>
      </w:r>
    </w:p>
    <w:p>
      <w:pPr>
        <w:pStyle w:val="4"/>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5.2.2每轮磋商开始前，磋商小组应根据磋商文件的规定，并结合各供应商的响应文件拟定磋商内容。</w:t>
      </w:r>
    </w:p>
    <w:p>
      <w:pPr>
        <w:pStyle w:val="4"/>
        <w:spacing w:before="0" w:after="0" w:line="400" w:lineRule="exact"/>
        <w:ind w:firstLine="470" w:firstLineChars="196"/>
        <w:rPr>
          <w:rFonts w:ascii="宋体" w:hAnsi="宋体" w:eastAsia="宋体"/>
          <w:b w:val="0"/>
          <w:sz w:val="24"/>
          <w:szCs w:val="24"/>
        </w:rPr>
      </w:pPr>
      <w:r>
        <w:rPr>
          <w:rFonts w:hint="eastAsia" w:ascii="宋体" w:hAnsi="宋体" w:eastAsia="宋体"/>
          <w:b w:val="0"/>
          <w:sz w:val="24"/>
          <w:szCs w:val="24"/>
        </w:rPr>
        <w:t>5.2.3在磋商过程中，磋商小组可以根据磋商文件和磋商情况实质性变动磋商文件的技术、服务要求以及合同草案条款，但不得变动磋商文件中的其他内容。实质性变动的内容，须经采购人代表书面确认。</w:t>
      </w:r>
    </w:p>
    <w:p>
      <w:pPr>
        <w:pStyle w:val="4"/>
        <w:spacing w:before="0" w:after="0" w:line="400" w:lineRule="exact"/>
        <w:ind w:firstLine="470" w:firstLineChars="196"/>
        <w:rPr>
          <w:rFonts w:ascii="宋体" w:hAnsi="宋体" w:eastAsia="宋体" w:cs="宋体"/>
          <w:b w:val="0"/>
          <w:bCs w:val="0"/>
          <w:sz w:val="24"/>
          <w:szCs w:val="24"/>
        </w:rPr>
      </w:pPr>
      <w:r>
        <w:rPr>
          <w:rFonts w:hint="eastAsia" w:ascii="宋体" w:hAnsi="宋体" w:eastAsia="宋体"/>
          <w:b w:val="0"/>
          <w:sz w:val="24"/>
          <w:szCs w:val="24"/>
        </w:rPr>
        <w:t>5.2.4对磋商文件作出的实质性变动是磋商文件的有效组成部分，磋商小组应当及时以书面形式同时通知所有参加磋商的供应商</w:t>
      </w:r>
      <w:r>
        <w:rPr>
          <w:rFonts w:hint="eastAsia" w:ascii="宋体" w:hAnsi="宋体" w:eastAsia="宋体" w:cs="宋体"/>
          <w:b w:val="0"/>
          <w:bCs w:val="0"/>
          <w:sz w:val="24"/>
        </w:rPr>
        <w:t>，应当要求供应商就变动的部分重新提交响应文件，并给予供应商重新提交响应文件的合理时间。</w:t>
      </w:r>
    </w:p>
    <w:p>
      <w:pPr>
        <w:pStyle w:val="16"/>
        <w:tabs>
          <w:tab w:val="left" w:pos="600"/>
        </w:tabs>
        <w:spacing w:line="400" w:lineRule="exact"/>
        <w:ind w:firstLine="480" w:firstLineChars="200"/>
        <w:rPr>
          <w:sz w:val="24"/>
        </w:rPr>
      </w:pPr>
      <w:r>
        <w:rPr>
          <w:rFonts w:hint="eastAsia"/>
          <w:sz w:val="24"/>
        </w:rPr>
        <w:t xml:space="preserve">5.2.5 </w:t>
      </w:r>
      <w:r>
        <w:rPr>
          <w:rFonts w:hAnsi="宋体"/>
          <w:bCs/>
          <w:spacing w:val="8"/>
          <w:sz w:val="24"/>
        </w:rPr>
        <w:t>供应商按照磋商文件的变动情况和磋商小组的要求重新提交响应文件</w:t>
      </w:r>
      <w:r>
        <w:rPr>
          <w:rFonts w:hint="eastAsia" w:hAnsi="宋体"/>
          <w:bCs/>
          <w:spacing w:val="8"/>
          <w:sz w:val="24"/>
        </w:rPr>
        <w:t>的</w:t>
      </w:r>
      <w:r>
        <w:rPr>
          <w:rFonts w:hint="eastAsia"/>
          <w:sz w:val="24"/>
        </w:rPr>
        <w:t>，响应文件应当由其法定代表人（主要负责人）或授权代理人签字或者加盖公章：由授权代理人签字的，应当附法定代表人授权书，否则无效。有效的变更内容书面材料应作为响应文件的一部分。</w:t>
      </w:r>
    </w:p>
    <w:p>
      <w:pPr>
        <w:spacing w:line="480" w:lineRule="exact"/>
        <w:ind w:firstLine="480" w:firstLineChars="200"/>
        <w:rPr>
          <w:rFonts w:hAnsi="宋体"/>
          <w:sz w:val="24"/>
        </w:rPr>
      </w:pPr>
      <w:r>
        <w:rPr>
          <w:rFonts w:hint="eastAsia" w:hAnsi="宋体"/>
          <w:sz w:val="24"/>
        </w:rPr>
        <w:t>5.2.6磋商过程中，有下列情形的，由磋商小组在磋商响应文件规范性方面根据情况进行扣分，不作为无效响应文件处理：</w:t>
      </w:r>
    </w:p>
    <w:p>
      <w:pPr>
        <w:spacing w:line="480" w:lineRule="exact"/>
        <w:ind w:firstLine="480" w:firstLineChars="200"/>
        <w:rPr>
          <w:rFonts w:hAnsi="宋体"/>
          <w:sz w:val="24"/>
        </w:rPr>
      </w:pPr>
      <w:r>
        <w:rPr>
          <w:rFonts w:hint="eastAsia" w:hAnsi="宋体"/>
          <w:sz w:val="24"/>
        </w:rPr>
        <w:t>（1）磋商响应文件除磋商文件明确要求加盖供应商 (法人)公章的地方以外，其他地方以相关专用章或其他业务章加盖的；</w:t>
      </w:r>
    </w:p>
    <w:p>
      <w:pPr>
        <w:spacing w:line="480" w:lineRule="exact"/>
        <w:ind w:firstLine="480" w:firstLineChars="200"/>
        <w:rPr>
          <w:rFonts w:hAnsi="宋体"/>
          <w:sz w:val="24"/>
        </w:rPr>
      </w:pPr>
      <w:r>
        <w:rPr>
          <w:rFonts w:hint="eastAsia" w:hAnsi="宋体"/>
          <w:sz w:val="24"/>
        </w:rPr>
        <w:t>（2）存在</w:t>
      </w:r>
      <w:r>
        <w:rPr>
          <w:rFonts w:hAnsi="宋体"/>
          <w:sz w:val="24"/>
        </w:rPr>
        <w:t>个别地方（</w:t>
      </w:r>
      <w:r>
        <w:rPr>
          <w:rFonts w:hint="eastAsia" w:hAnsi="宋体"/>
          <w:sz w:val="24"/>
        </w:rPr>
        <w:t>不超过2处</w:t>
      </w:r>
      <w:r>
        <w:rPr>
          <w:rFonts w:hAnsi="宋体"/>
          <w:sz w:val="24"/>
        </w:rPr>
        <w:t>）</w:t>
      </w:r>
      <w:r>
        <w:rPr>
          <w:rFonts w:hint="eastAsia" w:hAnsi="宋体"/>
          <w:sz w:val="24"/>
        </w:rPr>
        <w:t>应当由</w:t>
      </w:r>
      <w:r>
        <w:rPr>
          <w:rFonts w:hAnsi="宋体"/>
          <w:sz w:val="24"/>
        </w:rPr>
        <w:t>法定代表人签字而没有法定代表人签字</w:t>
      </w:r>
      <w:r>
        <w:rPr>
          <w:rFonts w:hint="eastAsia" w:hAnsi="宋体"/>
          <w:sz w:val="24"/>
        </w:rPr>
        <w:t>，</w:t>
      </w:r>
      <w:r>
        <w:rPr>
          <w:rFonts w:hAnsi="宋体"/>
          <w:sz w:val="24"/>
        </w:rPr>
        <w:t>但有</w:t>
      </w:r>
      <w:r>
        <w:rPr>
          <w:rFonts w:hint="eastAsia" w:hAnsi="宋体"/>
          <w:sz w:val="24"/>
        </w:rPr>
        <w:t>法人代表人</w:t>
      </w:r>
      <w:r>
        <w:rPr>
          <w:rFonts w:hAnsi="宋体"/>
          <w:sz w:val="24"/>
        </w:rPr>
        <w:t>的私人印章或者</w:t>
      </w:r>
      <w:r>
        <w:rPr>
          <w:rFonts w:hint="eastAsia" w:hAnsi="宋体"/>
          <w:sz w:val="24"/>
        </w:rPr>
        <w:t>授权</w:t>
      </w:r>
      <w:r>
        <w:rPr>
          <w:rFonts w:hAnsi="宋体"/>
          <w:sz w:val="24"/>
        </w:rPr>
        <w:t>代理人签字的；</w:t>
      </w:r>
    </w:p>
    <w:p>
      <w:pPr>
        <w:spacing w:line="480" w:lineRule="exact"/>
        <w:ind w:firstLine="480" w:firstLineChars="200"/>
        <w:rPr>
          <w:rFonts w:hAnsi="宋体"/>
          <w:sz w:val="24"/>
        </w:rPr>
      </w:pPr>
      <w:r>
        <w:rPr>
          <w:rFonts w:hint="eastAsia" w:hAnsi="宋体"/>
          <w:sz w:val="24"/>
        </w:rPr>
        <w:t>（3）胶装后的磋商响应文件正本和副本未按要求加盖骑缝章的；</w:t>
      </w:r>
    </w:p>
    <w:p>
      <w:pPr>
        <w:spacing w:line="480" w:lineRule="exact"/>
        <w:ind w:firstLine="480" w:firstLineChars="200"/>
        <w:rPr>
          <w:rFonts w:hAnsi="宋体"/>
          <w:sz w:val="24"/>
        </w:rPr>
      </w:pPr>
      <w:r>
        <w:rPr>
          <w:rFonts w:hint="eastAsia" w:hAnsi="宋体"/>
          <w:sz w:val="24"/>
        </w:rPr>
        <w:t>（4）胶装后的磋商响应文件正本和副本封面未加盖鲜章的；</w:t>
      </w:r>
    </w:p>
    <w:p>
      <w:pPr>
        <w:widowControl/>
        <w:snapToGrid w:val="0"/>
        <w:spacing w:line="480" w:lineRule="exact"/>
        <w:ind w:firstLine="475" w:firstLineChars="198"/>
        <w:jc w:val="left"/>
        <w:rPr>
          <w:rFonts w:hAnsi="宋体"/>
          <w:sz w:val="24"/>
        </w:rPr>
      </w:pPr>
      <w:r>
        <w:rPr>
          <w:rFonts w:hint="eastAsia" w:hAnsi="宋体"/>
          <w:sz w:val="24"/>
        </w:rPr>
        <w:t>（5）磋商响应文件正、副本数量齐全，只是未按照磋商文件要求进行标注的；</w:t>
      </w:r>
    </w:p>
    <w:p>
      <w:pPr>
        <w:widowControl/>
        <w:snapToGrid w:val="0"/>
        <w:spacing w:line="480" w:lineRule="exact"/>
        <w:ind w:firstLine="506" w:firstLineChars="198"/>
        <w:jc w:val="left"/>
        <w:rPr>
          <w:rFonts w:hAnsi="宋体"/>
          <w:sz w:val="24"/>
        </w:rPr>
      </w:pPr>
      <w:r>
        <w:rPr>
          <w:rFonts w:hint="eastAsia" w:hAnsi="宋体"/>
          <w:bCs/>
          <w:spacing w:val="8"/>
          <w:sz w:val="24"/>
        </w:rPr>
        <w:t>5.2.7.磋商小组经过一轮或多轮磋商后，供应商响应文件仍然不能满足磋商文件规定的采购项目实质性要求的，或者磋商过程中，磋商小组发现或者知晓供应商存在违法违规行为的，磋商小组应当将该供应商淘汰，不允许其参加最后报价。磋商小组淘汰供应商的，应当书面通知该供应商，并说明理由。</w:t>
      </w:r>
    </w:p>
    <w:p>
      <w:pPr>
        <w:spacing w:line="480" w:lineRule="exact"/>
        <w:ind w:firstLine="512" w:firstLineChars="200"/>
        <w:rPr>
          <w:rFonts w:hAnsi="宋体"/>
          <w:bCs/>
          <w:spacing w:val="8"/>
          <w:sz w:val="24"/>
        </w:rPr>
      </w:pPr>
      <w:r>
        <w:rPr>
          <w:rFonts w:hint="eastAsia" w:hAnsi="宋体"/>
          <w:bCs/>
          <w:spacing w:val="8"/>
          <w:sz w:val="24"/>
        </w:rPr>
        <w:t>5.2.8.</w:t>
      </w:r>
      <w:r>
        <w:rPr>
          <w:rFonts w:hAnsi="宋体"/>
          <w:bCs/>
          <w:spacing w:val="8"/>
          <w:sz w:val="24"/>
        </w:rPr>
        <w:t>磋商文件能够详细列明采购标的的</w:t>
      </w:r>
      <w:r>
        <w:rPr>
          <w:rFonts w:hint="eastAsia" w:hAnsi="宋体"/>
          <w:bCs/>
          <w:spacing w:val="8"/>
          <w:sz w:val="24"/>
        </w:rPr>
        <w:t>技术、服务</w:t>
      </w:r>
      <w:r>
        <w:rPr>
          <w:rFonts w:hAnsi="宋体"/>
          <w:bCs/>
          <w:spacing w:val="8"/>
          <w:sz w:val="24"/>
        </w:rPr>
        <w:t>要求的，磋商结束后，磋商小组应当要求所有</w:t>
      </w:r>
      <w:r>
        <w:rPr>
          <w:rFonts w:hint="eastAsia" w:hAnsi="宋体"/>
          <w:bCs/>
          <w:spacing w:val="8"/>
          <w:sz w:val="24"/>
        </w:rPr>
        <w:t>实质性响应</w:t>
      </w:r>
      <w:r>
        <w:rPr>
          <w:rFonts w:hAnsi="宋体"/>
          <w:bCs/>
          <w:spacing w:val="8"/>
          <w:sz w:val="24"/>
        </w:rPr>
        <w:t>的供应商在规定时间内提交最后报价，提交最后报价的供应商不得少于3家</w:t>
      </w:r>
      <w:r>
        <w:rPr>
          <w:rFonts w:hint="eastAsia" w:hAnsi="宋体"/>
          <w:sz w:val="24"/>
        </w:rPr>
        <w:t>（但市场竞争不充分的科研项目以及需要扶持的科技成果转化项目，提交最后报价的供应商可以为2家）</w:t>
      </w:r>
      <w:r>
        <w:rPr>
          <w:rFonts w:hAnsi="宋体"/>
          <w:bCs/>
          <w:spacing w:val="8"/>
          <w:sz w:val="24"/>
        </w:rPr>
        <w:t>。</w:t>
      </w:r>
    </w:p>
    <w:p>
      <w:pPr>
        <w:spacing w:line="480" w:lineRule="exact"/>
        <w:ind w:firstLine="512" w:firstLineChars="200"/>
        <w:rPr>
          <w:rFonts w:hAnsi="宋体"/>
          <w:bCs/>
          <w:spacing w:val="8"/>
          <w:sz w:val="24"/>
        </w:rPr>
      </w:pPr>
      <w:r>
        <w:rPr>
          <w:rFonts w:hint="eastAsia" w:hAnsi="宋体"/>
          <w:bCs/>
          <w:spacing w:val="8"/>
          <w:sz w:val="24"/>
        </w:rPr>
        <w:t>5.2.9.</w:t>
      </w:r>
      <w:r>
        <w:rPr>
          <w:rFonts w:hAnsi="宋体"/>
          <w:bCs/>
          <w:spacing w:val="8"/>
          <w:sz w:val="24"/>
        </w:rPr>
        <w:t>磋商文件不能详细列明采购标的的</w:t>
      </w:r>
      <w:r>
        <w:rPr>
          <w:rFonts w:hint="eastAsia" w:hAnsi="宋体"/>
          <w:bCs/>
          <w:spacing w:val="8"/>
          <w:sz w:val="24"/>
        </w:rPr>
        <w:t>技术、服务</w:t>
      </w:r>
      <w:r>
        <w:rPr>
          <w:rFonts w:hAnsi="宋体"/>
          <w:bCs/>
          <w:spacing w:val="8"/>
          <w:sz w:val="24"/>
        </w:rPr>
        <w:t>要求，需经磋商由供应商提供最终设计方案或解决方案的，磋商结束后，磋商小组应当按照少数服从多数的原则投票推荐3家</w:t>
      </w:r>
      <w:r>
        <w:rPr>
          <w:rFonts w:hint="eastAsia" w:hAnsi="宋体"/>
          <w:bCs/>
          <w:spacing w:val="8"/>
          <w:sz w:val="24"/>
        </w:rPr>
        <w:t>（</w:t>
      </w:r>
      <w:r>
        <w:rPr>
          <w:rFonts w:hint="eastAsia" w:hAnsi="宋体"/>
          <w:sz w:val="24"/>
        </w:rPr>
        <w:t>政策法规以及磋商文件中规定的其他情形除外</w:t>
      </w:r>
      <w:r>
        <w:rPr>
          <w:rFonts w:hint="eastAsia" w:hAnsi="宋体"/>
          <w:bCs/>
          <w:spacing w:val="8"/>
          <w:sz w:val="24"/>
        </w:rPr>
        <w:t>）</w:t>
      </w:r>
      <w:r>
        <w:rPr>
          <w:rFonts w:hAnsi="宋体"/>
          <w:bCs/>
          <w:spacing w:val="8"/>
          <w:sz w:val="24"/>
        </w:rPr>
        <w:t>以上供应商的设计方案或者解决方案，并要求其在规定时间内提交最后报价。</w:t>
      </w:r>
    </w:p>
    <w:p>
      <w:pPr>
        <w:pStyle w:val="16"/>
        <w:tabs>
          <w:tab w:val="left" w:pos="600"/>
        </w:tabs>
        <w:spacing w:line="400" w:lineRule="exact"/>
        <w:ind w:firstLine="256" w:firstLineChars="100"/>
        <w:rPr>
          <w:rFonts w:hAnsi="宋体"/>
          <w:bCs/>
          <w:spacing w:val="8"/>
          <w:sz w:val="24"/>
        </w:rPr>
      </w:pPr>
      <w:r>
        <w:rPr>
          <w:rFonts w:hint="eastAsia" w:hAnsi="宋体"/>
          <w:bCs/>
          <w:spacing w:val="8"/>
          <w:sz w:val="24"/>
        </w:rPr>
        <w:t>5.2.10.</w:t>
      </w:r>
      <w:r>
        <w:rPr>
          <w:rFonts w:hAnsi="宋体"/>
          <w:bCs/>
          <w:spacing w:val="8"/>
          <w:sz w:val="24"/>
        </w:rPr>
        <w:t>已提交响应文件的供应商，在提交最后报价之前，可以根据磋商情况退出磋商。</w:t>
      </w:r>
    </w:p>
    <w:p>
      <w:pPr>
        <w:pStyle w:val="16"/>
        <w:tabs>
          <w:tab w:val="left" w:pos="600"/>
        </w:tabs>
        <w:spacing w:line="400" w:lineRule="exact"/>
        <w:ind w:firstLine="0"/>
        <w:rPr>
          <w:sz w:val="24"/>
        </w:rPr>
      </w:pPr>
      <w:r>
        <w:rPr>
          <w:rFonts w:hint="eastAsia"/>
          <w:sz w:val="24"/>
        </w:rPr>
        <w:t xml:space="preserve">   </w:t>
      </w:r>
    </w:p>
    <w:p>
      <w:pPr>
        <w:pStyle w:val="16"/>
        <w:tabs>
          <w:tab w:val="left" w:pos="600"/>
        </w:tabs>
        <w:spacing w:line="400" w:lineRule="exact"/>
        <w:ind w:firstLine="0"/>
        <w:rPr>
          <w:b/>
          <w:bCs/>
          <w:sz w:val="24"/>
        </w:rPr>
      </w:pPr>
      <w:r>
        <w:rPr>
          <w:rFonts w:hint="eastAsia"/>
          <w:b/>
          <w:bCs/>
          <w:sz w:val="24"/>
        </w:rPr>
        <w:t>6、最后报价</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6.1 磋商文件能够详细列明采购标的的技术、服务要求的，磋商结束后，磋商小组应当要求所有实质性响应的供应商在规定时间内提交最后报价，提交最后报价的供应商不得少于3 家（磋商文件规定可以供应商数量为两家的除外）。</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6.2 磋商文件不能详细列明采购标的的技术、服务要求，需经磋商由供应商提供最终设计方案或解决方案的，磋商结束后，磋商小组应当按照少数服从多数的原则投票推荐 3 家以上（磋商文件规定可以供应商数量为两家的除外）供应商的设计方案或者解决方案，并要求其在规定时间内提交最后报价。</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6.3 最后报价是供应商响应文件的有效组成部分。政府购买服务项目（含政府和社会资本合作项目）、市场竞争不充分的科研项目，以及需要扶持的科技成果转化项目，提交最后报价的供应商可以为2家。</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6.4 磋商后提交的最终投标报价与报价表中的投标报价不一致时，以磋商后提交的最后投标报价为准。供应商在未提高响应文件中承诺的产品及其服务质量的情况下，其最后报价不得高于对该项目之前的报价，否则，磋商小组应当对其响应文件按无效处理，并书面告知供应商，说明理由。</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6.5 报价要求：</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6.5.1 竞磋人的项目总报价应当包括完成本项目可能发生的各项费用的总和，为包干费用，如人工费、设备费、资料费、备案费、审查会务费、保险费、食宿及差旅费、代理服务费、税金、管理费用等一切费用，采购文件未列明而供应商认为其他必需的费用也须列入报价内。采购人不再另行支付根据每次评估实际完成的评估内容性质、数量以及成交收费率计算的结算费用以外的其他任何费用。</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6.5.2 低价报价的处理，按本磋商文件第二章《供应商须知附表》第三条的规定执行；</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6.5.3供应商每种服务/货物（如涉及）只允许有一个报价，并且在合同履行过程中是固定不变的，任何有选择或可调整的报价及备选投标方案将不予接受，并按无效响应处理；如响应文件中报价函的报价与报价表中的报价不一致的，属于同一项目有多个报价，作无效响应处理。</w:t>
      </w:r>
    </w:p>
    <w:p>
      <w:pPr>
        <w:spacing w:line="480" w:lineRule="exact"/>
        <w:ind w:firstLine="512" w:firstLineChars="200"/>
        <w:rPr>
          <w:rFonts w:hint="eastAsia" w:ascii="宋体" w:hAnsi="宋体" w:eastAsia="宋体"/>
          <w:bCs/>
          <w:spacing w:val="8"/>
          <w:sz w:val="24"/>
        </w:rPr>
      </w:pPr>
      <w:r>
        <w:rPr>
          <w:rFonts w:hint="eastAsia" w:ascii="宋体" w:hAnsi="宋体" w:eastAsia="宋体"/>
          <w:bCs/>
          <w:spacing w:val="8"/>
          <w:sz w:val="24"/>
        </w:rPr>
        <w:t>所提供的产品或服务报价不得高于市场平均价，也不得恶意低价。否则，供应商的响应文件将作无效文件处理或者取消其成交资格。</w:t>
      </w:r>
    </w:p>
    <w:p>
      <w:pPr>
        <w:pStyle w:val="16"/>
        <w:tabs>
          <w:tab w:val="left" w:pos="600"/>
        </w:tabs>
        <w:spacing w:line="400" w:lineRule="exact"/>
        <w:ind w:firstLine="480" w:firstLineChars="200"/>
        <w:rPr>
          <w:rFonts w:hint="eastAsia" w:hAnsi="宋体"/>
          <w:bCs/>
          <w:color w:val="FF0000"/>
          <w:spacing w:val="8"/>
          <w:sz w:val="24"/>
        </w:rPr>
      </w:pPr>
      <w:r>
        <w:rPr>
          <w:rFonts w:hint="eastAsia"/>
          <w:sz w:val="24"/>
        </w:rPr>
        <w:t>6.6</w:t>
      </w:r>
      <w:r>
        <w:rPr>
          <w:rFonts w:hint="eastAsia" w:hAnsi="宋体"/>
          <w:b/>
          <w:color w:val="FF0000"/>
          <w:spacing w:val="8"/>
          <w:sz w:val="24"/>
        </w:rPr>
        <w:t>供应商应在规定时间</w:t>
      </w:r>
      <w:r>
        <w:rPr>
          <w:rFonts w:hint="eastAsia" w:hAnsi="宋体"/>
          <w:b/>
          <w:color w:val="FF0000"/>
          <w:spacing w:val="8"/>
          <w:sz w:val="24"/>
          <w:lang w:val="en-US" w:eastAsia="zh-CN"/>
        </w:rPr>
        <w:t>不</w:t>
      </w:r>
      <w:r>
        <w:rPr>
          <w:rFonts w:hint="eastAsia" w:hAnsi="宋体"/>
          <w:b/>
          <w:color w:val="FF0000"/>
          <w:spacing w:val="8"/>
          <w:sz w:val="24"/>
        </w:rPr>
        <w:t>进行现场报价</w:t>
      </w:r>
      <w:r>
        <w:rPr>
          <w:rFonts w:hint="eastAsia" w:hAnsi="宋体"/>
          <w:bCs/>
          <w:color w:val="FF0000"/>
          <w:spacing w:val="8"/>
          <w:sz w:val="24"/>
        </w:rPr>
        <w:t>。</w:t>
      </w:r>
    </w:p>
    <w:p>
      <w:pPr>
        <w:pStyle w:val="16"/>
        <w:tabs>
          <w:tab w:val="left" w:pos="600"/>
        </w:tabs>
        <w:spacing w:line="400" w:lineRule="exact"/>
        <w:ind w:firstLine="480" w:firstLineChars="200"/>
        <w:rPr>
          <w:sz w:val="24"/>
        </w:rPr>
      </w:pPr>
      <w:r>
        <w:rPr>
          <w:rFonts w:hint="eastAsia" w:hAnsi="宋体"/>
          <w:sz w:val="24"/>
        </w:rPr>
        <w:t>供应商在未提高响应文件中承诺的产品及其服务质量的情况下，其最后报价不得高于对该项目之前的报价，否则，磋商小组应当对其响应文件按无效处理，并书面告知供应商，说明理由。</w:t>
      </w:r>
      <w:r>
        <w:rPr>
          <w:rFonts w:hAnsi="宋体" w:cs="宋体"/>
          <w:sz w:val="24"/>
        </w:rPr>
        <w:t>最后报价是供应商响应文件的有效组成部分</w:t>
      </w:r>
      <w:r>
        <w:rPr>
          <w:rFonts w:hint="eastAsia"/>
          <w:sz w:val="24"/>
        </w:rPr>
        <w:t>。</w:t>
      </w:r>
    </w:p>
    <w:p>
      <w:pPr>
        <w:pStyle w:val="16"/>
        <w:tabs>
          <w:tab w:val="left" w:pos="600"/>
        </w:tabs>
        <w:spacing w:line="400" w:lineRule="exact"/>
        <w:ind w:firstLine="480" w:firstLineChars="200"/>
        <w:rPr>
          <w:sz w:val="24"/>
        </w:rPr>
      </w:pPr>
      <w:r>
        <w:rPr>
          <w:rFonts w:hint="eastAsia"/>
          <w:sz w:val="24"/>
        </w:rPr>
        <w:t>供应商报价单应当由其法定代表人（主要负责人）或者代理人签字确认或者加盖公章，否则无效。</w:t>
      </w:r>
    </w:p>
    <w:p>
      <w:pPr>
        <w:pStyle w:val="16"/>
        <w:tabs>
          <w:tab w:val="left" w:pos="600"/>
        </w:tabs>
        <w:spacing w:line="400" w:lineRule="exact"/>
        <w:ind w:firstLine="480" w:firstLineChars="200"/>
        <w:rPr>
          <w:sz w:val="24"/>
        </w:rPr>
      </w:pPr>
      <w:r>
        <w:rPr>
          <w:rFonts w:hint="eastAsia"/>
          <w:sz w:val="24"/>
        </w:rPr>
        <w:t>6.7 已提交响应文件的供应商，在提交最后报价之前，可以根据磋商情况退出磋商。</w:t>
      </w:r>
    </w:p>
    <w:p>
      <w:pPr>
        <w:pStyle w:val="16"/>
        <w:tabs>
          <w:tab w:val="left" w:pos="600"/>
        </w:tabs>
        <w:spacing w:line="400" w:lineRule="exact"/>
        <w:ind w:firstLine="480" w:firstLineChars="200"/>
        <w:rPr>
          <w:sz w:val="24"/>
        </w:rPr>
      </w:pPr>
      <w:r>
        <w:rPr>
          <w:rFonts w:hint="eastAsia"/>
          <w:sz w:val="24"/>
        </w:rPr>
        <w:t>6.8 经磋商确定最终采购需求和提交最后报价的供应商后，由磋商小组采用综合评分法对提交最后报价的供应商的响应文件和最后报价进行综合评分。</w:t>
      </w:r>
    </w:p>
    <w:p>
      <w:pPr>
        <w:pStyle w:val="16"/>
        <w:tabs>
          <w:tab w:val="left" w:pos="600"/>
        </w:tabs>
        <w:spacing w:line="400" w:lineRule="exact"/>
        <w:ind w:firstLine="482" w:firstLineChars="200"/>
        <w:rPr>
          <w:sz w:val="24"/>
        </w:rPr>
      </w:pPr>
      <w:r>
        <w:rPr>
          <w:rFonts w:hint="eastAsia"/>
          <w:b/>
          <w:bCs/>
          <w:sz w:val="24"/>
        </w:rPr>
        <w:t>7、比较与评价</w:t>
      </w:r>
      <w:r>
        <w:rPr>
          <w:rFonts w:hint="eastAsia"/>
          <w:sz w:val="24"/>
        </w:rPr>
        <w:t>。</w:t>
      </w:r>
    </w:p>
    <w:p>
      <w:pPr>
        <w:pStyle w:val="16"/>
        <w:tabs>
          <w:tab w:val="left" w:pos="600"/>
        </w:tabs>
        <w:spacing w:line="400" w:lineRule="exact"/>
        <w:ind w:firstLine="480" w:firstLineChars="200"/>
        <w:rPr>
          <w:sz w:val="24"/>
        </w:rPr>
      </w:pPr>
      <w:r>
        <w:rPr>
          <w:rFonts w:hint="eastAsia" w:hAnsi="宋体"/>
          <w:sz w:val="24"/>
        </w:rPr>
        <w:t>由磋商小组采用综合评分法对提交报价的供应商的响应文件和报价进行综合评分，具体要求详见本章综合评分部分。</w:t>
      </w:r>
    </w:p>
    <w:p>
      <w:pPr>
        <w:pStyle w:val="16"/>
        <w:numPr>
          <w:ilvl w:val="0"/>
          <w:numId w:val="11"/>
        </w:numPr>
        <w:tabs>
          <w:tab w:val="left" w:pos="600"/>
        </w:tabs>
        <w:spacing w:line="400" w:lineRule="exact"/>
        <w:ind w:firstLine="482" w:firstLineChars="200"/>
        <w:rPr>
          <w:rFonts w:hAnsi="宋体"/>
          <w:b/>
          <w:bCs/>
          <w:sz w:val="24"/>
        </w:rPr>
      </w:pPr>
      <w:r>
        <w:rPr>
          <w:rFonts w:hint="eastAsia" w:hAnsi="宋体"/>
          <w:b/>
          <w:bCs/>
          <w:sz w:val="24"/>
        </w:rPr>
        <w:t>推荐成交候选供应商。</w:t>
      </w:r>
    </w:p>
    <w:p>
      <w:pPr>
        <w:pStyle w:val="16"/>
        <w:tabs>
          <w:tab w:val="left" w:pos="600"/>
        </w:tabs>
        <w:spacing w:line="400" w:lineRule="exact"/>
        <w:ind w:firstLine="480" w:firstLineChars="200"/>
        <w:rPr>
          <w:rFonts w:hint="eastAsia" w:ascii="宋体" w:hAnsi="宋体" w:eastAsia="宋体"/>
          <w:sz w:val="24"/>
        </w:rPr>
      </w:pPr>
      <w:r>
        <w:rPr>
          <w:rFonts w:hint="eastAsia" w:ascii="宋体" w:hAnsi="宋体" w:eastAsia="宋体"/>
          <w:sz w:val="24"/>
        </w:rPr>
        <w:t>磋商小组应当根据综合评分情况，按照评审得分由高到低顺序推荐2家及以上成交候选供应商，</w:t>
      </w:r>
      <w:r>
        <w:rPr>
          <w:rFonts w:hint="eastAsia" w:ascii="宋体" w:hAnsi="宋体" w:eastAsia="宋体"/>
          <w:sz w:val="24"/>
          <w:lang w:val="en-US" w:eastAsia="zh-CN"/>
        </w:rPr>
        <w:t>确定成交供应商</w:t>
      </w:r>
      <w:r>
        <w:rPr>
          <w:rFonts w:hint="eastAsia" w:ascii="宋体" w:hAnsi="宋体" w:eastAsia="宋体"/>
          <w:sz w:val="24"/>
        </w:rPr>
        <w:t>。评审得分相同的，按照最后报价由低到高的顺序推荐。评审得分且报价相同的，按照技术指标优劣顺序推荐。评审得分且最后报价且技术指标分项得分均相同的，成交候选供应商并列。</w:t>
      </w:r>
    </w:p>
    <w:p>
      <w:pPr>
        <w:pStyle w:val="16"/>
        <w:tabs>
          <w:tab w:val="left" w:pos="600"/>
        </w:tabs>
        <w:spacing w:line="400" w:lineRule="exact"/>
        <w:ind w:firstLine="482" w:firstLineChars="200"/>
        <w:rPr>
          <w:b/>
          <w:bCs/>
          <w:sz w:val="24"/>
        </w:rPr>
      </w:pPr>
      <w:r>
        <w:rPr>
          <w:rFonts w:hint="eastAsia"/>
          <w:b/>
          <w:bCs/>
          <w:sz w:val="24"/>
        </w:rPr>
        <w:t>9、复核。</w:t>
      </w:r>
    </w:p>
    <w:p>
      <w:pPr>
        <w:pStyle w:val="16"/>
        <w:tabs>
          <w:tab w:val="left" w:pos="600"/>
        </w:tabs>
        <w:spacing w:line="400" w:lineRule="exact"/>
        <w:ind w:firstLine="480"/>
        <w:rPr>
          <w:rFonts w:hAnsi="宋体"/>
          <w:sz w:val="24"/>
        </w:rPr>
      </w:pPr>
      <w:r>
        <w:rPr>
          <w:rFonts w:hint="eastAsia" w:hAnsi="宋体" w:cs="宋体"/>
          <w:b/>
          <w:bCs/>
          <w:sz w:val="24"/>
        </w:rPr>
        <w:t>9.1磋商小组复核</w:t>
      </w:r>
      <w:r>
        <w:rPr>
          <w:rFonts w:hint="eastAsia" w:hAnsi="宋体"/>
          <w:sz w:val="24"/>
        </w:rPr>
        <w:t>。磋商小组评分汇总结束后，磋商小组应当进行评审复核，对拟推荐为成交候选供应商的、报价最低的、供应商资格审查未通过的、供应商响应文件作无效处理的重点复核。</w:t>
      </w:r>
    </w:p>
    <w:p>
      <w:pPr>
        <w:spacing w:line="400" w:lineRule="exact"/>
        <w:ind w:firstLine="482" w:firstLineChars="200"/>
        <w:rPr>
          <w:rFonts w:hAnsi="宋体"/>
          <w:sz w:val="24"/>
        </w:rPr>
      </w:pPr>
      <w:r>
        <w:rPr>
          <w:rFonts w:hint="eastAsia" w:hAnsi="宋体" w:cs="宋体"/>
          <w:b/>
          <w:bCs/>
          <w:sz w:val="24"/>
          <w:szCs w:val="24"/>
        </w:rPr>
        <w:t>9.2采购组织单位现场复核评审结果。</w:t>
      </w:r>
    </w:p>
    <w:p>
      <w:pPr>
        <w:spacing w:line="400" w:lineRule="exact"/>
        <w:ind w:firstLine="480" w:firstLineChars="200"/>
        <w:rPr>
          <w:rFonts w:hAnsi="宋体"/>
          <w:sz w:val="24"/>
        </w:rPr>
      </w:pPr>
      <w:r>
        <w:rPr>
          <w:rFonts w:hint="eastAsia" w:hAnsi="宋体"/>
          <w:sz w:val="24"/>
        </w:rPr>
        <w:t>9.2.1评审结果汇总完成后，磋商小组拟出具磋商评审报告前，采购单位应当组织2名以上的本单位工作人员，在采购现场监督人员的监督之下，依据有关的法律制度和磋商文件对评审结果进行复核，出具复核报告，存在下列情形之一的，采购单位应当根据情况书面建议磋商小组现场修改评审结果：</w:t>
      </w:r>
    </w:p>
    <w:p>
      <w:pPr>
        <w:spacing w:line="400" w:lineRule="exact"/>
        <w:ind w:firstLine="480" w:firstLineChars="200"/>
        <w:rPr>
          <w:rFonts w:hAnsi="宋体"/>
          <w:sz w:val="24"/>
        </w:rPr>
      </w:pPr>
      <w:r>
        <w:rPr>
          <w:rFonts w:hint="eastAsia" w:hAnsi="宋体"/>
          <w:sz w:val="24"/>
        </w:rPr>
        <w:t>（1）资格性审查认定错误的；</w:t>
      </w:r>
    </w:p>
    <w:p>
      <w:pPr>
        <w:spacing w:line="400" w:lineRule="exact"/>
        <w:ind w:firstLine="480" w:firstLineChars="200"/>
        <w:rPr>
          <w:rFonts w:hAnsi="宋体"/>
          <w:sz w:val="24"/>
        </w:rPr>
      </w:pPr>
      <w:r>
        <w:rPr>
          <w:rFonts w:hint="eastAsia" w:hAnsi="宋体"/>
          <w:sz w:val="24"/>
        </w:rPr>
        <w:t>（2）分值汇总计算错误的；</w:t>
      </w:r>
    </w:p>
    <w:p>
      <w:pPr>
        <w:spacing w:line="400" w:lineRule="exact"/>
        <w:ind w:firstLine="480" w:firstLineChars="200"/>
        <w:rPr>
          <w:rFonts w:hAnsi="宋体"/>
          <w:sz w:val="24"/>
        </w:rPr>
      </w:pPr>
      <w:r>
        <w:rPr>
          <w:rFonts w:hint="eastAsia" w:hAnsi="宋体"/>
          <w:sz w:val="24"/>
        </w:rPr>
        <w:t>（3）分项评分超出评分标准范围的；</w:t>
      </w:r>
    </w:p>
    <w:p>
      <w:pPr>
        <w:spacing w:line="400" w:lineRule="exact"/>
        <w:ind w:firstLine="480" w:firstLineChars="200"/>
        <w:rPr>
          <w:rFonts w:hAnsi="宋体"/>
          <w:sz w:val="24"/>
        </w:rPr>
      </w:pPr>
      <w:r>
        <w:rPr>
          <w:rFonts w:hint="eastAsia" w:hAnsi="宋体"/>
          <w:sz w:val="24"/>
        </w:rPr>
        <w:t>（4）客观评分不一致的。</w:t>
      </w:r>
    </w:p>
    <w:p>
      <w:pPr>
        <w:spacing w:line="400" w:lineRule="exact"/>
        <w:ind w:firstLine="480" w:firstLineChars="200"/>
        <w:rPr>
          <w:rFonts w:hAnsi="宋体"/>
          <w:sz w:val="24"/>
        </w:rPr>
      </w:pPr>
      <w:r>
        <w:rPr>
          <w:rFonts w:hint="eastAsia" w:hAnsi="宋体"/>
          <w:sz w:val="24"/>
        </w:rPr>
        <w:t>存在本条上述情形的，由磋商小组自主决定是否采纳采购单位的书面建议，并承担独立评审责任。磋商小组采纳采购单位书面建议的，应当按照规定现场修改评审结果或者重新评审，并在</w:t>
      </w:r>
      <w:r>
        <w:rPr>
          <w:rFonts w:hint="eastAsia" w:hAnsi="宋体"/>
          <w:sz w:val="24"/>
          <w:lang w:val="en-US" w:eastAsia="zh-CN"/>
        </w:rPr>
        <w:t>相关资料</w:t>
      </w:r>
      <w:r>
        <w:rPr>
          <w:rFonts w:hint="eastAsia" w:hAnsi="宋体"/>
          <w:sz w:val="24"/>
        </w:rPr>
        <w:t>中详细记载有关事宜；不采纳采购单位书面建议的，应当书面说明理由。采购单位书面建议未被磋商小组采纳的，应当接照规定程序要求继续组织实施采购活动，不得擅自中止采购活动。采购单位认为磋商小组评审结果不合法的，应当书面报告采购项目同级财政部门。</w:t>
      </w:r>
    </w:p>
    <w:p>
      <w:pPr>
        <w:spacing w:line="400" w:lineRule="exact"/>
        <w:ind w:firstLine="480" w:firstLineChars="200"/>
        <w:rPr>
          <w:rFonts w:hAnsi="宋体"/>
          <w:sz w:val="24"/>
        </w:rPr>
      </w:pPr>
      <w:r>
        <w:rPr>
          <w:rFonts w:hint="eastAsia" w:hAnsi="宋体"/>
          <w:sz w:val="24"/>
        </w:rPr>
        <w:t>采购单位复核过程中，磋商小组成员不得离开评审现场。</w:t>
      </w:r>
    </w:p>
    <w:p>
      <w:pPr>
        <w:spacing w:line="400" w:lineRule="exact"/>
        <w:ind w:firstLine="480" w:firstLineChars="200"/>
        <w:rPr>
          <w:rFonts w:hAnsi="宋体"/>
          <w:sz w:val="24"/>
        </w:rPr>
      </w:pPr>
      <w:r>
        <w:rPr>
          <w:rFonts w:hint="eastAsia" w:hAnsi="宋体"/>
          <w:sz w:val="24"/>
        </w:rPr>
        <w:t>9.3有下列情形之一的，不得现场修改评审结果：</w:t>
      </w:r>
    </w:p>
    <w:p>
      <w:pPr>
        <w:spacing w:line="400" w:lineRule="exact"/>
        <w:ind w:firstLine="480" w:firstLineChars="200"/>
        <w:rPr>
          <w:rFonts w:hAnsi="宋体"/>
          <w:sz w:val="24"/>
        </w:rPr>
      </w:pPr>
      <w:r>
        <w:rPr>
          <w:rFonts w:hint="eastAsia" w:hAnsi="宋体"/>
          <w:sz w:val="24"/>
        </w:rPr>
        <w:t>（1）磋商小组已经出具</w:t>
      </w:r>
      <w:r>
        <w:rPr>
          <w:rFonts w:hint="eastAsia" w:hAnsi="宋体"/>
          <w:sz w:val="24"/>
          <w:lang w:val="en-US" w:eastAsia="zh-CN"/>
        </w:rPr>
        <w:t>结果</w:t>
      </w:r>
      <w:r>
        <w:rPr>
          <w:rFonts w:hint="eastAsia" w:hAnsi="宋体"/>
          <w:sz w:val="24"/>
        </w:rPr>
        <w:t>并且离开评审现场的；</w:t>
      </w:r>
    </w:p>
    <w:p>
      <w:pPr>
        <w:spacing w:line="400" w:lineRule="exact"/>
        <w:ind w:firstLine="480" w:firstLineChars="200"/>
        <w:rPr>
          <w:rFonts w:hAnsi="宋体"/>
          <w:sz w:val="24"/>
        </w:rPr>
      </w:pPr>
      <w:r>
        <w:rPr>
          <w:rFonts w:hint="eastAsia" w:hAnsi="宋体"/>
          <w:sz w:val="24"/>
        </w:rPr>
        <w:t>（2）采购单位现场复核时，复核工作人员数量不足的；</w:t>
      </w:r>
    </w:p>
    <w:p>
      <w:pPr>
        <w:spacing w:line="400" w:lineRule="exact"/>
        <w:ind w:firstLine="480" w:firstLineChars="200"/>
        <w:rPr>
          <w:rFonts w:hAnsi="宋体"/>
          <w:sz w:val="24"/>
        </w:rPr>
      </w:pPr>
      <w:r>
        <w:rPr>
          <w:rFonts w:hint="eastAsia" w:hAnsi="宋体"/>
          <w:sz w:val="24"/>
        </w:rPr>
        <w:t>（3）采购单位现场复核时，没有采购监督人员现场监督的；</w:t>
      </w:r>
    </w:p>
    <w:p>
      <w:pPr>
        <w:spacing w:line="400" w:lineRule="exact"/>
        <w:ind w:firstLine="480" w:firstLineChars="200"/>
        <w:rPr>
          <w:rFonts w:hAnsi="宋体"/>
          <w:sz w:val="24"/>
        </w:rPr>
      </w:pPr>
      <w:r>
        <w:rPr>
          <w:rFonts w:hint="eastAsia" w:hAnsi="宋体"/>
          <w:sz w:val="24"/>
        </w:rPr>
        <w:t>（4）采购单位现场复核内容超出规定范围的；</w:t>
      </w:r>
    </w:p>
    <w:p>
      <w:pPr>
        <w:spacing w:line="400" w:lineRule="exact"/>
        <w:ind w:firstLine="480" w:firstLineChars="200"/>
      </w:pPr>
      <w:r>
        <w:rPr>
          <w:rFonts w:hint="eastAsia" w:hAnsi="宋体"/>
          <w:sz w:val="24"/>
        </w:rPr>
        <w:t>（5）采购单位未提供书面建议的。</w:t>
      </w:r>
    </w:p>
    <w:p>
      <w:pPr>
        <w:pStyle w:val="16"/>
        <w:tabs>
          <w:tab w:val="left" w:pos="600"/>
        </w:tabs>
        <w:spacing w:line="400" w:lineRule="exact"/>
        <w:ind w:firstLine="482" w:firstLineChars="200"/>
        <w:rPr>
          <w:rFonts w:hint="eastAsia" w:eastAsia="宋体"/>
          <w:color w:val="FF0000"/>
          <w:sz w:val="24"/>
          <w:lang w:eastAsia="zh-CN"/>
        </w:rPr>
      </w:pPr>
      <w:r>
        <w:rPr>
          <w:rFonts w:hint="eastAsia" w:hAnsi="宋体" w:cs="宋体"/>
          <w:b/>
          <w:bCs/>
          <w:sz w:val="24"/>
        </w:rPr>
        <w:t>10、</w:t>
      </w:r>
      <w:r>
        <w:rPr>
          <w:rFonts w:hint="eastAsia" w:hAnsi="宋体" w:cs="宋体"/>
          <w:b/>
          <w:bCs/>
          <w:color w:val="FF0000"/>
          <w:sz w:val="24"/>
        </w:rPr>
        <w:t>出具磋商报告</w:t>
      </w:r>
    </w:p>
    <w:p>
      <w:pPr>
        <w:pStyle w:val="16"/>
        <w:tabs>
          <w:tab w:val="left" w:pos="600"/>
        </w:tabs>
        <w:spacing w:line="400" w:lineRule="exact"/>
        <w:ind w:firstLine="482" w:firstLineChars="200"/>
        <w:rPr>
          <w:color w:val="FF0000"/>
          <w:sz w:val="24"/>
        </w:rPr>
      </w:pPr>
      <w:r>
        <w:rPr>
          <w:rFonts w:hint="eastAsia" w:hAnsi="宋体" w:cs="宋体"/>
          <w:b/>
          <w:bCs/>
          <w:color w:val="FF0000"/>
          <w:sz w:val="24"/>
          <w:lang w:val="en-US" w:eastAsia="zh-CN"/>
        </w:rPr>
        <w:t>本次不涉及</w:t>
      </w:r>
      <w:r>
        <w:rPr>
          <w:rFonts w:hint="eastAsia"/>
          <w:color w:val="FF0000"/>
          <w:sz w:val="24"/>
        </w:rPr>
        <w:t>。</w:t>
      </w:r>
    </w:p>
    <w:p>
      <w:pPr>
        <w:spacing w:line="400" w:lineRule="exact"/>
        <w:ind w:firstLine="241" w:firstLineChars="100"/>
        <w:rPr>
          <w:rFonts w:hAnsi="宋体"/>
          <w:sz w:val="24"/>
        </w:rPr>
      </w:pPr>
      <w:r>
        <w:rPr>
          <w:rFonts w:hint="eastAsia" w:hAnsi="宋体"/>
          <w:b/>
          <w:bCs/>
          <w:sz w:val="24"/>
        </w:rPr>
        <w:t>11、磋商异议处理规则</w:t>
      </w:r>
      <w:r>
        <w:rPr>
          <w:rFonts w:hint="eastAsia" w:hAnsi="宋体"/>
          <w:sz w:val="24"/>
        </w:rPr>
        <w:t>。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w:t>
      </w:r>
      <w:r>
        <w:rPr>
          <w:rFonts w:hint="eastAsia" w:hAnsi="宋体"/>
          <w:sz w:val="24"/>
          <w:lang w:val="en-US" w:eastAsia="zh-CN"/>
        </w:rPr>
        <w:t>相关资料</w:t>
      </w:r>
      <w:r>
        <w:rPr>
          <w:rFonts w:hint="eastAsia" w:hAnsi="宋体"/>
          <w:sz w:val="24"/>
        </w:rPr>
        <w:t>中予以反映。</w:t>
      </w:r>
    </w:p>
    <w:p>
      <w:pPr>
        <w:ind w:firstLine="241" w:firstLineChars="100"/>
        <w:rPr>
          <w:rFonts w:hAnsi="宋体" w:cs="宋体"/>
          <w:b/>
          <w:bCs/>
          <w:sz w:val="24"/>
          <w:szCs w:val="24"/>
        </w:rPr>
      </w:pPr>
      <w:r>
        <w:rPr>
          <w:rFonts w:hint="eastAsia" w:hAnsi="宋体" w:cs="宋体"/>
          <w:b/>
          <w:bCs/>
          <w:sz w:val="24"/>
          <w:szCs w:val="24"/>
        </w:rPr>
        <w:t xml:space="preserve"> 12、澄清、说明相关问题</w:t>
      </w:r>
    </w:p>
    <w:p>
      <w:pPr>
        <w:pStyle w:val="16"/>
        <w:tabs>
          <w:tab w:val="left" w:pos="600"/>
        </w:tabs>
        <w:spacing w:line="400" w:lineRule="exact"/>
        <w:ind w:firstLine="480" w:firstLineChars="200"/>
        <w:rPr>
          <w:rFonts w:hAnsi="宋体" w:cs="宋体"/>
          <w:sz w:val="24"/>
        </w:rPr>
      </w:pPr>
      <w:r>
        <w:rPr>
          <w:rFonts w:hint="eastAsia" w:hAnsi="宋体" w:cs="宋体"/>
          <w:sz w:val="24"/>
        </w:rPr>
        <w:t>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6"/>
        <w:tabs>
          <w:tab w:val="left" w:pos="600"/>
        </w:tabs>
        <w:spacing w:line="400" w:lineRule="exact"/>
        <w:ind w:firstLine="480" w:firstLineChars="200"/>
        <w:rPr>
          <w:rFonts w:hAnsi="宋体" w:cs="宋体"/>
          <w:sz w:val="24"/>
        </w:rPr>
      </w:pPr>
      <w:r>
        <w:rPr>
          <w:rFonts w:hint="eastAsia" w:hAnsi="宋体" w:cs="宋体"/>
          <w:sz w:val="24"/>
        </w:rPr>
        <w:t>12.2磋商小组要求供应商澄清、说明或者更正响应文件应当以书面形式作出。供应商的澄清、说明或者更正应当由法定代表人或其授权代理人签字或者加盖公章。由授权代理人签字的，应当附法定代表人授权书。</w:t>
      </w:r>
    </w:p>
    <w:p>
      <w:pPr>
        <w:pStyle w:val="16"/>
        <w:tabs>
          <w:tab w:val="left" w:pos="600"/>
        </w:tabs>
        <w:spacing w:line="400" w:lineRule="exact"/>
        <w:ind w:firstLine="482" w:firstLineChars="200"/>
        <w:rPr>
          <w:b/>
          <w:bCs/>
          <w:sz w:val="24"/>
        </w:rPr>
      </w:pPr>
      <w:r>
        <w:rPr>
          <w:rFonts w:hint="eastAsia"/>
          <w:b/>
          <w:bCs/>
          <w:sz w:val="24"/>
        </w:rPr>
        <w:t>四、评审细则及标准</w:t>
      </w:r>
    </w:p>
    <w:p>
      <w:pPr>
        <w:pStyle w:val="16"/>
        <w:tabs>
          <w:tab w:val="left" w:pos="600"/>
        </w:tabs>
        <w:spacing w:line="400" w:lineRule="exact"/>
        <w:ind w:firstLine="480" w:firstLineChars="200"/>
        <w:rPr>
          <w:sz w:val="24"/>
        </w:rPr>
      </w:pPr>
      <w:r>
        <w:rPr>
          <w:rFonts w:hint="eastAsia"/>
          <w:sz w:val="24"/>
        </w:rPr>
        <w:t>1、磋商小组只对通过资格性和符合性审查的响应文件，根据磋商文件的要求采用相同的评审程序、评分办法及标准进行评价和比较。</w:t>
      </w:r>
    </w:p>
    <w:p>
      <w:pPr>
        <w:pStyle w:val="16"/>
        <w:tabs>
          <w:tab w:val="left" w:pos="600"/>
        </w:tabs>
        <w:spacing w:line="400" w:lineRule="exact"/>
        <w:ind w:firstLine="480" w:firstLineChars="200"/>
        <w:rPr>
          <w:sz w:val="24"/>
        </w:rPr>
      </w:pPr>
      <w:r>
        <w:rPr>
          <w:rFonts w:hint="eastAsia"/>
          <w:sz w:val="24"/>
        </w:rPr>
        <w:t>2、本次综合评分的因素详见综合评分明细表。</w:t>
      </w:r>
    </w:p>
    <w:p>
      <w:pPr>
        <w:pStyle w:val="16"/>
        <w:tabs>
          <w:tab w:val="left" w:pos="600"/>
        </w:tabs>
        <w:spacing w:line="400" w:lineRule="exact"/>
        <w:ind w:firstLine="480" w:firstLineChars="200"/>
        <w:rPr>
          <w:sz w:val="24"/>
        </w:rPr>
      </w:pPr>
      <w:r>
        <w:rPr>
          <w:rFonts w:hint="eastAsia"/>
          <w:sz w:val="24"/>
        </w:rPr>
        <w:t>3、除价格因素外，磋商小组成员应依据响应文件规定的评分标准和方法独立对其他因素进行比较打分。磋商小组成员应当根据自身专业情况对每个有效竞磋人的响应文件进行独立评分，加权汇总每项评分因素的得分，得出每个有效竞磋人的总分。技术类评分因素由技术方面磋商小组成员独立评分。经济类评分因素由经济方面磋商小组成员独立评分。共同类的评分因素由所有磋商小组成员独立评分。采购人代表原则上对技术类评分因素独立评分。价格和其他不能明确区分的评分因素由磋商小组成员共同评分。</w:t>
      </w:r>
    </w:p>
    <w:p>
      <w:pPr>
        <w:pStyle w:val="16"/>
        <w:tabs>
          <w:tab w:val="left" w:pos="600"/>
        </w:tabs>
        <w:spacing w:line="400" w:lineRule="exact"/>
        <w:ind w:firstLine="480" w:firstLineChars="200"/>
        <w:rPr>
          <w:sz w:val="24"/>
        </w:rPr>
      </w:pPr>
      <w:r>
        <w:rPr>
          <w:rFonts w:hint="eastAsia"/>
          <w:sz w:val="24"/>
        </w:rPr>
        <w:t>4、在评审过程中，响应文件有下列情况之一，磋商小组成员应当按照磋商文件规定的非实质性偏离进行扣分：</w:t>
      </w:r>
    </w:p>
    <w:p>
      <w:pPr>
        <w:pStyle w:val="16"/>
        <w:tabs>
          <w:tab w:val="left" w:pos="600"/>
        </w:tabs>
        <w:spacing w:line="400" w:lineRule="exact"/>
        <w:ind w:firstLine="480" w:firstLineChars="200"/>
        <w:rPr>
          <w:sz w:val="24"/>
        </w:rPr>
      </w:pPr>
      <w:r>
        <w:rPr>
          <w:rFonts w:hint="eastAsia"/>
          <w:sz w:val="24"/>
        </w:rPr>
        <w:t>（1）文字表述的内容含义不明确，或者同类问题表述不一致，或者有明显文字和计算错误，或者提供的技术信息和数据资料不完整，竞磋人拒不或在规定的时间内没有进行澄清、说明或补正或澄清、说明、补正的内容也不能说明问题的；</w:t>
      </w:r>
    </w:p>
    <w:p>
      <w:pPr>
        <w:pStyle w:val="16"/>
        <w:tabs>
          <w:tab w:val="left" w:pos="600"/>
        </w:tabs>
        <w:spacing w:line="400" w:lineRule="exact"/>
        <w:ind w:firstLine="480" w:firstLineChars="200"/>
        <w:rPr>
          <w:sz w:val="24"/>
        </w:rPr>
      </w:pPr>
      <w:r>
        <w:rPr>
          <w:rFonts w:hint="eastAsia"/>
          <w:sz w:val="24"/>
        </w:rPr>
        <w:t>（2）认定的与磋商文件第五章规定的技术、商务及其他要求不符的非实质性偏离。</w:t>
      </w:r>
    </w:p>
    <w:p>
      <w:pPr>
        <w:pStyle w:val="16"/>
        <w:tabs>
          <w:tab w:val="left" w:pos="600"/>
        </w:tabs>
        <w:spacing w:line="400" w:lineRule="exact"/>
        <w:ind w:firstLine="480" w:firstLineChars="200"/>
        <w:rPr>
          <w:sz w:val="24"/>
        </w:rPr>
      </w:pPr>
      <w:r>
        <w:rPr>
          <w:rFonts w:hint="eastAsia"/>
          <w:sz w:val="24"/>
        </w:rPr>
        <w:t>（3）认定的其他非实质性偏离。</w:t>
      </w:r>
    </w:p>
    <w:p>
      <w:pPr>
        <w:pStyle w:val="16"/>
        <w:tabs>
          <w:tab w:val="left" w:pos="600"/>
        </w:tabs>
        <w:spacing w:line="400" w:lineRule="exact"/>
        <w:ind w:firstLine="480" w:firstLineChars="200"/>
        <w:rPr>
          <w:sz w:val="24"/>
          <w:szCs w:val="24"/>
        </w:rPr>
      </w:pPr>
      <w:r>
        <w:rPr>
          <w:rFonts w:hint="eastAsia"/>
          <w:sz w:val="24"/>
          <w:szCs w:val="24"/>
        </w:rPr>
        <w:t>5、 综合评分明细表</w:t>
      </w:r>
    </w:p>
    <w:tbl>
      <w:tblPr>
        <w:tblStyle w:val="31"/>
        <w:tblpPr w:leftFromText="180" w:rightFromText="180" w:vertAnchor="text" w:horzAnchor="page" w:tblpXSpec="center" w:tblpY="693"/>
        <w:tblOverlap w:val="never"/>
        <w:tblW w:w="9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32"/>
        <w:gridCol w:w="690"/>
        <w:gridCol w:w="658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rPr>
                <w:rFonts w:ascii="仿宋" w:hAnsi="仿宋" w:eastAsia="仿宋" w:cs="仿宋"/>
                <w:sz w:val="22"/>
              </w:rPr>
            </w:pPr>
            <w:r>
              <w:rPr>
                <w:rFonts w:hint="eastAsia" w:ascii="仿宋" w:hAnsi="仿宋" w:eastAsia="仿宋" w:cs="仿宋"/>
                <w:sz w:val="22"/>
              </w:rPr>
              <w:t>序号</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ind w:firstLine="28"/>
              <w:jc w:val="center"/>
              <w:rPr>
                <w:rFonts w:ascii="仿宋" w:hAnsi="仿宋" w:eastAsia="仿宋" w:cs="仿宋"/>
                <w:sz w:val="22"/>
              </w:rPr>
            </w:pPr>
            <w:r>
              <w:rPr>
                <w:rFonts w:hint="eastAsia" w:ascii="仿宋" w:hAnsi="仿宋" w:eastAsia="仿宋" w:cs="仿宋"/>
                <w:sz w:val="22"/>
              </w:rPr>
              <w:t>评分因素及权重</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ind w:firstLine="28"/>
              <w:jc w:val="center"/>
              <w:rPr>
                <w:rFonts w:ascii="仿宋" w:hAnsi="仿宋" w:eastAsia="仿宋" w:cs="仿宋"/>
                <w:sz w:val="22"/>
              </w:rPr>
            </w:pPr>
            <w:r>
              <w:rPr>
                <w:rFonts w:hint="eastAsia" w:ascii="仿宋" w:hAnsi="仿宋" w:eastAsia="仿宋" w:cs="仿宋"/>
                <w:sz w:val="22"/>
              </w:rPr>
              <w:t>分值</w:t>
            </w:r>
          </w:p>
        </w:tc>
        <w:tc>
          <w:tcPr>
            <w:tcW w:w="658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ind w:firstLine="28"/>
              <w:jc w:val="center"/>
              <w:rPr>
                <w:rFonts w:ascii="仿宋" w:hAnsi="仿宋" w:eastAsia="仿宋" w:cs="仿宋"/>
                <w:sz w:val="22"/>
              </w:rPr>
            </w:pPr>
            <w:r>
              <w:rPr>
                <w:rFonts w:hint="eastAsia" w:ascii="仿宋" w:hAnsi="仿宋" w:eastAsia="仿宋" w:cs="仿宋"/>
                <w:sz w:val="22"/>
              </w:rPr>
              <w:t>评分标准</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1</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报价10%</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10</w:t>
            </w:r>
          </w:p>
        </w:tc>
        <w:tc>
          <w:tcPr>
            <w:tcW w:w="658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ind w:firstLine="220" w:firstLineChars="100"/>
              <w:rPr>
                <w:rFonts w:ascii="仿宋" w:hAnsi="仿宋" w:eastAsia="仿宋" w:cs="仿宋"/>
                <w:sz w:val="22"/>
              </w:rPr>
            </w:pPr>
            <w:r>
              <w:rPr>
                <w:rFonts w:hint="eastAsia" w:ascii="仿宋" w:hAnsi="仿宋" w:eastAsia="仿宋" w:cs="仿宋"/>
                <w:sz w:val="22"/>
              </w:rPr>
              <w:t xml:space="preserve"> </w:t>
            </w:r>
            <w:r>
              <w:rPr>
                <w:rFonts w:hint="eastAsia" w:ascii="仿宋" w:hAnsi="仿宋" w:eastAsia="仿宋" w:cs="仿宋"/>
                <w:sz w:val="22"/>
                <w:lang w:val="en-US" w:eastAsia="zh-CN"/>
              </w:rPr>
              <w:t xml:space="preserve"> 朝天区地价评估费用标准按照《广元市自然资源局关于印发&lt;广元市市本级公益性评估（土地、地灾和测绘）选取中介机构实施办法（试行）&gt;的通知》（广自然资发[2021]56号）和原国家计委、原国家土地管理局《关于土地价格评估收费的通知》（计价格[1994]2017号）文件收费标准的50%，二者择低收取（单独宗地评估费不足2000元按照2000元收取）。</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2</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履约能力证明</w:t>
            </w:r>
            <w:r>
              <w:rPr>
                <w:rFonts w:hint="eastAsia" w:ascii="仿宋" w:hAnsi="仿宋" w:eastAsia="仿宋" w:cs="仿宋"/>
                <w:bCs/>
                <w:sz w:val="22"/>
                <w:lang w:val="en-US" w:eastAsia="zh-CN"/>
              </w:rPr>
              <w:t>36</w:t>
            </w:r>
            <w:r>
              <w:rPr>
                <w:rFonts w:hint="eastAsia" w:ascii="仿宋" w:hAnsi="仿宋" w:eastAsia="仿宋" w:cs="仿宋"/>
                <w:bCs/>
                <w:sz w:val="22"/>
              </w:rPr>
              <w:t>%</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hint="default" w:ascii="仿宋" w:hAnsi="仿宋" w:eastAsia="仿宋" w:cs="仿宋"/>
                <w:bCs/>
                <w:sz w:val="22"/>
                <w:lang w:val="en-US" w:eastAsia="zh-CN"/>
              </w:rPr>
            </w:pPr>
            <w:r>
              <w:rPr>
                <w:rFonts w:hint="eastAsia" w:ascii="仿宋" w:hAnsi="仿宋" w:eastAsia="仿宋" w:cs="仿宋"/>
                <w:bCs/>
                <w:sz w:val="22"/>
                <w:lang w:val="en-US" w:eastAsia="zh-CN"/>
              </w:rPr>
              <w:t>36</w:t>
            </w:r>
          </w:p>
        </w:tc>
        <w:tc>
          <w:tcPr>
            <w:tcW w:w="658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ind w:firstLine="440" w:firstLineChars="200"/>
              <w:rPr>
                <w:rFonts w:ascii="仿宋" w:hAnsi="仿宋" w:eastAsia="仿宋" w:cs="仿宋"/>
                <w:sz w:val="22"/>
              </w:rPr>
            </w:pPr>
            <w:r>
              <w:rPr>
                <w:rFonts w:hint="eastAsia" w:ascii="仿宋" w:hAnsi="仿宋" w:eastAsia="仿宋" w:cs="仿宋"/>
                <w:sz w:val="22"/>
              </w:rPr>
              <w:t>1.供应商自2020年（含）至今具有</w:t>
            </w:r>
            <w:r>
              <w:rPr>
                <w:rFonts w:hint="eastAsia" w:ascii="仿宋" w:hAnsi="仿宋" w:eastAsia="仿宋" w:cs="仿宋"/>
                <w:sz w:val="22"/>
                <w:lang w:val="en-US" w:eastAsia="zh-CN"/>
              </w:rPr>
              <w:t>土地评估项目</w:t>
            </w:r>
            <w:r>
              <w:rPr>
                <w:rFonts w:hint="eastAsia" w:ascii="仿宋" w:hAnsi="仿宋" w:eastAsia="仿宋" w:cs="仿宋"/>
                <w:sz w:val="22"/>
              </w:rPr>
              <w:t>业绩，每提供1个</w:t>
            </w:r>
            <w:r>
              <w:rPr>
                <w:rFonts w:hint="eastAsia" w:ascii="仿宋" w:hAnsi="仿宋" w:eastAsia="仿宋" w:cs="仿宋"/>
                <w:sz w:val="22"/>
                <w:lang w:val="en-US" w:eastAsia="zh-CN"/>
              </w:rPr>
              <w:t>土地评估</w:t>
            </w:r>
            <w:r>
              <w:rPr>
                <w:rFonts w:hint="eastAsia" w:ascii="仿宋" w:hAnsi="仿宋" w:eastAsia="仿宋" w:cs="仿宋"/>
                <w:sz w:val="22"/>
              </w:rPr>
              <w:t>业绩的得</w:t>
            </w:r>
            <w:r>
              <w:rPr>
                <w:rFonts w:hint="eastAsia" w:ascii="仿宋" w:hAnsi="仿宋" w:eastAsia="仿宋" w:cs="仿宋"/>
                <w:sz w:val="22"/>
                <w:lang w:val="en-US" w:eastAsia="zh-CN"/>
              </w:rPr>
              <w:t>1</w:t>
            </w:r>
            <w:r>
              <w:rPr>
                <w:rFonts w:hint="eastAsia" w:ascii="仿宋" w:hAnsi="仿宋" w:eastAsia="仿宋" w:cs="仿宋"/>
                <w:sz w:val="22"/>
              </w:rPr>
              <w:t>分，本项最多得8分。</w:t>
            </w:r>
          </w:p>
          <w:p>
            <w:pPr>
              <w:wordWrap w:val="0"/>
              <w:spacing w:line="0" w:lineRule="atLeast"/>
              <w:ind w:firstLine="440" w:firstLineChars="200"/>
              <w:rPr>
                <w:rFonts w:hint="eastAsia" w:ascii="仿宋" w:hAnsi="仿宋" w:eastAsia="仿宋" w:cs="仿宋"/>
                <w:sz w:val="22"/>
                <w:lang w:eastAsia="zh-CN"/>
              </w:rPr>
            </w:pPr>
            <w:r>
              <w:rPr>
                <w:rFonts w:hint="eastAsia" w:ascii="仿宋" w:hAnsi="仿宋" w:eastAsia="仿宋" w:cs="仿宋"/>
                <w:sz w:val="22"/>
              </w:rPr>
              <w:t>2.供应商自2020年（含）至今有广元市</w:t>
            </w:r>
            <w:r>
              <w:rPr>
                <w:rFonts w:hint="eastAsia" w:ascii="仿宋" w:hAnsi="仿宋" w:eastAsia="仿宋" w:cs="仿宋"/>
                <w:sz w:val="22"/>
                <w:lang w:val="en-US" w:eastAsia="zh-CN"/>
              </w:rPr>
              <w:t>本地</w:t>
            </w:r>
            <w:r>
              <w:rPr>
                <w:rFonts w:hint="eastAsia" w:ascii="仿宋" w:hAnsi="仿宋" w:eastAsia="仿宋" w:cs="仿宋"/>
                <w:sz w:val="22"/>
              </w:rPr>
              <w:t>土地</w:t>
            </w:r>
            <w:r>
              <w:rPr>
                <w:rFonts w:hint="eastAsia" w:ascii="仿宋" w:hAnsi="仿宋" w:eastAsia="仿宋" w:cs="仿宋"/>
                <w:sz w:val="22"/>
                <w:lang w:val="en-US" w:eastAsia="zh-CN"/>
              </w:rPr>
              <w:t>评估</w:t>
            </w:r>
            <w:r>
              <w:rPr>
                <w:rFonts w:hint="eastAsia" w:ascii="仿宋" w:hAnsi="仿宋" w:eastAsia="仿宋" w:cs="仿宋"/>
                <w:sz w:val="22"/>
              </w:rPr>
              <w:t>业绩的得</w:t>
            </w:r>
            <w:r>
              <w:rPr>
                <w:rFonts w:hint="eastAsia" w:ascii="仿宋" w:hAnsi="仿宋" w:eastAsia="仿宋" w:cs="仿宋"/>
                <w:sz w:val="22"/>
                <w:lang w:val="en-US" w:eastAsia="zh-CN"/>
              </w:rPr>
              <w:t>1.5</w:t>
            </w:r>
            <w:r>
              <w:rPr>
                <w:rFonts w:hint="eastAsia" w:ascii="仿宋" w:hAnsi="仿宋" w:eastAsia="仿宋" w:cs="仿宋"/>
                <w:sz w:val="22"/>
              </w:rPr>
              <w:t>分，本项最多得</w:t>
            </w:r>
            <w:r>
              <w:rPr>
                <w:rFonts w:hint="eastAsia" w:ascii="仿宋" w:hAnsi="仿宋" w:eastAsia="仿宋" w:cs="仿宋"/>
                <w:sz w:val="22"/>
                <w:lang w:val="en-US" w:eastAsia="zh-CN"/>
              </w:rPr>
              <w:t>12</w:t>
            </w:r>
            <w:r>
              <w:rPr>
                <w:rFonts w:hint="eastAsia" w:ascii="仿宋" w:hAnsi="仿宋" w:eastAsia="仿宋" w:cs="仿宋"/>
                <w:sz w:val="22"/>
              </w:rPr>
              <w:t>分</w:t>
            </w:r>
            <w:r>
              <w:rPr>
                <w:rFonts w:hint="eastAsia" w:ascii="仿宋" w:hAnsi="仿宋" w:eastAsia="仿宋" w:cs="仿宋"/>
                <w:sz w:val="22"/>
                <w:lang w:eastAsia="zh-CN"/>
              </w:rPr>
              <w:t>，</w:t>
            </w:r>
            <w:r>
              <w:rPr>
                <w:rFonts w:hint="eastAsia" w:ascii="仿宋" w:hAnsi="仿宋" w:eastAsia="仿宋" w:cs="仿宋"/>
                <w:sz w:val="22"/>
              </w:rPr>
              <w:t>无广元当地土地</w:t>
            </w:r>
            <w:r>
              <w:rPr>
                <w:rFonts w:hint="eastAsia" w:ascii="仿宋" w:hAnsi="仿宋" w:eastAsia="仿宋" w:cs="仿宋"/>
                <w:sz w:val="22"/>
                <w:lang w:val="en-US" w:eastAsia="zh-CN"/>
              </w:rPr>
              <w:t>评估</w:t>
            </w:r>
            <w:r>
              <w:rPr>
                <w:rFonts w:hint="eastAsia" w:ascii="仿宋" w:hAnsi="仿宋" w:eastAsia="仿宋" w:cs="仿宋"/>
                <w:sz w:val="22"/>
              </w:rPr>
              <w:t>业绩不得分</w:t>
            </w:r>
            <w:r>
              <w:rPr>
                <w:rFonts w:hint="eastAsia" w:ascii="仿宋" w:hAnsi="仿宋" w:eastAsia="仿宋" w:cs="仿宋"/>
                <w:sz w:val="22"/>
                <w:lang w:eastAsia="zh-CN"/>
              </w:rPr>
              <w:t>。</w:t>
            </w:r>
          </w:p>
          <w:p>
            <w:pPr>
              <w:wordWrap w:val="0"/>
              <w:spacing w:line="0" w:lineRule="atLeast"/>
              <w:ind w:firstLine="442" w:firstLineChars="200"/>
              <w:rPr>
                <w:rFonts w:ascii="仿宋" w:hAnsi="仿宋" w:eastAsia="仿宋" w:cs="仿宋"/>
                <w:b/>
                <w:bCs/>
                <w:sz w:val="22"/>
              </w:rPr>
            </w:pPr>
            <w:r>
              <w:rPr>
                <w:rFonts w:hint="eastAsia" w:ascii="仿宋" w:hAnsi="仿宋" w:eastAsia="仿宋" w:cs="仿宋"/>
                <w:b/>
                <w:bCs/>
                <w:sz w:val="22"/>
              </w:rPr>
              <w:t>(以合同或评估委托书签订时间为准。须提供评估委托书及土地备案页复印件）</w:t>
            </w:r>
          </w:p>
          <w:p>
            <w:pPr>
              <w:wordWrap w:val="0"/>
              <w:spacing w:line="0" w:lineRule="atLeast"/>
              <w:ind w:firstLine="440" w:firstLineChars="200"/>
              <w:rPr>
                <w:rFonts w:hint="eastAsia" w:ascii="仿宋" w:hAnsi="仿宋" w:eastAsia="仿宋" w:cs="仿宋"/>
                <w:sz w:val="22"/>
                <w:lang w:val="en-US" w:eastAsia="zh-CN"/>
              </w:rPr>
            </w:pPr>
            <w:r>
              <w:rPr>
                <w:rFonts w:hint="eastAsia" w:ascii="仿宋" w:hAnsi="仿宋" w:eastAsia="仿宋" w:cs="仿宋"/>
                <w:sz w:val="22"/>
                <w:lang w:val="en-US" w:eastAsia="zh-CN"/>
              </w:rPr>
              <w:t>3.具有四川省自然资源厅颁发的土地估价（评估）机构备案函，得5分。</w:t>
            </w:r>
          </w:p>
          <w:p>
            <w:pPr>
              <w:wordWrap w:val="0"/>
              <w:spacing w:line="0" w:lineRule="atLeast"/>
              <w:ind w:firstLine="440" w:firstLineChars="200"/>
              <w:rPr>
                <w:rFonts w:hint="default" w:ascii="仿宋" w:hAnsi="仿宋" w:eastAsia="仿宋" w:cs="仿宋"/>
                <w:sz w:val="22"/>
                <w:lang w:val="en-US" w:eastAsia="zh-CN"/>
              </w:rPr>
            </w:pPr>
            <w:r>
              <w:rPr>
                <w:rFonts w:hint="eastAsia" w:ascii="仿宋" w:hAnsi="仿宋" w:eastAsia="仿宋" w:cs="仿宋"/>
                <w:sz w:val="22"/>
                <w:lang w:val="en-US" w:eastAsia="zh-CN"/>
              </w:rPr>
              <w:t>4.具有房地产评估资质，得3分。</w:t>
            </w:r>
          </w:p>
          <w:p>
            <w:pPr>
              <w:wordWrap w:val="0"/>
              <w:spacing w:line="0" w:lineRule="atLeast"/>
              <w:ind w:firstLine="440" w:firstLineChars="200"/>
              <w:rPr>
                <w:rFonts w:hint="default" w:ascii="仿宋" w:hAnsi="仿宋" w:eastAsia="仿宋" w:cs="仿宋"/>
                <w:sz w:val="22"/>
                <w:lang w:val="en-US" w:eastAsia="zh-CN"/>
              </w:rPr>
            </w:pPr>
            <w:r>
              <w:rPr>
                <w:rFonts w:hint="eastAsia" w:ascii="仿宋" w:hAnsi="仿宋" w:eastAsia="仿宋" w:cs="仿宋"/>
                <w:sz w:val="22"/>
                <w:lang w:val="en-US" w:eastAsia="zh-CN"/>
              </w:rPr>
              <w:t>5.具有健全的财务会计制度（提供近三年中任意一年的财务报告的复印件），得3分。</w:t>
            </w:r>
          </w:p>
          <w:p>
            <w:pPr>
              <w:wordWrap w:val="0"/>
              <w:spacing w:line="0" w:lineRule="atLeast"/>
              <w:ind w:firstLine="440" w:firstLineChars="200"/>
              <w:rPr>
                <w:rFonts w:hint="eastAsia" w:ascii="仿宋" w:hAnsi="仿宋" w:eastAsia="仿宋" w:cs="仿宋"/>
                <w:sz w:val="22"/>
                <w:lang w:eastAsia="zh-CN"/>
              </w:rPr>
            </w:pPr>
            <w:r>
              <w:rPr>
                <w:rFonts w:hint="eastAsia" w:ascii="仿宋" w:hAnsi="仿宋" w:eastAsia="仿宋" w:cs="仿宋"/>
                <w:sz w:val="22"/>
                <w:lang w:val="en-US" w:eastAsia="zh-CN"/>
              </w:rPr>
              <w:t>6.</w:t>
            </w:r>
            <w:r>
              <w:rPr>
                <w:rFonts w:hint="eastAsia" w:ascii="仿宋" w:hAnsi="仿宋" w:eastAsia="仿宋" w:cs="仿宋"/>
                <w:sz w:val="22"/>
              </w:rPr>
              <w:t>成交供应商在广元有分支机构，能在</w:t>
            </w:r>
            <w:r>
              <w:rPr>
                <w:rFonts w:hint="eastAsia" w:ascii="仿宋" w:hAnsi="仿宋" w:eastAsia="仿宋" w:cs="仿宋"/>
                <w:sz w:val="22"/>
                <w:lang w:eastAsia="zh-CN"/>
              </w:rPr>
              <w:t>6</w:t>
            </w:r>
            <w:r>
              <w:rPr>
                <w:rFonts w:hint="eastAsia" w:ascii="仿宋" w:hAnsi="仿宋" w:eastAsia="仿宋" w:cs="仿宋"/>
                <w:sz w:val="22"/>
              </w:rPr>
              <w:t>小时内到达采购人单位现场的得</w:t>
            </w:r>
            <w:r>
              <w:rPr>
                <w:rFonts w:hint="eastAsia" w:ascii="仿宋" w:hAnsi="仿宋" w:eastAsia="仿宋" w:cs="仿宋"/>
                <w:sz w:val="22"/>
                <w:lang w:val="en-US" w:eastAsia="zh-CN"/>
              </w:rPr>
              <w:t>5</w:t>
            </w:r>
            <w:r>
              <w:rPr>
                <w:rFonts w:hint="eastAsia" w:ascii="仿宋" w:hAnsi="仿宋" w:eastAsia="仿宋" w:cs="仿宋"/>
                <w:sz w:val="22"/>
              </w:rPr>
              <w:t>分，能在</w:t>
            </w:r>
            <w:r>
              <w:rPr>
                <w:rFonts w:hint="eastAsia" w:ascii="仿宋" w:hAnsi="仿宋" w:eastAsia="仿宋" w:cs="仿宋"/>
                <w:sz w:val="22"/>
                <w:lang w:eastAsia="zh-CN"/>
              </w:rPr>
              <w:t>12</w:t>
            </w:r>
            <w:r>
              <w:rPr>
                <w:rFonts w:hint="eastAsia" w:ascii="仿宋" w:hAnsi="仿宋" w:eastAsia="仿宋" w:cs="仿宋"/>
                <w:sz w:val="22"/>
              </w:rPr>
              <w:t>小时内到达服务现场得</w:t>
            </w:r>
            <w:r>
              <w:rPr>
                <w:rFonts w:hint="eastAsia" w:ascii="仿宋" w:hAnsi="仿宋" w:eastAsia="仿宋" w:cs="仿宋"/>
                <w:sz w:val="22"/>
                <w:lang w:val="en-US" w:eastAsia="zh-CN"/>
              </w:rPr>
              <w:t>3</w:t>
            </w:r>
            <w:r>
              <w:rPr>
                <w:rFonts w:hint="eastAsia" w:ascii="仿宋" w:hAnsi="仿宋" w:eastAsia="仿宋" w:cs="仿宋"/>
                <w:sz w:val="22"/>
              </w:rPr>
              <w:t>分，能在</w:t>
            </w:r>
            <w:r>
              <w:rPr>
                <w:rFonts w:hint="eastAsia" w:ascii="仿宋" w:hAnsi="仿宋" w:eastAsia="仿宋" w:cs="仿宋"/>
                <w:sz w:val="22"/>
                <w:lang w:eastAsia="zh-CN"/>
              </w:rPr>
              <w:t>24</w:t>
            </w:r>
            <w:r>
              <w:rPr>
                <w:rFonts w:hint="eastAsia" w:ascii="仿宋" w:hAnsi="仿宋" w:eastAsia="仿宋" w:cs="仿宋"/>
                <w:sz w:val="22"/>
              </w:rPr>
              <w:t>小时内到达服务现场得1分，超过</w:t>
            </w:r>
            <w:r>
              <w:rPr>
                <w:rFonts w:hint="eastAsia" w:ascii="仿宋" w:hAnsi="仿宋" w:eastAsia="仿宋" w:cs="仿宋"/>
                <w:sz w:val="22"/>
                <w:lang w:val="en-US" w:eastAsia="zh-CN"/>
              </w:rPr>
              <w:t>24</w:t>
            </w:r>
            <w:r>
              <w:rPr>
                <w:rFonts w:hint="eastAsia" w:ascii="仿宋" w:hAnsi="仿宋" w:eastAsia="仿宋" w:cs="仿宋"/>
                <w:sz w:val="22"/>
              </w:rPr>
              <w:t>小时到达服务现场的不得分</w:t>
            </w:r>
            <w:r>
              <w:rPr>
                <w:rFonts w:hint="eastAsia" w:ascii="仿宋" w:hAnsi="仿宋" w:eastAsia="仿宋" w:cs="仿宋"/>
                <w:b/>
                <w:bCs/>
                <w:sz w:val="22"/>
              </w:rPr>
              <w:t>。（供应商须提供办公场所的房产证或租赁合同复印件及承诺函）</w:t>
            </w:r>
            <w:r>
              <w:rPr>
                <w:rFonts w:hint="eastAsia" w:ascii="仿宋" w:hAnsi="仿宋" w:eastAsia="仿宋" w:cs="仿宋"/>
                <w:sz w:val="22"/>
                <w:lang w:eastAsia="zh-CN"/>
              </w:rPr>
              <w:t>。</w:t>
            </w:r>
          </w:p>
          <w:p>
            <w:pPr>
              <w:wordWrap w:val="0"/>
              <w:spacing w:line="0" w:lineRule="atLeast"/>
              <w:rPr>
                <w:rFonts w:ascii="仿宋" w:hAnsi="仿宋" w:eastAsia="仿宋" w:cs="仿宋"/>
                <w:b/>
                <w:bCs/>
                <w:sz w:val="22"/>
              </w:rPr>
            </w:pPr>
            <w:r>
              <w:rPr>
                <w:rFonts w:hint="eastAsia" w:ascii="仿宋" w:hAnsi="仿宋" w:eastAsia="仿宋" w:cs="仿宋"/>
                <w:b/>
                <w:bCs/>
                <w:sz w:val="22"/>
              </w:rPr>
              <w:t>注：上述证明材料须加盖供应商单位鲜章。未按要求提供相关证明材料的不得分。</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3</w:t>
            </w:r>
          </w:p>
        </w:tc>
        <w:tc>
          <w:tcPr>
            <w:tcW w:w="1232" w:type="dxa"/>
            <w:tcBorders>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人员配置2</w:t>
            </w:r>
            <w:r>
              <w:rPr>
                <w:rFonts w:hint="eastAsia" w:ascii="仿宋" w:hAnsi="仿宋" w:eastAsia="仿宋" w:cs="仿宋"/>
                <w:bCs/>
                <w:sz w:val="22"/>
                <w:lang w:val="en-US" w:eastAsia="zh-CN"/>
              </w:rPr>
              <w:t>0</w:t>
            </w:r>
            <w:r>
              <w:rPr>
                <w:rFonts w:hint="eastAsia" w:ascii="仿宋" w:hAnsi="仿宋" w:eastAsia="仿宋" w:cs="仿宋"/>
                <w:bCs/>
                <w:sz w:val="22"/>
              </w:rPr>
              <w:t>%</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hint="eastAsia" w:ascii="仿宋" w:hAnsi="仿宋" w:eastAsia="仿宋" w:cs="仿宋"/>
                <w:bCs/>
                <w:sz w:val="22"/>
                <w:lang w:eastAsia="zh-CN"/>
              </w:rPr>
            </w:pPr>
            <w:r>
              <w:rPr>
                <w:rFonts w:hint="eastAsia" w:ascii="仿宋" w:hAnsi="仿宋" w:eastAsia="仿宋" w:cs="仿宋"/>
                <w:bCs/>
                <w:sz w:val="22"/>
              </w:rPr>
              <w:t>2</w:t>
            </w:r>
            <w:r>
              <w:rPr>
                <w:rFonts w:hint="eastAsia" w:ascii="仿宋" w:hAnsi="仿宋" w:eastAsia="仿宋" w:cs="仿宋"/>
                <w:bCs/>
                <w:sz w:val="22"/>
                <w:lang w:val="en-US" w:eastAsia="zh-CN"/>
              </w:rPr>
              <w:t>0</w:t>
            </w:r>
          </w:p>
        </w:tc>
        <w:tc>
          <w:tcPr>
            <w:tcW w:w="658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rPr>
                <w:rFonts w:ascii="仿宋" w:hAnsi="仿宋" w:eastAsia="仿宋" w:cs="仿宋"/>
                <w:sz w:val="22"/>
              </w:rPr>
            </w:pPr>
            <w:r>
              <w:rPr>
                <w:rFonts w:hint="eastAsia" w:ascii="仿宋" w:hAnsi="仿宋" w:eastAsia="仿宋" w:cs="仿宋"/>
                <w:sz w:val="22"/>
              </w:rPr>
              <w:t xml:space="preserve"> </w:t>
            </w:r>
            <w:r>
              <w:rPr>
                <w:rFonts w:hint="eastAsia" w:ascii="仿宋" w:hAnsi="仿宋" w:eastAsia="仿宋" w:cs="仿宋"/>
                <w:sz w:val="22"/>
                <w:lang w:val="en-US" w:eastAsia="zh-CN"/>
              </w:rPr>
              <w:t xml:space="preserve">   1.</w:t>
            </w:r>
            <w:r>
              <w:rPr>
                <w:rFonts w:hint="eastAsia" w:ascii="仿宋" w:hAnsi="仿宋" w:eastAsia="仿宋" w:cs="仿宋"/>
                <w:sz w:val="22"/>
              </w:rPr>
              <w:t>每具有一个土地估价师资格人员得</w:t>
            </w:r>
            <w:r>
              <w:rPr>
                <w:rFonts w:hint="eastAsia" w:ascii="仿宋" w:hAnsi="仿宋" w:eastAsia="仿宋" w:cs="仿宋"/>
                <w:sz w:val="22"/>
                <w:lang w:val="en-US" w:eastAsia="zh-CN"/>
              </w:rPr>
              <w:t>1</w:t>
            </w:r>
            <w:r>
              <w:rPr>
                <w:rFonts w:hint="eastAsia" w:ascii="仿宋" w:hAnsi="仿宋" w:eastAsia="仿宋" w:cs="仿宋"/>
                <w:sz w:val="22"/>
              </w:rPr>
              <w:t>分，最多得10分，少于2个人员不得分。</w:t>
            </w:r>
            <w:r>
              <w:rPr>
                <w:rFonts w:hint="eastAsia" w:ascii="仿宋" w:hAnsi="仿宋" w:eastAsia="仿宋" w:cs="仿宋"/>
                <w:b/>
                <w:bCs/>
                <w:sz w:val="22"/>
              </w:rPr>
              <w:t>（须提供相关资格证书扫描件）。</w:t>
            </w:r>
          </w:p>
          <w:p>
            <w:pPr>
              <w:wordWrap w:val="0"/>
              <w:spacing w:line="0" w:lineRule="atLeast"/>
              <w:ind w:firstLine="440" w:firstLineChars="200"/>
              <w:rPr>
                <w:rFonts w:hint="default" w:ascii="仿宋" w:hAnsi="仿宋" w:eastAsia="仿宋" w:cs="仿宋"/>
                <w:sz w:val="22"/>
                <w:szCs w:val="22"/>
                <w:lang w:val="en-US" w:eastAsia="zh-CN" w:bidi="ar-SA"/>
              </w:rPr>
            </w:pPr>
            <w:r>
              <w:rPr>
                <w:rFonts w:hint="eastAsia" w:ascii="仿宋" w:hAnsi="仿宋" w:eastAsia="仿宋" w:cs="仿宋"/>
                <w:sz w:val="22"/>
              </w:rPr>
              <w:t>2</w:t>
            </w:r>
            <w:r>
              <w:rPr>
                <w:rFonts w:hint="eastAsia" w:ascii="仿宋" w:hAnsi="仿宋" w:eastAsia="仿宋" w:cs="仿宋"/>
                <w:sz w:val="22"/>
                <w:lang w:eastAsia="zh-CN"/>
              </w:rPr>
              <w:t>.</w:t>
            </w:r>
            <w:r>
              <w:rPr>
                <w:rFonts w:hint="eastAsia" w:ascii="仿宋" w:hAnsi="仿宋" w:eastAsia="仿宋" w:cs="仿宋"/>
                <w:sz w:val="22"/>
              </w:rPr>
              <w:t>每具有一个房地产估价师资格人员得</w:t>
            </w:r>
            <w:r>
              <w:rPr>
                <w:rFonts w:hint="eastAsia" w:ascii="仿宋" w:hAnsi="仿宋" w:eastAsia="仿宋" w:cs="仿宋"/>
                <w:sz w:val="22"/>
                <w:lang w:val="en-US" w:eastAsia="zh-CN"/>
              </w:rPr>
              <w:t>1</w:t>
            </w:r>
            <w:r>
              <w:rPr>
                <w:rFonts w:hint="eastAsia" w:ascii="仿宋" w:hAnsi="仿宋" w:eastAsia="仿宋" w:cs="仿宋"/>
                <w:sz w:val="22"/>
              </w:rPr>
              <w:t>分；最多得</w:t>
            </w:r>
            <w:r>
              <w:rPr>
                <w:rFonts w:hint="eastAsia" w:ascii="仿宋" w:hAnsi="仿宋" w:eastAsia="仿宋" w:cs="仿宋"/>
                <w:sz w:val="22"/>
                <w:lang w:val="en-US" w:eastAsia="zh-CN"/>
              </w:rPr>
              <w:t>10</w:t>
            </w:r>
            <w:r>
              <w:rPr>
                <w:rFonts w:hint="eastAsia" w:ascii="仿宋" w:hAnsi="仿宋" w:eastAsia="仿宋" w:cs="仿宋"/>
                <w:sz w:val="22"/>
              </w:rPr>
              <w:t>分，少于2个人员不得分。</w:t>
            </w:r>
            <w:r>
              <w:rPr>
                <w:rFonts w:hint="eastAsia" w:ascii="仿宋" w:hAnsi="仿宋" w:eastAsia="仿宋" w:cs="仿宋"/>
                <w:b/>
                <w:bCs/>
                <w:sz w:val="22"/>
              </w:rPr>
              <w:t>（须提供相关资格证书扫描件）</w:t>
            </w:r>
            <w:r>
              <w:rPr>
                <w:rFonts w:hint="eastAsia" w:ascii="仿宋" w:hAnsi="仿宋" w:eastAsia="仿宋" w:cs="仿宋"/>
                <w:b/>
                <w:bCs/>
                <w:sz w:val="22"/>
                <w:lang w:eastAsia="zh-CN"/>
              </w:rPr>
              <w:t>。</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4</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1"/>
                <w:szCs w:val="21"/>
              </w:rPr>
              <w:t>项目需求分析1</w:t>
            </w:r>
            <w:r>
              <w:rPr>
                <w:rFonts w:hint="eastAsia" w:ascii="仿宋" w:hAnsi="仿宋" w:eastAsia="仿宋" w:cs="仿宋"/>
                <w:bCs/>
                <w:sz w:val="21"/>
                <w:szCs w:val="21"/>
                <w:lang w:val="en-US" w:eastAsia="zh-CN"/>
              </w:rPr>
              <w:t>2</w:t>
            </w:r>
            <w:r>
              <w:rPr>
                <w:rFonts w:hint="eastAsia" w:ascii="仿宋" w:hAnsi="仿宋" w:eastAsia="仿宋" w:cs="仿宋"/>
                <w:bCs/>
                <w:sz w:val="21"/>
                <w:szCs w:val="21"/>
              </w:rPr>
              <w:t>%</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hint="default" w:ascii="仿宋" w:hAnsi="仿宋" w:eastAsia="仿宋" w:cs="仿宋"/>
                <w:bCs/>
                <w:sz w:val="22"/>
                <w:lang w:val="en-US" w:eastAsia="zh-CN"/>
              </w:rPr>
            </w:pPr>
            <w:r>
              <w:rPr>
                <w:rFonts w:hint="eastAsia" w:ascii="仿宋" w:hAnsi="仿宋" w:eastAsia="仿宋" w:cs="仿宋"/>
                <w:bCs/>
                <w:sz w:val="22"/>
                <w:lang w:val="en-US" w:eastAsia="zh-CN"/>
              </w:rPr>
              <w:t>12</w:t>
            </w:r>
          </w:p>
        </w:tc>
        <w:tc>
          <w:tcPr>
            <w:tcW w:w="6581"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仿宋" w:hAnsi="仿宋" w:eastAsia="仿宋" w:cs="仿宋"/>
                <w:sz w:val="22"/>
              </w:rPr>
            </w:pPr>
            <w:r>
              <w:rPr>
                <w:rFonts w:hint="eastAsia" w:ascii="仿宋" w:hAnsi="仿宋" w:eastAsia="仿宋" w:cs="仿宋"/>
                <w:sz w:val="22"/>
              </w:rPr>
              <w:t>根据供应商针对本项目提供的项目需求分析方案（至少包含①项目背景分析、②项目所在地区域市场整体分析、③项目实施重难点分析、④项目的关键技术要点分析等这四部分）进行评审，供应商对本项目需求分析准确、项目背景了解透彻、项目所在地区域市场整体分析全面、项目实施重难点分析把握准确、项目的关键技术要点分析详细，方案各部分内容全面详细、阐述条理清晰详尽、细节明确，项目需求分析把握准确，每有一处得</w:t>
            </w:r>
            <w:r>
              <w:rPr>
                <w:rFonts w:hint="eastAsia" w:ascii="仿宋" w:hAnsi="仿宋" w:eastAsia="仿宋" w:cs="仿宋"/>
                <w:sz w:val="22"/>
                <w:lang w:val="en-US" w:eastAsia="zh-CN"/>
              </w:rPr>
              <w:t>3</w:t>
            </w:r>
            <w:r>
              <w:rPr>
                <w:rFonts w:hint="eastAsia" w:ascii="仿宋" w:hAnsi="仿宋" w:eastAsia="仿宋" w:cs="仿宋"/>
                <w:sz w:val="22"/>
              </w:rPr>
              <w:t>分；每有一处有缺陷不合理或有漏洞不利于项目开展实施的扣</w:t>
            </w:r>
            <w:r>
              <w:rPr>
                <w:rFonts w:hint="eastAsia" w:ascii="仿宋" w:hAnsi="仿宋" w:eastAsia="仿宋" w:cs="仿宋"/>
                <w:sz w:val="22"/>
                <w:lang w:val="en-US" w:eastAsia="zh-CN"/>
              </w:rPr>
              <w:t>1</w:t>
            </w:r>
            <w:r>
              <w:rPr>
                <w:rFonts w:hint="eastAsia" w:ascii="仿宋" w:hAnsi="仿宋" w:eastAsia="仿宋" w:cs="仿宋"/>
                <w:sz w:val="22"/>
              </w:rPr>
              <w:t>分，没有不得分。</w:t>
            </w:r>
          </w:p>
          <w:p>
            <w:pPr>
              <w:wordWrap w:val="0"/>
              <w:spacing w:line="0" w:lineRule="atLeast"/>
              <w:ind w:firstLine="220" w:firstLineChars="100"/>
              <w:rPr>
                <w:rFonts w:ascii="仿宋" w:hAnsi="仿宋" w:eastAsia="仿宋" w:cs="仿宋"/>
                <w:sz w:val="22"/>
              </w:rPr>
            </w:pPr>
            <w:r>
              <w:rPr>
                <w:rFonts w:hint="eastAsia" w:ascii="仿宋" w:hAnsi="仿宋" w:eastAsia="仿宋" w:cs="仿宋"/>
                <w:sz w:val="22"/>
              </w:rPr>
              <w:t>（</w:t>
            </w:r>
            <w:r>
              <w:rPr>
                <w:rFonts w:hint="eastAsia" w:ascii="仿宋" w:hAnsi="仿宋" w:eastAsia="仿宋" w:cs="仿宋"/>
                <w:b/>
                <w:bCs/>
                <w:sz w:val="22"/>
              </w:rPr>
              <w:t>注：缺陷不合理或漏洞不利于项目实施，是指凭空编造、逻辑漏洞或错误、科学原理错误、虽有内容但描述不完整、编写的内容和标准与本项目采购需求和特点不相关或与要求不一致、内容简略、不满足项目采购需求等</w:t>
            </w:r>
            <w:r>
              <w:rPr>
                <w:rFonts w:hint="eastAsia" w:ascii="仿宋" w:hAnsi="仿宋" w:eastAsia="仿宋" w:cs="仿宋"/>
                <w:sz w:val="22"/>
              </w:rPr>
              <w:t>）</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5</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项目实施方案</w:t>
            </w:r>
            <w:r>
              <w:rPr>
                <w:rFonts w:hint="eastAsia" w:ascii="仿宋" w:hAnsi="仿宋" w:eastAsia="仿宋" w:cs="仿宋"/>
                <w:bCs/>
                <w:sz w:val="22"/>
                <w:lang w:val="en-US" w:eastAsia="zh-CN"/>
              </w:rPr>
              <w:t>14</w:t>
            </w:r>
            <w:r>
              <w:rPr>
                <w:rFonts w:hint="eastAsia" w:ascii="仿宋" w:hAnsi="仿宋" w:eastAsia="仿宋" w:cs="仿宋"/>
                <w:bCs/>
                <w:sz w:val="22"/>
              </w:rPr>
              <w:t>%</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hint="default" w:ascii="仿宋" w:hAnsi="仿宋" w:eastAsia="仿宋" w:cs="仿宋"/>
                <w:bCs/>
                <w:sz w:val="22"/>
                <w:lang w:val="en-US" w:eastAsia="zh-CN"/>
              </w:rPr>
            </w:pPr>
            <w:r>
              <w:rPr>
                <w:rFonts w:hint="eastAsia" w:ascii="仿宋" w:hAnsi="仿宋" w:eastAsia="仿宋" w:cs="仿宋"/>
                <w:bCs/>
                <w:sz w:val="22"/>
                <w:lang w:val="en-US" w:eastAsia="zh-CN"/>
              </w:rPr>
              <w:t>14</w:t>
            </w:r>
          </w:p>
        </w:tc>
        <w:tc>
          <w:tcPr>
            <w:tcW w:w="6581"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仿宋" w:hAnsi="仿宋" w:eastAsia="仿宋" w:cs="仿宋"/>
                <w:sz w:val="22"/>
              </w:rPr>
            </w:pPr>
            <w:r>
              <w:rPr>
                <w:rFonts w:hint="eastAsia" w:ascii="仿宋" w:hAnsi="仿宋" w:eastAsia="仿宋" w:cs="仿宋"/>
                <w:sz w:val="22"/>
              </w:rPr>
              <w:t>根据供应商针对本项目所提供的项目实施方案（至少包含①评估工作流程、②人员配置及职责分工、③评估技术服务方案（资料收集、评估依据、评估方法等）、④质量管理目标及质量保障措施、⑤项目进度计划及对应保障措施、⑥保密措施、⑦服务实施过程安全保障措施等这</w:t>
            </w:r>
            <w:r>
              <w:rPr>
                <w:rFonts w:hint="eastAsia" w:ascii="仿宋" w:hAnsi="仿宋" w:eastAsia="仿宋" w:cs="仿宋"/>
                <w:sz w:val="22"/>
                <w:lang w:val="en-US" w:eastAsia="zh-CN"/>
              </w:rPr>
              <w:t>七</w:t>
            </w:r>
            <w:r>
              <w:rPr>
                <w:rFonts w:hint="eastAsia" w:ascii="仿宋" w:hAnsi="仿宋" w:eastAsia="仿宋" w:cs="仿宋"/>
                <w:sz w:val="22"/>
              </w:rPr>
              <w:t>部分进行评审，项目实施方案详细、项目总体规划全面、评估工作流程规范、人员配置科学、职责分工合理、估技术服务方案详细、质量管理目标明确且质量保障措施可行、项目进度计划详细且对应保障措施针对性强、保密措施严格 、服务实施过程安全保障措施全面、疫情防控方案科学严格，方案各部分内容与本项目相关要求紧密结合，每有一处得</w:t>
            </w:r>
            <w:r>
              <w:rPr>
                <w:rFonts w:hint="eastAsia" w:ascii="仿宋" w:hAnsi="仿宋" w:eastAsia="仿宋" w:cs="仿宋"/>
                <w:sz w:val="22"/>
                <w:lang w:val="en-US" w:eastAsia="zh-CN"/>
              </w:rPr>
              <w:t>2</w:t>
            </w:r>
            <w:r>
              <w:rPr>
                <w:rFonts w:hint="eastAsia" w:ascii="仿宋" w:hAnsi="仿宋" w:eastAsia="仿宋" w:cs="仿宋"/>
                <w:sz w:val="22"/>
              </w:rPr>
              <w:t>分；每有一处有缺陷不合理或有漏洞不利于项目开展实施的扣</w:t>
            </w:r>
            <w:r>
              <w:rPr>
                <w:rFonts w:hint="eastAsia" w:ascii="仿宋" w:hAnsi="仿宋" w:eastAsia="仿宋" w:cs="仿宋"/>
                <w:sz w:val="22"/>
                <w:lang w:val="en-US" w:eastAsia="zh-CN"/>
              </w:rPr>
              <w:t>1</w:t>
            </w:r>
            <w:r>
              <w:rPr>
                <w:rFonts w:hint="eastAsia" w:ascii="仿宋" w:hAnsi="仿宋" w:eastAsia="仿宋" w:cs="仿宋"/>
                <w:sz w:val="22"/>
              </w:rPr>
              <w:t>分，没有不得分。</w:t>
            </w:r>
          </w:p>
          <w:p>
            <w:pPr>
              <w:wordWrap w:val="0"/>
              <w:spacing w:line="0" w:lineRule="atLeast"/>
              <w:jc w:val="left"/>
              <w:rPr>
                <w:rFonts w:ascii="仿宋" w:hAnsi="仿宋" w:eastAsia="仿宋" w:cs="仿宋"/>
                <w:b/>
                <w:bCs/>
                <w:sz w:val="22"/>
              </w:rPr>
            </w:pPr>
            <w:r>
              <w:rPr>
                <w:rFonts w:hint="eastAsia" w:ascii="仿宋" w:hAnsi="仿宋" w:eastAsia="仿宋" w:cs="仿宋"/>
                <w:sz w:val="22"/>
              </w:rPr>
              <w:t>（</w:t>
            </w:r>
            <w:r>
              <w:rPr>
                <w:rFonts w:hint="eastAsia" w:ascii="仿宋" w:hAnsi="仿宋" w:eastAsia="仿宋" w:cs="仿宋"/>
                <w:b/>
                <w:bCs/>
                <w:sz w:val="22"/>
              </w:rPr>
              <w:t>注：缺陷不合理或漏洞不利于项目实施，是指凭空编造、逻辑漏洞或错误、科学原理错误、虽有内容但描述不完整、编写的内容和标准与本项目采购需求和特点不相关或与要求不一致、内容简略、不满足项目采购需求等</w:t>
            </w:r>
            <w:r>
              <w:rPr>
                <w:rFonts w:hint="eastAsia" w:ascii="仿宋" w:hAnsi="仿宋" w:eastAsia="仿宋" w:cs="仿宋"/>
                <w:sz w:val="22"/>
              </w:rPr>
              <w:t>）</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6</w:t>
            </w:r>
          </w:p>
        </w:tc>
        <w:tc>
          <w:tcPr>
            <w:tcW w:w="1232"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后续服务方案8%</w:t>
            </w:r>
          </w:p>
        </w:tc>
        <w:tc>
          <w:tcPr>
            <w:tcW w:w="690"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bCs/>
                <w:sz w:val="22"/>
              </w:rPr>
            </w:pPr>
            <w:r>
              <w:rPr>
                <w:rFonts w:hint="eastAsia" w:ascii="仿宋" w:hAnsi="仿宋" w:eastAsia="仿宋" w:cs="仿宋"/>
                <w:bCs/>
                <w:sz w:val="22"/>
              </w:rPr>
              <w:t>8</w:t>
            </w:r>
          </w:p>
        </w:tc>
        <w:tc>
          <w:tcPr>
            <w:tcW w:w="6581" w:type="dxa"/>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仿宋" w:hAnsi="仿宋" w:eastAsia="仿宋" w:cs="仿宋"/>
                <w:sz w:val="22"/>
              </w:rPr>
            </w:pPr>
            <w:r>
              <w:rPr>
                <w:rFonts w:hint="eastAsia" w:ascii="仿宋" w:hAnsi="仿宋" w:eastAsia="仿宋" w:cs="仿宋"/>
                <w:sz w:val="22"/>
              </w:rPr>
              <w:t>根据供应商针对本项目提供的后续服务方案（至少包含①后续服务人员配置、②后续服务响应时间、③后续服务内容及保障措施、④突发情况应急处理方案等这四部分）进行评审，后续服务人员配置充足、后续服务响应时间及时、后续服务内容全面及保障措施可行、突发情况应急处理方案详细，方案各部分内容全面详细、阐述条理清晰详尽、细节明确，每有一处得2分；每有一处有缺陷不合理或有漏洞不利于项目开展实施的扣1分，没有不得分。</w:t>
            </w:r>
          </w:p>
          <w:p>
            <w:pPr>
              <w:wordWrap w:val="0"/>
              <w:spacing w:line="0" w:lineRule="atLeast"/>
              <w:ind w:firstLine="220" w:firstLineChars="100"/>
              <w:jc w:val="left"/>
              <w:rPr>
                <w:rFonts w:ascii="仿宋" w:hAnsi="仿宋" w:eastAsia="仿宋" w:cs="仿宋"/>
                <w:sz w:val="22"/>
              </w:rPr>
            </w:pPr>
            <w:r>
              <w:rPr>
                <w:rFonts w:hint="eastAsia" w:ascii="仿宋" w:hAnsi="仿宋" w:eastAsia="仿宋" w:cs="仿宋"/>
                <w:sz w:val="22"/>
              </w:rPr>
              <w:t>（</w:t>
            </w:r>
            <w:r>
              <w:rPr>
                <w:rFonts w:hint="eastAsia" w:ascii="仿宋" w:hAnsi="仿宋" w:eastAsia="仿宋" w:cs="仿宋"/>
                <w:b/>
                <w:bCs/>
                <w:sz w:val="22"/>
              </w:rPr>
              <w:t>注：缺陷不合理或漏洞不利于项目实施，是指凭空编造、逻辑漏洞或错误、科学原理错误、虽有内容但描述不完整、编写的内容和标准与本项目采购需求和特点不相关或与要求不一致、内容简略、不满足项目采购需求等</w:t>
            </w:r>
            <w:r>
              <w:rPr>
                <w:rFonts w:hint="eastAsia" w:ascii="仿宋" w:hAnsi="仿宋" w:eastAsia="仿宋" w:cs="仿宋"/>
                <w:sz w:val="22"/>
              </w:rPr>
              <w:t>）。</w:t>
            </w:r>
          </w:p>
        </w:tc>
        <w:tc>
          <w:tcPr>
            <w:tcW w:w="951" w:type="dxa"/>
            <w:tcBorders>
              <w:top w:val="single" w:color="auto" w:sz="4" w:space="0"/>
              <w:left w:val="single" w:color="auto" w:sz="4" w:space="0"/>
              <w:bottom w:val="single" w:color="auto" w:sz="4" w:space="0"/>
              <w:right w:val="single" w:color="auto" w:sz="4" w:space="0"/>
            </w:tcBorders>
            <w:vAlign w:val="center"/>
          </w:tcPr>
          <w:p>
            <w:pPr>
              <w:wordWrap w:val="0"/>
              <w:spacing w:line="0" w:lineRule="atLeast"/>
              <w:jc w:val="center"/>
              <w:rPr>
                <w:rFonts w:ascii="仿宋" w:hAnsi="仿宋" w:eastAsia="仿宋" w:cs="仿宋"/>
                <w:sz w:val="22"/>
              </w:rPr>
            </w:pPr>
            <w:r>
              <w:rPr>
                <w:rFonts w:hint="eastAsia" w:ascii="仿宋" w:hAnsi="仿宋" w:eastAsia="仿宋" w:cs="仿宋"/>
                <w:sz w:val="22"/>
              </w:rPr>
              <w:t>技术评分因素</w:t>
            </w:r>
          </w:p>
        </w:tc>
      </w:tr>
    </w:tbl>
    <w:p>
      <w:pPr>
        <w:pStyle w:val="5"/>
        <w:spacing w:line="400" w:lineRule="exact"/>
        <w:ind w:firstLine="482" w:firstLineChars="200"/>
        <w:rPr>
          <w:bCs w:val="0"/>
          <w:sz w:val="24"/>
          <w:szCs w:val="24"/>
        </w:rPr>
      </w:pPr>
      <w:bookmarkStart w:id="135" w:name="_Toc217446059"/>
      <w:r>
        <w:rPr>
          <w:rFonts w:hint="eastAsia"/>
          <w:bCs w:val="0"/>
          <w:sz w:val="24"/>
          <w:szCs w:val="24"/>
        </w:rPr>
        <w:t>五、采购活动终止</w:t>
      </w:r>
    </w:p>
    <w:bookmarkEnd w:id="135"/>
    <w:p>
      <w:pPr>
        <w:spacing w:line="480" w:lineRule="exact"/>
        <w:ind w:firstLine="480" w:firstLineChars="200"/>
        <w:rPr>
          <w:rFonts w:hAnsi="宋体"/>
          <w:b/>
          <w:sz w:val="24"/>
        </w:rPr>
      </w:pPr>
      <w:bookmarkStart w:id="136" w:name="_Toc217446060"/>
      <w:r>
        <w:rPr>
          <w:rFonts w:hint="eastAsia" w:hAnsi="宋体"/>
          <w:bCs/>
          <w:sz w:val="24"/>
        </w:rPr>
        <w:t>5.1本次采购活动</w:t>
      </w:r>
      <w:r>
        <w:rPr>
          <w:rFonts w:hAnsi="宋体"/>
          <w:bCs/>
          <w:sz w:val="24"/>
        </w:rPr>
        <w:t>出现下列情形之一的，</w:t>
      </w:r>
      <w:r>
        <w:rPr>
          <w:rFonts w:hint="eastAsia" w:hAnsi="宋体"/>
          <w:bCs/>
          <w:sz w:val="24"/>
        </w:rPr>
        <w:t>采购活动</w:t>
      </w:r>
      <w:r>
        <w:rPr>
          <w:rFonts w:hAnsi="宋体"/>
          <w:bCs/>
          <w:sz w:val="24"/>
        </w:rPr>
        <w:t>终止，重新开展采购活动：</w:t>
      </w:r>
    </w:p>
    <w:p>
      <w:pPr>
        <w:spacing w:line="400" w:lineRule="exact"/>
        <w:ind w:firstLine="480" w:firstLineChars="200"/>
        <w:rPr>
          <w:rFonts w:hAnsi="宋体"/>
          <w:sz w:val="24"/>
        </w:rPr>
      </w:pPr>
      <w:r>
        <w:rPr>
          <w:rFonts w:hint="eastAsia" w:hAnsi="宋体"/>
          <w:sz w:val="24"/>
        </w:rPr>
        <w:t>（1）参加报名的供应商不足三家的；</w:t>
      </w:r>
    </w:p>
    <w:p>
      <w:pPr>
        <w:spacing w:line="400" w:lineRule="exact"/>
        <w:ind w:firstLine="480" w:firstLineChars="200"/>
        <w:rPr>
          <w:rFonts w:hAnsi="宋体"/>
          <w:sz w:val="24"/>
        </w:rPr>
      </w:pPr>
      <w:r>
        <w:rPr>
          <w:rFonts w:hint="eastAsia" w:hAnsi="宋体"/>
          <w:sz w:val="24"/>
        </w:rPr>
        <w:t>（2）递交响应文件的供应商不足三家的；</w:t>
      </w:r>
    </w:p>
    <w:p>
      <w:pPr>
        <w:spacing w:line="400" w:lineRule="exact"/>
        <w:ind w:firstLine="480" w:firstLineChars="200"/>
        <w:rPr>
          <w:rFonts w:hAnsi="宋体"/>
          <w:sz w:val="24"/>
        </w:rPr>
      </w:pPr>
      <w:r>
        <w:rPr>
          <w:rFonts w:hint="eastAsia" w:hAnsi="宋体"/>
          <w:sz w:val="24"/>
        </w:rPr>
        <w:t>（3）通过资格审查的供应商不足三家的；</w:t>
      </w:r>
    </w:p>
    <w:p>
      <w:pPr>
        <w:spacing w:line="400" w:lineRule="exact"/>
        <w:ind w:firstLine="480" w:firstLineChars="200"/>
        <w:rPr>
          <w:rFonts w:hAnsi="宋体"/>
          <w:sz w:val="24"/>
        </w:rPr>
      </w:pPr>
      <w:r>
        <w:rPr>
          <w:rFonts w:hint="eastAsia" w:hAnsi="宋体"/>
          <w:sz w:val="24"/>
        </w:rPr>
        <w:t>（4）在采购过程中符合要求的供应商或者提交最后报价的供应商或者最后报价符合磋商文件要求的供应商不足 3 家的；</w:t>
      </w:r>
    </w:p>
    <w:p>
      <w:pPr>
        <w:spacing w:line="400" w:lineRule="exact"/>
        <w:ind w:firstLine="480" w:firstLineChars="200"/>
        <w:rPr>
          <w:rFonts w:hAnsi="宋体"/>
          <w:sz w:val="24"/>
        </w:rPr>
      </w:pPr>
      <w:r>
        <w:rPr>
          <w:rFonts w:hint="eastAsia" w:hAnsi="宋体"/>
          <w:sz w:val="24"/>
        </w:rPr>
        <w:t>（5）出现影响采购公正的违法、违规行为的；</w:t>
      </w:r>
    </w:p>
    <w:p>
      <w:pPr>
        <w:spacing w:line="400" w:lineRule="exact"/>
        <w:ind w:firstLine="480" w:firstLineChars="200"/>
        <w:rPr>
          <w:rFonts w:hAnsi="宋体"/>
          <w:sz w:val="24"/>
        </w:rPr>
      </w:pPr>
      <w:r>
        <w:rPr>
          <w:rFonts w:hint="eastAsia" w:hAnsi="宋体"/>
          <w:sz w:val="24"/>
        </w:rPr>
        <w:t>（6）因情况变化，不再符合规定的竞争性磋商采购方式适用情形的；</w:t>
      </w:r>
    </w:p>
    <w:p>
      <w:pPr>
        <w:spacing w:line="400" w:lineRule="exact"/>
        <w:ind w:firstLine="480" w:firstLineChars="200"/>
        <w:rPr>
          <w:rFonts w:hAnsi="宋体"/>
          <w:sz w:val="24"/>
        </w:rPr>
      </w:pPr>
      <w:r>
        <w:rPr>
          <w:rFonts w:hint="eastAsia" w:hAnsi="宋体"/>
          <w:sz w:val="24"/>
        </w:rPr>
        <w:t>（7）在采购活动中因重大变故，采购任务取消的。</w:t>
      </w:r>
    </w:p>
    <w:p>
      <w:pPr>
        <w:spacing w:line="400" w:lineRule="exact"/>
        <w:ind w:firstLine="480" w:firstLineChars="200"/>
        <w:rPr>
          <w:sz w:val="24"/>
        </w:rPr>
      </w:pPr>
      <w:r>
        <w:rPr>
          <w:rFonts w:hint="eastAsia"/>
          <w:sz w:val="24"/>
        </w:rPr>
        <w:t>5.2对于评审过程中废标的采购项目，磋商小组应当对磋商文件是否存在倾向性和歧视性、是否存在不合理条款进行论证，并出具书面论证意见。</w:t>
      </w:r>
    </w:p>
    <w:p>
      <w:pPr>
        <w:tabs>
          <w:tab w:val="left" w:pos="851"/>
        </w:tabs>
        <w:spacing w:line="400" w:lineRule="exact"/>
        <w:rPr>
          <w:rFonts w:hAnsi="宋体" w:cs="宋体"/>
          <w:sz w:val="24"/>
        </w:rPr>
      </w:pPr>
      <w:r>
        <w:rPr>
          <w:rFonts w:hint="eastAsia"/>
          <w:sz w:val="24"/>
        </w:rPr>
        <w:t xml:space="preserve"> </w:t>
      </w:r>
      <w:r>
        <w:rPr>
          <w:rFonts w:hint="eastAsia" w:hAnsi="宋体" w:cs="宋体"/>
          <w:sz w:val="24"/>
        </w:rPr>
        <w:t>5.3磋商纪律及注意事项</w:t>
      </w:r>
    </w:p>
    <w:p>
      <w:pPr>
        <w:tabs>
          <w:tab w:val="left" w:pos="851"/>
        </w:tabs>
        <w:spacing w:line="400" w:lineRule="exact"/>
        <w:ind w:firstLine="480" w:firstLineChars="200"/>
        <w:rPr>
          <w:rFonts w:hAnsi="宋体"/>
          <w:sz w:val="24"/>
        </w:rPr>
      </w:pPr>
      <w:r>
        <w:rPr>
          <w:rFonts w:hint="eastAsia" w:hAnsi="宋体"/>
          <w:sz w:val="24"/>
        </w:rPr>
        <w:t>5.3.1磋商小组内部讨论的情况和意见必须保密，任何人不得以任何形式透露给供应商或与供应商有关的单位或个人。</w:t>
      </w:r>
    </w:p>
    <w:p>
      <w:pPr>
        <w:tabs>
          <w:tab w:val="left" w:pos="851"/>
        </w:tabs>
        <w:spacing w:line="400" w:lineRule="exact"/>
        <w:ind w:firstLine="480" w:firstLineChars="200"/>
        <w:rPr>
          <w:rFonts w:hAnsi="宋体"/>
          <w:sz w:val="24"/>
        </w:rPr>
      </w:pPr>
      <w:r>
        <w:rPr>
          <w:rFonts w:hint="eastAsia" w:hAnsi="宋体"/>
          <w:sz w:val="24"/>
        </w:rPr>
        <w:t>5.3.2在磋商过程中，供应商不得以任何形式对磋商小组成员进行旨在影响磋商结果的私下接触，否则将取消其参与磋商的资格。</w:t>
      </w:r>
    </w:p>
    <w:p>
      <w:pPr>
        <w:tabs>
          <w:tab w:val="left" w:pos="851"/>
        </w:tabs>
        <w:spacing w:line="400" w:lineRule="exact"/>
        <w:ind w:firstLine="480" w:firstLineChars="200"/>
        <w:rPr>
          <w:rFonts w:hAnsi="宋体"/>
          <w:sz w:val="24"/>
        </w:rPr>
      </w:pPr>
      <w:r>
        <w:rPr>
          <w:rFonts w:hint="eastAsia" w:hAnsi="宋体"/>
          <w:sz w:val="24"/>
        </w:rPr>
        <w:t>5.3.3</w:t>
      </w:r>
      <w:r>
        <w:rPr>
          <w:rFonts w:hint="eastAsia"/>
          <w:sz w:val="24"/>
        </w:rPr>
        <w:t>对各供应商的商业秘密，磋商小组成员应予以保密，不得泄露给其他供应商。</w:t>
      </w:r>
    </w:p>
    <w:p>
      <w:pPr>
        <w:tabs>
          <w:tab w:val="left" w:pos="851"/>
        </w:tabs>
        <w:spacing w:line="400" w:lineRule="exact"/>
        <w:ind w:firstLine="480" w:firstLineChars="200"/>
        <w:rPr>
          <w:rFonts w:hAnsi="宋体"/>
          <w:sz w:val="24"/>
        </w:rPr>
      </w:pPr>
      <w:r>
        <w:rPr>
          <w:rFonts w:hint="eastAsia" w:hAnsi="宋体"/>
          <w:sz w:val="24"/>
        </w:rPr>
        <w:t>5.3.4 磋商小组独立评判，推荐成交候选人，并写出书面报告。</w:t>
      </w:r>
    </w:p>
    <w:p>
      <w:pPr>
        <w:ind w:firstLine="480" w:firstLineChars="200"/>
        <w:rPr>
          <w:rFonts w:hAnsi="宋体" w:cs="宋体"/>
          <w:sz w:val="24"/>
          <w:szCs w:val="32"/>
        </w:rPr>
      </w:pPr>
      <w:r>
        <w:rPr>
          <w:rFonts w:hint="eastAsia" w:hAnsi="宋体" w:cs="宋体"/>
          <w:sz w:val="24"/>
          <w:szCs w:val="32"/>
        </w:rPr>
        <w:t>5.3.5 磋商小组可根据需要对供应商进行实地考察。</w:t>
      </w:r>
    </w:p>
    <w:p>
      <w:pPr>
        <w:spacing w:line="400" w:lineRule="exact"/>
        <w:ind w:firstLine="480" w:firstLineChars="200"/>
        <w:rPr>
          <w:sz w:val="24"/>
        </w:rPr>
      </w:pPr>
    </w:p>
    <w:p>
      <w:pPr>
        <w:rPr>
          <w:b/>
          <w:bCs/>
          <w:sz w:val="24"/>
          <w:szCs w:val="32"/>
        </w:rPr>
      </w:pPr>
      <w:r>
        <w:rPr>
          <w:rFonts w:hint="eastAsia"/>
          <w:b/>
          <w:bCs/>
          <w:sz w:val="24"/>
          <w:szCs w:val="32"/>
        </w:rPr>
        <w:t>六、</w:t>
      </w:r>
      <w:bookmarkEnd w:id="136"/>
      <w:bookmarkStart w:id="137" w:name="_Toc217446061"/>
      <w:r>
        <w:rPr>
          <w:rFonts w:hint="eastAsia"/>
          <w:b/>
          <w:bCs/>
          <w:sz w:val="24"/>
          <w:szCs w:val="32"/>
        </w:rPr>
        <w:t>成交供应商的确定</w:t>
      </w:r>
    </w:p>
    <w:bookmarkEnd w:id="137"/>
    <w:p>
      <w:pPr>
        <w:spacing w:line="480" w:lineRule="exact"/>
        <w:ind w:firstLine="960" w:firstLineChars="400"/>
        <w:rPr>
          <w:rFonts w:hAnsi="宋体"/>
          <w:sz w:val="24"/>
        </w:rPr>
      </w:pPr>
      <w:r>
        <w:rPr>
          <w:rFonts w:hint="eastAsia" w:hAnsi="宋体"/>
          <w:sz w:val="24"/>
        </w:rPr>
        <w:t>成交供应商的确定详见第二章“五、磋商会议及成交事项”的22.确定成交供应商（</w:t>
      </w:r>
      <w:r>
        <w:rPr>
          <w:rFonts w:hint="eastAsia" w:hAnsi="宋体"/>
          <w:b/>
          <w:bCs/>
          <w:sz w:val="24"/>
        </w:rPr>
        <w:t>磋商采购单位不解释成交或落标原因，不退回响应文件和其他响应资料</w:t>
      </w:r>
      <w:r>
        <w:rPr>
          <w:rFonts w:hint="eastAsia" w:hAnsi="宋体"/>
          <w:sz w:val="24"/>
        </w:rPr>
        <w:t>）。</w:t>
      </w:r>
    </w:p>
    <w:p>
      <w:pPr>
        <w:spacing w:line="400" w:lineRule="exact"/>
        <w:ind w:firstLine="480" w:firstLineChars="200"/>
        <w:rPr>
          <w:sz w:val="24"/>
        </w:rPr>
      </w:pPr>
    </w:p>
    <w:bookmarkEnd w:id="134"/>
    <w:p>
      <w:pPr>
        <w:pStyle w:val="4"/>
        <w:spacing w:line="400" w:lineRule="exact"/>
        <w:ind w:firstLine="482" w:firstLineChars="200"/>
        <w:rPr>
          <w:rFonts w:ascii="黑体"/>
          <w:bCs w:val="0"/>
          <w:sz w:val="24"/>
          <w:szCs w:val="24"/>
        </w:rPr>
      </w:pPr>
      <w:r>
        <w:rPr>
          <w:rFonts w:hint="eastAsia" w:ascii="黑体"/>
          <w:bCs w:val="0"/>
          <w:sz w:val="24"/>
          <w:szCs w:val="24"/>
        </w:rPr>
        <w:t>七、</w:t>
      </w:r>
      <w:r>
        <w:rPr>
          <w:rFonts w:hint="eastAsia" w:ascii="黑体"/>
          <w:sz w:val="24"/>
          <w:szCs w:val="24"/>
        </w:rPr>
        <w:t>磋商小组在</w:t>
      </w:r>
      <w:r>
        <w:rPr>
          <w:rFonts w:hint="eastAsia" w:ascii="黑体"/>
          <w:sz w:val="24"/>
        </w:rPr>
        <w:t>采购活动</w:t>
      </w:r>
      <w:r>
        <w:rPr>
          <w:rFonts w:hint="eastAsia" w:ascii="黑体"/>
          <w:sz w:val="24"/>
          <w:szCs w:val="24"/>
        </w:rPr>
        <w:t>中承担以下义务：</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1、 遵纪守法，客观、公正、廉洁地履行职责。</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2、 参照采购法律法规和采购文件的规定要求对供应商的资格条件和供应商提供的产品价格、技术、服务等方面严格进行评判，提供科学合理、公平公正的评审意见，参与起草评审报告，并予签字确认。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3、保守秘密。不得透露采购文件咨询情况，不得泄漏供应商的响应文件及知悉的商业秘密，不得向供应商透露评审情况。</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4、发现供应商在采购活动中有不正当竞争或恶意串通等违规行为，及时向采购评审工作的组织者报告并加以制止。</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发现采购人及其工作人员在采购活动中有干预评审、发表倾向性和歧视性言论、受贿或者接受供应商的其他好处及其他违法违规行为，及时向财政部门报告。</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5、解答有关方面对采购评审工作中有关问题的询问，配合采购人答复供应商询问，配合财政部门的投诉处理工作等事宜。</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6、法律、法规和规章规定的其他义务。</w:t>
      </w:r>
    </w:p>
    <w:p>
      <w:pPr>
        <w:widowControl/>
        <w:autoSpaceDE w:val="0"/>
        <w:autoSpaceDN w:val="0"/>
        <w:spacing w:line="480" w:lineRule="exact"/>
        <w:ind w:right="53" w:firstLine="482" w:firstLineChars="200"/>
        <w:textAlignment w:val="bottom"/>
        <w:rPr>
          <w:rFonts w:hAnsi="宋体"/>
          <w:b/>
          <w:sz w:val="24"/>
        </w:rPr>
      </w:pPr>
      <w:bookmarkStart w:id="138" w:name="_Toc9914"/>
      <w:r>
        <w:rPr>
          <w:rFonts w:hint="eastAsia" w:hAnsi="宋体"/>
          <w:b/>
          <w:sz w:val="24"/>
        </w:rPr>
        <w:t>八、磋商小组在采购活动中应当遵守以下工作纪律：</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1、应邀按时参加评审和咨询活动。遇特殊情况不能出席或途中遇阻不能按时参加评审或咨询的，应及时告知财政部门或者采购人，不得私自转托他人。</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2、不得参加与自己有利害关系的采购项目的评审活动。对与自己有利害关系的评审项目，如受到邀请，应主动提出回避。财政部门、采购人或采购单位也可要求该评审专家回避。</w:t>
      </w:r>
    </w:p>
    <w:p>
      <w:pPr>
        <w:spacing w:line="480" w:lineRule="exact"/>
        <w:ind w:firstLine="360" w:firstLineChars="150"/>
        <w:rPr>
          <w:rFonts w:hAnsi="宋体"/>
          <w:sz w:val="24"/>
        </w:rPr>
      </w:pPr>
      <w:r>
        <w:rPr>
          <w:rFonts w:hAnsi="宋体"/>
          <w:sz w:val="24"/>
        </w:rPr>
        <w:t>有利害关系主要</w:t>
      </w:r>
      <w:r>
        <w:rPr>
          <w:rFonts w:hint="eastAsia" w:hAnsi="宋体"/>
          <w:sz w:val="24"/>
        </w:rPr>
        <w:t>体现为：参加采购活动前3年内与供应商存在劳动关系；参加采购活动前3年内担任供应商的董事、监事；参加采购活动前3年内是供应商的控股股东或者实际控制人；与供应商的法定代表人或者负责人有夫妻、直系血亲、三代以内旁系血亲或者近姻亲关系；与供应商有其他可能影响采购活动公平、公正进行的关系。</w:t>
      </w:r>
    </w:p>
    <w:p>
      <w:pPr>
        <w:spacing w:line="480" w:lineRule="exact"/>
        <w:ind w:firstLine="480" w:firstLineChars="200"/>
        <w:rPr>
          <w:rFonts w:hAnsi="宋体"/>
          <w:sz w:val="24"/>
        </w:rPr>
      </w:pPr>
      <w:r>
        <w:rPr>
          <w:rFonts w:hint="eastAsia" w:hAnsi="宋体"/>
          <w:sz w:val="24"/>
        </w:rPr>
        <w:t>磋商采购活动中参加磋商文件咨询、论证或者编制的，除采购人代表以外，不得参加该采购项目的评审活动。</w:t>
      </w:r>
    </w:p>
    <w:p>
      <w:pPr>
        <w:spacing w:line="480" w:lineRule="exact"/>
        <w:ind w:firstLine="480" w:firstLineChars="200"/>
        <w:rPr>
          <w:rFonts w:hAnsi="宋体"/>
          <w:sz w:val="24"/>
        </w:rPr>
      </w:pPr>
      <w:r>
        <w:rPr>
          <w:rFonts w:hint="eastAsia" w:hAnsi="宋体"/>
          <w:sz w:val="24"/>
        </w:rPr>
        <w:t>3、评审前，应当将通讯工具或者相关电子设备交由采购单位统一保管。</w:t>
      </w:r>
    </w:p>
    <w:p>
      <w:pPr>
        <w:spacing w:line="480" w:lineRule="exact"/>
        <w:ind w:firstLine="480" w:firstLineChars="200"/>
        <w:rPr>
          <w:rFonts w:hAnsi="宋体"/>
          <w:sz w:val="24"/>
        </w:rPr>
      </w:pPr>
      <w:r>
        <w:rPr>
          <w:rFonts w:hint="eastAsia" w:hAnsi="宋体"/>
          <w:sz w:val="24"/>
        </w:rPr>
        <w:t>4、评审过程中，不得与外界联系，因发生不可预见情况，确实需要与外界联系的，应当在监督人员监督之下办理。</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5、 评审过程中，不得发表影响评审公正的倾向性、歧视性言论，不得征询或者接受采购人的倾向性意见，不得明示或暗示供应商在澄清时表达与其响应文件原义不同的意见，不得以采购文件没有规定的评审方法和标准作为评审的依据，不得修改或者细化评审程序、评审方法、评审因素和评审标准，不得对需要专业判断的主观评分因素协商评分，不得违反规定的评审格式评分和撰写评审意见，不得拒绝对自己的评审意见签字确认。</w:t>
      </w:r>
    </w:p>
    <w:p>
      <w:pPr>
        <w:spacing w:line="480" w:lineRule="exact"/>
        <w:ind w:firstLine="480" w:firstLineChars="200"/>
        <w:rPr>
          <w:rFonts w:hAnsi="宋体"/>
          <w:sz w:val="24"/>
        </w:rPr>
      </w:pPr>
      <w:r>
        <w:rPr>
          <w:rFonts w:hint="eastAsia" w:hAnsi="宋体"/>
          <w:sz w:val="24"/>
        </w:rPr>
        <w:t>6、在评审过程中和评审结束后，不得记录、复制或带走任何评审资料，不得向外界透露评审内容。</w:t>
      </w:r>
    </w:p>
    <w:p>
      <w:pPr>
        <w:spacing w:line="480" w:lineRule="exact"/>
        <w:ind w:firstLine="480" w:firstLineChars="200"/>
        <w:rPr>
          <w:rFonts w:hAnsi="宋体"/>
          <w:sz w:val="24"/>
        </w:rPr>
      </w:pPr>
      <w:r>
        <w:rPr>
          <w:rFonts w:hint="eastAsia" w:hAnsi="宋体"/>
          <w:sz w:val="24"/>
        </w:rPr>
        <w:t>7、评审现场服从采购执行机构工作人员的管理，接受现场监督人员的合法监督。</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8、在咨询工作中，严格执行国家产业政策和产品标准，认真听取咨询方的合理要求，提出科学合理的、无倾向性和歧视性的咨询方案，并对所提出的意见和建议承担个人责任。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480" w:lineRule="exact"/>
        <w:ind w:right="53" w:firstLine="480" w:firstLineChars="200"/>
        <w:textAlignment w:val="bottom"/>
        <w:rPr>
          <w:rFonts w:hAnsi="宋体"/>
          <w:sz w:val="24"/>
        </w:rPr>
      </w:pPr>
      <w:r>
        <w:rPr>
          <w:rFonts w:hint="eastAsia" w:hAnsi="宋体"/>
          <w:sz w:val="24"/>
        </w:rPr>
        <w:t>9、有关部门（机构）制定的其他评审工作纪律。</w:t>
      </w:r>
    </w:p>
    <w:p>
      <w:pPr>
        <w:adjustRightInd w:val="0"/>
        <w:spacing w:line="480" w:lineRule="exact"/>
        <w:ind w:firstLine="512" w:firstLineChars="200"/>
        <w:rPr>
          <w:rFonts w:hAnsi="宋体"/>
          <w:bCs/>
          <w:spacing w:val="8"/>
          <w:sz w:val="24"/>
        </w:rPr>
      </w:pPr>
      <w:r>
        <w:rPr>
          <w:rFonts w:hint="eastAsia" w:hAnsi="宋体"/>
          <w:bCs/>
          <w:spacing w:val="8"/>
          <w:sz w:val="24"/>
        </w:rPr>
        <w:t>评委若违反纪律，将由相关监督部门进行处理。</w:t>
      </w:r>
    </w:p>
    <w:p>
      <w:pPr>
        <w:pStyle w:val="2"/>
      </w:pPr>
    </w:p>
    <w:p>
      <w:pPr>
        <w:adjustRightInd w:val="0"/>
        <w:spacing w:line="480" w:lineRule="exact"/>
        <w:ind w:firstLine="514" w:firstLineChars="200"/>
        <w:rPr>
          <w:rFonts w:hAnsi="宋体"/>
          <w:bCs/>
          <w:spacing w:val="8"/>
          <w:sz w:val="24"/>
        </w:rPr>
      </w:pPr>
      <w:r>
        <w:rPr>
          <w:rFonts w:hint="eastAsia" w:hAnsi="宋体"/>
          <w:b/>
          <w:spacing w:val="8"/>
          <w:sz w:val="24"/>
        </w:rPr>
        <w:t>九、磋商小组成员有下列行为之一的，其评审意见无效，并不得获取评审劳务报酬和报销异地评审差旅费：</w:t>
      </w:r>
    </w:p>
    <w:p>
      <w:pPr>
        <w:adjustRightInd w:val="0"/>
        <w:spacing w:line="480" w:lineRule="exact"/>
        <w:ind w:firstLine="512" w:firstLineChars="200"/>
        <w:rPr>
          <w:rFonts w:hAnsi="宋体"/>
          <w:bCs/>
          <w:spacing w:val="8"/>
          <w:sz w:val="24"/>
        </w:rPr>
      </w:pPr>
      <w:r>
        <w:rPr>
          <w:rFonts w:hint="eastAsia" w:hAnsi="宋体"/>
          <w:bCs/>
          <w:spacing w:val="8"/>
          <w:sz w:val="24"/>
        </w:rPr>
        <w:t>（1）确定参与评审至评审结束前私自接触竞磋人；</w:t>
      </w:r>
    </w:p>
    <w:p>
      <w:pPr>
        <w:adjustRightInd w:val="0"/>
        <w:spacing w:line="480" w:lineRule="exact"/>
        <w:ind w:firstLine="512" w:firstLineChars="200"/>
        <w:rPr>
          <w:rFonts w:hAnsi="宋体"/>
          <w:bCs/>
          <w:spacing w:val="8"/>
          <w:sz w:val="24"/>
        </w:rPr>
      </w:pPr>
      <w:r>
        <w:rPr>
          <w:rFonts w:hint="eastAsia" w:hAnsi="宋体"/>
          <w:bCs/>
          <w:spacing w:val="8"/>
          <w:sz w:val="24"/>
        </w:rPr>
        <w:t>（2）接受竞磋人提出的与响应文件不一致的澄清或者说明，对响应文件中含义不明确、同类问题表述不一致或者有明显文字和计算错误的情形除外；</w:t>
      </w:r>
    </w:p>
    <w:p>
      <w:pPr>
        <w:adjustRightInd w:val="0"/>
        <w:spacing w:line="480" w:lineRule="exact"/>
        <w:ind w:firstLine="512" w:firstLineChars="200"/>
        <w:rPr>
          <w:rFonts w:hAnsi="宋体"/>
          <w:bCs/>
          <w:spacing w:val="8"/>
          <w:sz w:val="24"/>
        </w:rPr>
      </w:pPr>
      <w:r>
        <w:rPr>
          <w:rFonts w:hint="eastAsia" w:hAnsi="宋体"/>
          <w:bCs/>
          <w:spacing w:val="8"/>
          <w:sz w:val="24"/>
        </w:rPr>
        <w:t>（3）违反评标纪律发表倾向性意见或者征询采购人的倾向性意见；</w:t>
      </w:r>
    </w:p>
    <w:p>
      <w:pPr>
        <w:adjustRightInd w:val="0"/>
        <w:spacing w:line="480" w:lineRule="exact"/>
        <w:ind w:firstLine="512" w:firstLineChars="200"/>
        <w:rPr>
          <w:rFonts w:hAnsi="宋体"/>
          <w:bCs/>
          <w:spacing w:val="8"/>
          <w:sz w:val="24"/>
        </w:rPr>
      </w:pPr>
      <w:r>
        <w:rPr>
          <w:rFonts w:hint="eastAsia" w:hAnsi="宋体"/>
          <w:bCs/>
          <w:spacing w:val="8"/>
          <w:sz w:val="24"/>
        </w:rPr>
        <w:t>（4）对需要专业判断的主观评审因素协商评分；</w:t>
      </w:r>
    </w:p>
    <w:p>
      <w:pPr>
        <w:adjustRightInd w:val="0"/>
        <w:spacing w:line="480" w:lineRule="exact"/>
        <w:ind w:firstLine="512" w:firstLineChars="200"/>
        <w:rPr>
          <w:sz w:val="36"/>
          <w:szCs w:val="36"/>
        </w:rPr>
      </w:pPr>
      <w:r>
        <w:rPr>
          <w:rFonts w:hint="eastAsia" w:hAnsi="宋体"/>
          <w:bCs/>
          <w:spacing w:val="8"/>
          <w:sz w:val="24"/>
        </w:rPr>
        <w:t>（5）在评审过程中擅离职守，影响评审程序正常进行的。</w:t>
      </w:r>
      <w:bookmarkEnd w:id="138"/>
      <w:bookmarkStart w:id="139" w:name="_Toc7276"/>
      <w:bookmarkStart w:id="140" w:name="_Toc21998"/>
      <w:bookmarkStart w:id="141" w:name="_Toc15936"/>
    </w:p>
    <w:bookmarkEnd w:id="139"/>
    <w:bookmarkEnd w:id="140"/>
    <w:bookmarkEnd w:id="141"/>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pStyle w:val="3"/>
        <w:spacing w:line="400" w:lineRule="exact"/>
        <w:jc w:val="center"/>
        <w:rPr>
          <w:sz w:val="36"/>
          <w:szCs w:val="36"/>
        </w:rPr>
      </w:pPr>
      <w:r>
        <w:rPr>
          <w:rFonts w:hint="eastAsia"/>
          <w:sz w:val="36"/>
          <w:szCs w:val="36"/>
        </w:rPr>
        <w:t>第九章  合同主要条款（样例）</w:t>
      </w:r>
    </w:p>
    <w:p>
      <w:pPr>
        <w:spacing w:line="440" w:lineRule="exact"/>
        <w:jc w:val="center"/>
        <w:rPr>
          <w:rFonts w:hAnsi="宋体"/>
          <w:sz w:val="24"/>
        </w:rPr>
      </w:pPr>
      <w:r>
        <w:rPr>
          <w:rFonts w:hint="eastAsia" w:hAnsi="宋体"/>
          <w:sz w:val="24"/>
        </w:rPr>
        <w:t>（样例，视项目情况调整，招投标文件为合同的有效组成部分）</w:t>
      </w:r>
    </w:p>
    <w:p>
      <w:pPr>
        <w:spacing w:line="400" w:lineRule="exact"/>
        <w:ind w:firstLine="480" w:firstLineChars="200"/>
        <w:rPr>
          <w:rFonts w:cs="宋体"/>
          <w:sz w:val="24"/>
        </w:rPr>
      </w:pPr>
    </w:p>
    <w:p>
      <w:pPr>
        <w:spacing w:line="400" w:lineRule="exact"/>
        <w:ind w:firstLine="482" w:firstLineChars="200"/>
        <w:rPr>
          <w:rFonts w:cs="宋体"/>
          <w:b/>
          <w:bCs/>
          <w:sz w:val="24"/>
        </w:rPr>
      </w:pPr>
    </w:p>
    <w:p>
      <w:pPr>
        <w:spacing w:line="400" w:lineRule="exact"/>
        <w:ind w:firstLine="482" w:firstLineChars="200"/>
        <w:rPr>
          <w:rFonts w:cs="宋体"/>
          <w:b/>
          <w:bCs/>
          <w:sz w:val="24"/>
        </w:rPr>
      </w:pPr>
    </w:p>
    <w:p>
      <w:pPr>
        <w:spacing w:line="400" w:lineRule="exact"/>
        <w:ind w:firstLine="482" w:firstLineChars="200"/>
        <w:rPr>
          <w:rFonts w:cs="宋体"/>
          <w:b/>
          <w:bCs/>
          <w:sz w:val="24"/>
        </w:rPr>
      </w:pPr>
      <w:r>
        <w:rPr>
          <w:rFonts w:hint="eastAsia" w:cs="宋体"/>
          <w:b/>
          <w:bCs/>
          <w:sz w:val="24"/>
        </w:rPr>
        <w:t>合同编号：XXXX。</w:t>
      </w:r>
    </w:p>
    <w:p>
      <w:pPr>
        <w:spacing w:line="400" w:lineRule="exact"/>
        <w:ind w:firstLine="480" w:firstLineChars="200"/>
        <w:rPr>
          <w:rFonts w:cs="宋体"/>
          <w:sz w:val="24"/>
        </w:rPr>
      </w:pPr>
      <w:r>
        <w:rPr>
          <w:rFonts w:hint="eastAsia" w:cs="宋体"/>
          <w:sz w:val="24"/>
        </w:rPr>
        <w:t>签订地点：XXXX。</w:t>
      </w:r>
    </w:p>
    <w:p>
      <w:pPr>
        <w:spacing w:line="400" w:lineRule="exact"/>
        <w:ind w:firstLine="480" w:firstLineChars="200"/>
        <w:rPr>
          <w:sz w:val="20"/>
          <w:szCs w:val="18"/>
        </w:rPr>
      </w:pPr>
      <w:r>
        <w:rPr>
          <w:rFonts w:hint="eastAsia" w:cs="宋体"/>
          <w:sz w:val="24"/>
        </w:rPr>
        <w:t>签订时间：XXXX年XX月XX日</w:t>
      </w:r>
      <w:r>
        <w:rPr>
          <w:rFonts w:hint="eastAsia"/>
          <w:sz w:val="20"/>
          <w:szCs w:val="18"/>
        </w:rPr>
        <w:t>。</w:t>
      </w:r>
    </w:p>
    <w:p>
      <w:pPr>
        <w:spacing w:line="360" w:lineRule="auto"/>
        <w:ind w:firstLine="480" w:firstLineChars="200"/>
        <w:rPr>
          <w:sz w:val="24"/>
        </w:rPr>
      </w:pPr>
      <w:r>
        <w:rPr>
          <w:rFonts w:hint="eastAsia"/>
          <w:sz w:val="24"/>
        </w:rPr>
        <w:t xml:space="preserve">采购人（甲方）：                              </w:t>
      </w:r>
    </w:p>
    <w:p>
      <w:pPr>
        <w:spacing w:line="360" w:lineRule="auto"/>
        <w:ind w:firstLine="480" w:firstLineChars="200"/>
        <w:rPr>
          <w:sz w:val="24"/>
        </w:rPr>
      </w:pPr>
      <w:r>
        <w:rPr>
          <w:rFonts w:hint="eastAsia"/>
          <w:sz w:val="24"/>
        </w:rPr>
        <w:t>供应商（乙</w:t>
      </w:r>
      <w:r>
        <w:rPr>
          <w:sz w:val="24"/>
        </w:rPr>
        <w:t>方</w:t>
      </w:r>
      <w:r>
        <w:rPr>
          <w:rFonts w:hint="eastAsia"/>
          <w:sz w:val="24"/>
        </w:rPr>
        <w:t>）</w:t>
      </w:r>
      <w:r>
        <w:rPr>
          <w:sz w:val="24"/>
        </w:rPr>
        <w:t xml:space="preserve">：                              </w:t>
      </w:r>
      <w:r>
        <w:t xml:space="preserve"> </w:t>
      </w:r>
      <w:r>
        <w:rPr>
          <w:rFonts w:hint="eastAsia"/>
        </w:rPr>
        <w:t xml:space="preserve">                                    </w:t>
      </w:r>
      <w:r>
        <w:t xml:space="preserve">  </w:t>
      </w:r>
    </w:p>
    <w:p>
      <w:pPr>
        <w:spacing w:line="400" w:lineRule="exact"/>
        <w:rPr>
          <w:sz w:val="24"/>
        </w:rPr>
      </w:pPr>
    </w:p>
    <w:p>
      <w:pPr>
        <w:spacing w:line="360" w:lineRule="auto"/>
        <w:ind w:firstLine="480" w:firstLineChars="200"/>
        <w:rPr>
          <w:rFonts w:hAnsi="宋体"/>
          <w:sz w:val="24"/>
        </w:rPr>
      </w:pPr>
      <w:r>
        <w:rPr>
          <w:rFonts w:hAnsi="宋体"/>
          <w:sz w:val="24"/>
        </w:rPr>
        <w:t>依据《中华人民共和国</w:t>
      </w:r>
      <w:r>
        <w:rPr>
          <w:rFonts w:hint="eastAsia" w:hAnsi="宋体"/>
          <w:sz w:val="24"/>
        </w:rPr>
        <w:t>民法典</w:t>
      </w:r>
      <w:r>
        <w:rPr>
          <w:rFonts w:hAnsi="宋体"/>
          <w:sz w:val="24"/>
        </w:rPr>
        <w:t>》</w:t>
      </w:r>
      <w:r>
        <w:rPr>
          <w:rFonts w:hint="eastAsia" w:hAnsi="宋体"/>
          <w:sz w:val="24"/>
        </w:rPr>
        <w:t>与项目行业有关的法律法规，以及</w:t>
      </w:r>
      <w:r>
        <w:rPr>
          <w:rFonts w:hint="eastAsia"/>
          <w:sz w:val="24"/>
        </w:rPr>
        <w:t>XXXX</w:t>
      </w:r>
      <w:r>
        <w:rPr>
          <w:rFonts w:hint="eastAsia" w:hAnsi="宋体"/>
          <w:sz w:val="24"/>
        </w:rPr>
        <w:t>项目（项目编号：</w:t>
      </w:r>
      <w:r>
        <w:rPr>
          <w:rFonts w:hint="eastAsia"/>
          <w:sz w:val="24"/>
        </w:rPr>
        <w:t>XXXX</w:t>
      </w:r>
      <w:r>
        <w:rPr>
          <w:rFonts w:hint="eastAsia" w:hAnsi="宋体"/>
          <w:sz w:val="24"/>
        </w:rPr>
        <w:t>）</w:t>
      </w:r>
      <w:r>
        <w:rPr>
          <w:rFonts w:hAnsi="宋体"/>
          <w:sz w:val="24"/>
        </w:rPr>
        <w:t>的</w:t>
      </w:r>
      <w:r>
        <w:rPr>
          <w:rFonts w:hint="eastAsia" w:hAnsi="宋体"/>
          <w:sz w:val="24"/>
        </w:rPr>
        <w:t>《磋商文件》</w:t>
      </w:r>
      <w:r>
        <w:rPr>
          <w:rFonts w:hAnsi="宋体"/>
          <w:sz w:val="24"/>
        </w:rPr>
        <w:t>，</w:t>
      </w:r>
      <w:r>
        <w:rPr>
          <w:rFonts w:hint="eastAsia" w:hAnsi="宋体"/>
          <w:sz w:val="24"/>
        </w:rPr>
        <w:t>乙方的《响应文件》及《成交通知书》，甲、乙双方同意签订本合同。详细技术说明及其他有关合同项目的特定信息由合同附件予以说明，合同附件及本项目的《磋商文件》、《响应文件》、《成交通知书》等均为本合同的组成部分。</w:t>
      </w:r>
      <w:r>
        <w:rPr>
          <w:rFonts w:hAnsi="宋体"/>
          <w:sz w:val="24"/>
        </w:rPr>
        <w:t xml:space="preserve"> </w:t>
      </w:r>
    </w:p>
    <w:p>
      <w:pPr>
        <w:numPr>
          <w:ilvl w:val="0"/>
          <w:numId w:val="12"/>
        </w:numPr>
        <w:spacing w:line="360" w:lineRule="auto"/>
        <w:rPr>
          <w:rFonts w:hAnsi="宋体"/>
          <w:b/>
          <w:sz w:val="24"/>
        </w:rPr>
      </w:pPr>
      <w:r>
        <w:rPr>
          <w:rFonts w:hint="eastAsia" w:hAnsi="宋体"/>
          <w:b/>
          <w:sz w:val="24"/>
        </w:rPr>
        <w:t>项目基本情况</w:t>
      </w:r>
    </w:p>
    <w:p>
      <w:pPr>
        <w:numPr>
          <w:ilvl w:val="0"/>
          <w:numId w:val="12"/>
        </w:numPr>
        <w:spacing w:line="360" w:lineRule="auto"/>
        <w:rPr>
          <w:rFonts w:hAnsi="宋体"/>
          <w:b/>
          <w:sz w:val="24"/>
        </w:rPr>
      </w:pPr>
      <w:r>
        <w:rPr>
          <w:rFonts w:hint="eastAsia" w:hAnsi="宋体"/>
          <w:b/>
          <w:sz w:val="24"/>
        </w:rPr>
        <w:t>合同期限</w:t>
      </w:r>
    </w:p>
    <w:p>
      <w:pPr>
        <w:numPr>
          <w:ilvl w:val="0"/>
          <w:numId w:val="12"/>
        </w:numPr>
        <w:spacing w:line="360" w:lineRule="auto"/>
        <w:rPr>
          <w:rFonts w:hAnsi="宋体"/>
          <w:b/>
          <w:sz w:val="24"/>
        </w:rPr>
      </w:pPr>
      <w:bookmarkStart w:id="142" w:name="_Toc211911348"/>
      <w:bookmarkStart w:id="143" w:name="_Toc239568418"/>
      <w:bookmarkStart w:id="144" w:name="_Toc238984975"/>
      <w:bookmarkStart w:id="145" w:name="_Toc225654644"/>
      <w:bookmarkStart w:id="146" w:name="_Toc212019594"/>
      <w:bookmarkStart w:id="147" w:name="_Toc283019214"/>
      <w:bookmarkStart w:id="148" w:name="_Toc251768862"/>
      <w:bookmarkStart w:id="149" w:name="_Toc282696226"/>
      <w:bookmarkStart w:id="150" w:name="_Toc232492928"/>
      <w:bookmarkStart w:id="151" w:name="_Toc211854449"/>
      <w:bookmarkStart w:id="152" w:name="_Toc185395249"/>
      <w:bookmarkStart w:id="153" w:name="_Toc239233914"/>
      <w:bookmarkStart w:id="154" w:name="_Toc225244852"/>
      <w:bookmarkStart w:id="155" w:name="_Toc247334841"/>
      <w:bookmarkStart w:id="156" w:name="_Toc286993786"/>
      <w:bookmarkStart w:id="157" w:name="_Toc241833903"/>
      <w:bookmarkStart w:id="158" w:name="_Toc225670751"/>
      <w:bookmarkStart w:id="159" w:name="_Toc237145406"/>
      <w:r>
        <w:rPr>
          <w:rFonts w:hint="eastAsia" w:hAnsi="宋体"/>
          <w:b/>
          <w:sz w:val="24"/>
        </w:rPr>
        <w:t>服务内容与质量标准</w:t>
      </w:r>
    </w:p>
    <w:p>
      <w:pPr>
        <w:spacing w:line="360" w:lineRule="auto"/>
        <w:ind w:left="567"/>
        <w:rPr>
          <w:rFonts w:hAnsi="宋体"/>
          <w:sz w:val="24"/>
        </w:rPr>
      </w:pPr>
      <w:r>
        <w:rPr>
          <w:rFonts w:hint="eastAsia" w:hAnsi="宋体"/>
          <w:sz w:val="24"/>
        </w:rPr>
        <w:t>1．</w:t>
      </w:r>
      <w:r>
        <w:rPr>
          <w:rFonts w:hint="eastAsia"/>
          <w:sz w:val="24"/>
        </w:rPr>
        <w:t>XXXX；</w:t>
      </w:r>
    </w:p>
    <w:p>
      <w:pPr>
        <w:spacing w:line="360" w:lineRule="auto"/>
        <w:ind w:left="567"/>
        <w:rPr>
          <w:rFonts w:hAnsi="宋体"/>
          <w:sz w:val="24"/>
        </w:rPr>
      </w:pPr>
      <w:r>
        <w:rPr>
          <w:rFonts w:hint="eastAsia" w:hAnsi="宋体"/>
          <w:sz w:val="24"/>
        </w:rPr>
        <w:t>2．</w:t>
      </w:r>
      <w:r>
        <w:rPr>
          <w:rFonts w:hint="eastAsia"/>
          <w:sz w:val="24"/>
        </w:rPr>
        <w:t>XXXX；</w:t>
      </w:r>
    </w:p>
    <w:p>
      <w:pPr>
        <w:spacing w:line="360" w:lineRule="auto"/>
        <w:ind w:firstLine="630"/>
        <w:rPr>
          <w:rFonts w:hAnsi="宋体"/>
          <w:sz w:val="24"/>
        </w:rPr>
      </w:pPr>
      <w:r>
        <w:rPr>
          <w:rFonts w:hAnsi="宋体"/>
          <w:sz w:val="24"/>
        </w:rPr>
        <w:t>…</w:t>
      </w:r>
    </w:p>
    <w:p>
      <w:pPr>
        <w:numPr>
          <w:ilvl w:val="0"/>
          <w:numId w:val="12"/>
        </w:numPr>
        <w:spacing w:line="360" w:lineRule="auto"/>
        <w:rPr>
          <w:rFonts w:hAnsi="宋体"/>
          <w:b/>
          <w:sz w:val="24"/>
        </w:rPr>
      </w:pPr>
      <w:r>
        <w:rPr>
          <w:rFonts w:hint="eastAsia" w:hAnsi="宋体"/>
          <w:b/>
          <w:sz w:val="24"/>
        </w:rPr>
        <w:t>项目费用及支付方式</w:t>
      </w:r>
    </w:p>
    <w:p>
      <w:pPr>
        <w:numPr>
          <w:ilvl w:val="0"/>
          <w:numId w:val="13"/>
        </w:numPr>
        <w:spacing w:line="360" w:lineRule="auto"/>
        <w:ind w:left="0" w:firstLine="567"/>
        <w:rPr>
          <w:rFonts w:hAnsi="宋体"/>
          <w:b/>
          <w:sz w:val="24"/>
        </w:rPr>
      </w:pPr>
      <w:r>
        <w:rPr>
          <w:rFonts w:hint="eastAsia" w:hAnsi="宋体"/>
          <w:b/>
          <w:sz w:val="24"/>
        </w:rPr>
        <w:t>本项目费用由以下组成：</w:t>
      </w:r>
    </w:p>
    <w:p>
      <w:pPr>
        <w:spacing w:line="360" w:lineRule="auto"/>
        <w:ind w:firstLine="480" w:firstLineChars="200"/>
        <w:rPr>
          <w:rFonts w:hAnsi="宋体"/>
          <w:sz w:val="24"/>
        </w:rPr>
      </w:pPr>
      <w:r>
        <w:rPr>
          <w:rFonts w:hint="eastAsia" w:hAnsi="宋体"/>
          <w:sz w:val="24"/>
        </w:rPr>
        <w:t>1．</w:t>
      </w:r>
      <w:r>
        <w:rPr>
          <w:rFonts w:hint="eastAsia"/>
          <w:sz w:val="24"/>
        </w:rPr>
        <w:t>XX</w:t>
      </w:r>
      <w:r>
        <w:rPr>
          <w:rFonts w:hint="eastAsia" w:hAnsi="宋体"/>
          <w:sz w:val="24"/>
        </w:rPr>
        <w:t>万元；</w:t>
      </w:r>
    </w:p>
    <w:p>
      <w:pPr>
        <w:spacing w:line="480" w:lineRule="exact"/>
        <w:ind w:firstLine="480" w:firstLineChars="200"/>
        <w:rPr>
          <w:rFonts w:hAnsi="宋体"/>
          <w:sz w:val="24"/>
        </w:rPr>
      </w:pPr>
      <w:r>
        <w:rPr>
          <w:rFonts w:hint="eastAsia" w:hAnsi="宋体"/>
          <w:sz w:val="24"/>
        </w:rPr>
        <w:t>2．</w:t>
      </w:r>
      <w:r>
        <w:rPr>
          <w:rFonts w:hint="eastAsia"/>
          <w:sz w:val="24"/>
        </w:rPr>
        <w:t>XX</w:t>
      </w:r>
      <w:r>
        <w:rPr>
          <w:rFonts w:hint="eastAsia" w:hAnsi="宋体"/>
          <w:sz w:val="24"/>
        </w:rPr>
        <w:t>万元；</w:t>
      </w:r>
    </w:p>
    <w:p>
      <w:pPr>
        <w:spacing w:line="480" w:lineRule="exact"/>
        <w:ind w:firstLine="480" w:firstLineChars="200"/>
        <w:rPr>
          <w:rFonts w:hAnsi="宋体"/>
          <w:sz w:val="24"/>
        </w:rPr>
      </w:pPr>
      <w:r>
        <w:rPr>
          <w:rFonts w:hAnsi="宋体"/>
          <w:sz w:val="24"/>
        </w:rPr>
        <w:t>……</w:t>
      </w:r>
    </w:p>
    <w:p>
      <w:pPr>
        <w:spacing w:line="480" w:lineRule="exact"/>
        <w:ind w:firstLine="482" w:firstLineChars="200"/>
        <w:rPr>
          <w:rFonts w:hAnsi="宋体"/>
          <w:sz w:val="24"/>
        </w:rPr>
      </w:pPr>
      <w:r>
        <w:rPr>
          <w:rFonts w:hint="eastAsia" w:hAnsi="宋体"/>
          <w:b/>
          <w:sz w:val="24"/>
        </w:rPr>
        <w:t>（二）项目验收办法</w:t>
      </w:r>
    </w:p>
    <w:p>
      <w:pPr>
        <w:spacing w:line="480" w:lineRule="exact"/>
        <w:ind w:firstLine="360" w:firstLineChars="150"/>
        <w:rPr>
          <w:sz w:val="24"/>
        </w:rPr>
      </w:pPr>
      <w:r>
        <w:rPr>
          <w:rFonts w:hint="eastAsia"/>
          <w:sz w:val="24"/>
        </w:rPr>
        <w:t>乙方与甲方可参照《财政部关于进一步加强政府采购需求和履约验收管理的指导意见》财库（2016）205号的要求进行验收。</w:t>
      </w:r>
    </w:p>
    <w:p>
      <w:pPr>
        <w:spacing w:line="480" w:lineRule="exact"/>
        <w:ind w:firstLine="472" w:firstLineChars="196"/>
        <w:rPr>
          <w:rFonts w:hAnsi="宋体"/>
          <w:b/>
          <w:sz w:val="24"/>
        </w:rPr>
      </w:pPr>
      <w:r>
        <w:rPr>
          <w:rFonts w:hint="eastAsia" w:hAnsi="宋体"/>
          <w:b/>
          <w:sz w:val="24"/>
        </w:rPr>
        <w:t xml:space="preserve">（三）资金支付方式： </w:t>
      </w:r>
    </w:p>
    <w:p>
      <w:pPr>
        <w:numPr>
          <w:ilvl w:val="0"/>
          <w:numId w:val="12"/>
        </w:numPr>
        <w:spacing w:line="480" w:lineRule="exact"/>
        <w:rPr>
          <w:rFonts w:hAnsi="宋体"/>
          <w:b/>
          <w:sz w:val="24"/>
        </w:rPr>
      </w:pPr>
      <w:r>
        <w:rPr>
          <w:rFonts w:hint="eastAsia" w:hAnsi="宋体"/>
          <w:b/>
          <w:sz w:val="24"/>
        </w:rPr>
        <w:t>知识产权</w:t>
      </w:r>
    </w:p>
    <w:p>
      <w:pPr>
        <w:tabs>
          <w:tab w:val="left" w:pos="1440"/>
        </w:tabs>
        <w:spacing w:line="480" w:lineRule="exact"/>
        <w:ind w:firstLine="480" w:firstLineChars="200"/>
        <w:rPr>
          <w:rFonts w:hAnsi="宋体"/>
          <w:sz w:val="24"/>
        </w:rPr>
      </w:pPr>
      <w:r>
        <w:rPr>
          <w:rFonts w:hint="eastAsia" w:hAnsi="宋体"/>
          <w:sz w:val="24"/>
        </w:rPr>
        <w:t>乙方应保证所提供的服务或其任何一部分均不会侵犯任何第三方的专利权、商标权或著作权等知识产权。</w:t>
      </w:r>
    </w:p>
    <w:p>
      <w:pPr>
        <w:numPr>
          <w:ilvl w:val="0"/>
          <w:numId w:val="12"/>
        </w:numPr>
        <w:spacing w:line="360" w:lineRule="auto"/>
        <w:rPr>
          <w:rFonts w:hAnsi="宋体"/>
          <w:b/>
          <w:sz w:val="24"/>
        </w:rPr>
      </w:pPr>
      <w:r>
        <w:rPr>
          <w:rFonts w:hint="eastAsia" w:hAnsi="宋体"/>
          <w:b/>
          <w:sz w:val="24"/>
        </w:rPr>
        <w:t>无产权瑕疵条款</w:t>
      </w:r>
    </w:p>
    <w:p>
      <w:pPr>
        <w:tabs>
          <w:tab w:val="left" w:pos="1440"/>
        </w:tabs>
        <w:spacing w:line="360" w:lineRule="auto"/>
        <w:ind w:firstLine="480" w:firstLineChars="200"/>
        <w:rPr>
          <w:rFonts w:hAnsi="宋体"/>
          <w:sz w:val="24"/>
        </w:rPr>
      </w:pPr>
      <w:r>
        <w:rPr>
          <w:rFonts w:hint="eastAsia" w:hAnsi="宋体"/>
          <w:sz w:val="24"/>
        </w:rPr>
        <w:t>乙方保证所提供的服务的所有权完全属于乙方且无任何抵押、查封等产权瑕疵。如有产权瑕疵的，视为乙方违约。乙方应负担由此而产生的一切损失。</w:t>
      </w:r>
    </w:p>
    <w:p>
      <w:pPr>
        <w:numPr>
          <w:ilvl w:val="0"/>
          <w:numId w:val="12"/>
        </w:numPr>
        <w:spacing w:line="360" w:lineRule="auto"/>
        <w:rPr>
          <w:rFonts w:hAnsi="宋体"/>
          <w:b/>
          <w:sz w:val="24"/>
        </w:rPr>
      </w:pPr>
      <w:r>
        <w:rPr>
          <w:rFonts w:hint="eastAsia"/>
          <w:b/>
          <w:sz w:val="24"/>
        </w:rPr>
        <w:t>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1．乙方交纳人民币</w:t>
      </w:r>
      <w:r>
        <w:rPr>
          <w:rFonts w:hint="eastAsia"/>
          <w:sz w:val="24"/>
        </w:rPr>
        <w:t>XX</w:t>
      </w:r>
      <w:r>
        <w:rPr>
          <w:rFonts w:hint="eastAsia" w:hAnsi="宋体"/>
          <w:bCs/>
          <w:sz w:val="24"/>
        </w:rPr>
        <w:t>元作为本合同的履约保证金。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2．履约保证金可作为违约金的一部分及用于补偿甲方因乙方不能履行合同义务而蒙受的损失。</w:t>
      </w:r>
    </w:p>
    <w:p>
      <w:pPr>
        <w:numPr>
          <w:ilvl w:val="0"/>
          <w:numId w:val="12"/>
        </w:numPr>
        <w:spacing w:line="360" w:lineRule="auto"/>
        <w:rPr>
          <w:rFonts w:hAnsi="宋体"/>
          <w:b/>
          <w:sz w:val="24"/>
        </w:rPr>
      </w:pPr>
      <w:r>
        <w:rPr>
          <w:rFonts w:hAnsi="宋体"/>
          <w:b/>
          <w:sz w:val="24"/>
        </w:rPr>
        <w:t>甲方的权利和义务</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甲方有权对合同规定范围内</w:t>
      </w:r>
      <w:r>
        <w:rPr>
          <w:rFonts w:hint="eastAsia" w:hAnsi="宋体"/>
          <w:bCs/>
          <w:sz w:val="24"/>
        </w:rPr>
        <w:t>乙方的服务行为</w:t>
      </w:r>
      <w:r>
        <w:rPr>
          <w:rFonts w:hAnsi="宋体"/>
          <w:bCs/>
          <w:sz w:val="24"/>
        </w:rPr>
        <w:t>进行监督和检查，拥有监管权。有权定期核对乙方提供服务所配备的人员数量。对甲方认为不合理的部分有权</w:t>
      </w:r>
      <w:r>
        <w:rPr>
          <w:rFonts w:hint="eastAsia" w:hAnsi="宋体"/>
          <w:bCs/>
          <w:sz w:val="24"/>
        </w:rPr>
        <w:t>下达整改通知书，并</w:t>
      </w:r>
      <w:r>
        <w:rPr>
          <w:rFonts w:hAnsi="宋体"/>
          <w:bCs/>
          <w:sz w:val="24"/>
        </w:rPr>
        <w:t>要求乙方</w:t>
      </w:r>
      <w:r>
        <w:rPr>
          <w:rFonts w:hint="eastAsia" w:hAnsi="宋体"/>
          <w:bCs/>
          <w:sz w:val="24"/>
        </w:rPr>
        <w:t>限期整改</w:t>
      </w:r>
      <w:r>
        <w:rPr>
          <w:rFonts w:hAnsi="宋体"/>
          <w:bCs/>
          <w:sz w:val="24"/>
        </w:rPr>
        <w:t>。</w:t>
      </w:r>
    </w:p>
    <w:p>
      <w:pPr>
        <w:adjustRightInd w:val="0"/>
        <w:spacing w:line="360" w:lineRule="auto"/>
        <w:ind w:firstLine="480" w:firstLineChars="200"/>
        <w:jc w:val="left"/>
        <w:textAlignment w:val="baseline"/>
        <w:rPr>
          <w:rFonts w:hAnsi="宋体"/>
          <w:bCs/>
          <w:sz w:val="24"/>
        </w:rPr>
      </w:pPr>
      <w:r>
        <w:rPr>
          <w:rFonts w:hint="eastAsia"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Ansi="宋体"/>
          <w:bCs/>
          <w:sz w:val="24"/>
        </w:rPr>
      </w:pPr>
      <w:r>
        <w:rPr>
          <w:rFonts w:hint="eastAsia" w:hAnsi="宋体"/>
          <w:bCs/>
          <w:sz w:val="24"/>
        </w:rPr>
        <w:t>3．</w:t>
      </w:r>
      <w:r>
        <w:rPr>
          <w:rFonts w:hAnsi="宋体"/>
          <w:bCs/>
          <w:sz w:val="24"/>
        </w:rPr>
        <w:t>负责检查监督乙方管理工作的实施及制度的执行情况。</w:t>
      </w:r>
    </w:p>
    <w:p>
      <w:pPr>
        <w:adjustRightInd w:val="0"/>
        <w:spacing w:line="360" w:lineRule="auto"/>
        <w:ind w:firstLine="480" w:firstLineChars="200"/>
        <w:jc w:val="left"/>
        <w:textAlignment w:val="baseline"/>
        <w:rPr>
          <w:rFonts w:hAnsi="宋体"/>
          <w:bCs/>
          <w:sz w:val="24"/>
        </w:rPr>
      </w:pPr>
      <w:r>
        <w:rPr>
          <w:rFonts w:hint="eastAsia" w:hAnsi="宋体"/>
          <w:bCs/>
          <w:sz w:val="24"/>
        </w:rPr>
        <w:t>4．</w:t>
      </w:r>
      <w:r>
        <w:rPr>
          <w:rFonts w:hAnsi="宋体"/>
          <w:bCs/>
          <w:sz w:val="24"/>
        </w:rPr>
        <w:t>根据本合同规定，按时向乙方支付应付</w:t>
      </w:r>
      <w:r>
        <w:rPr>
          <w:rFonts w:hint="eastAsia" w:hAnsi="宋体"/>
          <w:bCs/>
          <w:sz w:val="24"/>
        </w:rPr>
        <w:t>服务费用</w:t>
      </w:r>
      <w:r>
        <w:rPr>
          <w:rFonts w:hAnsi="宋体"/>
          <w:bCs/>
          <w:sz w:val="24"/>
        </w:rPr>
        <w:t>。</w:t>
      </w:r>
    </w:p>
    <w:p>
      <w:pPr>
        <w:adjustRightInd w:val="0"/>
        <w:spacing w:line="360" w:lineRule="auto"/>
        <w:ind w:firstLine="480" w:firstLineChars="200"/>
        <w:jc w:val="left"/>
        <w:textAlignment w:val="baseline"/>
        <w:rPr>
          <w:rFonts w:hAnsi="宋体"/>
          <w:bCs/>
          <w:sz w:val="24"/>
        </w:rPr>
      </w:pPr>
      <w:r>
        <w:rPr>
          <w:rFonts w:hint="eastAsia" w:hAnsi="宋体"/>
          <w:bCs/>
          <w:sz w:val="24"/>
        </w:rPr>
        <w:t>5．</w:t>
      </w:r>
      <w:r>
        <w:rPr>
          <w:rFonts w:hAnsi="宋体"/>
          <w:bCs/>
          <w:sz w:val="24"/>
        </w:rPr>
        <w:t>国家法律、法规所规定由甲方承担的其它责任。</w:t>
      </w:r>
    </w:p>
    <w:p>
      <w:pPr>
        <w:numPr>
          <w:ilvl w:val="0"/>
          <w:numId w:val="12"/>
        </w:numPr>
        <w:spacing w:line="360" w:lineRule="auto"/>
        <w:rPr>
          <w:rFonts w:hAnsi="宋体"/>
          <w:b/>
          <w:sz w:val="24"/>
        </w:rPr>
      </w:pPr>
      <w:r>
        <w:rPr>
          <w:rFonts w:hAnsi="宋体"/>
          <w:b/>
          <w:sz w:val="24"/>
        </w:rPr>
        <w:t>乙方的权利和义务</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对本合同规定的委托</w:t>
      </w:r>
      <w:r>
        <w:rPr>
          <w:rFonts w:hint="eastAsia" w:hAnsi="宋体"/>
          <w:bCs/>
          <w:sz w:val="24"/>
        </w:rPr>
        <w:t>服务</w:t>
      </w:r>
      <w:r>
        <w:rPr>
          <w:rFonts w:hAnsi="宋体"/>
          <w:bCs/>
          <w:sz w:val="24"/>
        </w:rPr>
        <w:t>范围内的</w:t>
      </w:r>
      <w:r>
        <w:rPr>
          <w:rFonts w:hint="eastAsia" w:hAnsi="宋体"/>
          <w:bCs/>
          <w:sz w:val="24"/>
        </w:rPr>
        <w:t>未移交甲方项目</w:t>
      </w:r>
      <w:r>
        <w:rPr>
          <w:rFonts w:hAnsi="宋体"/>
          <w:bCs/>
          <w:sz w:val="24"/>
        </w:rPr>
        <w:t>享有管理权及服务义务。</w:t>
      </w:r>
    </w:p>
    <w:p>
      <w:pPr>
        <w:adjustRightInd w:val="0"/>
        <w:spacing w:line="360" w:lineRule="auto"/>
        <w:ind w:firstLine="480" w:firstLineChars="200"/>
        <w:jc w:val="left"/>
        <w:textAlignment w:val="baseline"/>
        <w:rPr>
          <w:rFonts w:hAnsi="宋体"/>
          <w:bCs/>
          <w:sz w:val="24"/>
        </w:rPr>
      </w:pPr>
      <w:r>
        <w:rPr>
          <w:rFonts w:hint="eastAsia" w:hAnsi="宋体"/>
          <w:bCs/>
          <w:sz w:val="24"/>
        </w:rPr>
        <w:t>2．</w:t>
      </w:r>
      <w:r>
        <w:rPr>
          <w:rFonts w:hAnsi="宋体"/>
          <w:bCs/>
          <w:sz w:val="24"/>
        </w:rPr>
        <w:t>根据本合同的规定向甲方收取相关</w:t>
      </w:r>
      <w:r>
        <w:rPr>
          <w:rFonts w:hint="eastAsia" w:hAnsi="宋体"/>
          <w:bCs/>
          <w:sz w:val="24"/>
        </w:rPr>
        <w:t>服务</w:t>
      </w:r>
      <w:r>
        <w:rPr>
          <w:rFonts w:hAnsi="宋体"/>
          <w:bCs/>
          <w:sz w:val="24"/>
        </w:rPr>
        <w:t>费用，并有权</w:t>
      </w:r>
      <w:r>
        <w:rPr>
          <w:rFonts w:hint="eastAsia" w:hAnsi="宋体"/>
          <w:bCs/>
          <w:sz w:val="24"/>
        </w:rPr>
        <w:t>按本合同约定在本项目管理范围内</w:t>
      </w:r>
      <w:r>
        <w:rPr>
          <w:rFonts w:hAnsi="宋体"/>
          <w:bCs/>
          <w:sz w:val="24"/>
        </w:rPr>
        <w:t>管理及合理使用。</w:t>
      </w:r>
    </w:p>
    <w:p>
      <w:pPr>
        <w:adjustRightInd w:val="0"/>
        <w:spacing w:line="360" w:lineRule="auto"/>
        <w:ind w:firstLine="480" w:firstLineChars="200"/>
        <w:jc w:val="left"/>
        <w:textAlignment w:val="baseline"/>
        <w:rPr>
          <w:rFonts w:hAnsi="宋体"/>
          <w:sz w:val="24"/>
        </w:rPr>
      </w:pPr>
      <w:r>
        <w:rPr>
          <w:rFonts w:hint="eastAsia"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hAnsi="宋体"/>
          <w:bCs/>
          <w:sz w:val="24"/>
        </w:rPr>
      </w:pPr>
      <w:r>
        <w:rPr>
          <w:rFonts w:hint="eastAsia" w:hAnsi="宋体"/>
          <w:sz w:val="24"/>
        </w:rPr>
        <w:t>4．</w:t>
      </w:r>
      <w:r>
        <w:rPr>
          <w:rFonts w:hAnsi="宋体"/>
          <w:bCs/>
          <w:sz w:val="24"/>
        </w:rPr>
        <w:t>接受</w:t>
      </w:r>
      <w:r>
        <w:rPr>
          <w:rFonts w:hint="eastAsia" w:hAnsi="宋体"/>
          <w:bCs/>
          <w:sz w:val="24"/>
        </w:rPr>
        <w:t>项目行</w:t>
      </w:r>
      <w:r>
        <w:rPr>
          <w:rFonts w:hAnsi="宋体"/>
          <w:bCs/>
          <w:sz w:val="24"/>
        </w:rPr>
        <w:t>业管理部门及政府有关部门的指导，接受甲方的监督。</w:t>
      </w:r>
    </w:p>
    <w:p>
      <w:pPr>
        <w:adjustRightInd w:val="0"/>
        <w:spacing w:line="360" w:lineRule="auto"/>
        <w:ind w:firstLine="480" w:firstLineChars="200"/>
        <w:jc w:val="left"/>
        <w:textAlignment w:val="baseline"/>
        <w:rPr>
          <w:rFonts w:hAnsi="宋体"/>
          <w:bCs/>
          <w:sz w:val="24"/>
        </w:rPr>
      </w:pPr>
      <w:r>
        <w:rPr>
          <w:rFonts w:hint="eastAsia" w:hAnsi="宋体"/>
          <w:bCs/>
          <w:sz w:val="24"/>
        </w:rPr>
        <w:t>5．</w:t>
      </w:r>
      <w:r>
        <w:rPr>
          <w:rFonts w:hAnsi="宋体"/>
          <w:bCs/>
          <w:sz w:val="24"/>
        </w:rPr>
        <w:t>国家法律、法规所规定由乙方承担的其它责任。</w:t>
      </w:r>
    </w:p>
    <w:p>
      <w:pPr>
        <w:numPr>
          <w:ilvl w:val="0"/>
          <w:numId w:val="12"/>
        </w:numPr>
        <w:spacing w:line="360" w:lineRule="auto"/>
        <w:rPr>
          <w:rFonts w:hAnsi="宋体"/>
          <w:b/>
          <w:sz w:val="24"/>
        </w:rPr>
      </w:pPr>
      <w:r>
        <w:rPr>
          <w:rFonts w:hAnsi="宋体"/>
          <w:b/>
          <w:sz w:val="24"/>
        </w:rPr>
        <w:t>违约责任</w:t>
      </w:r>
    </w:p>
    <w:p>
      <w:pPr>
        <w:adjustRightInd w:val="0"/>
        <w:spacing w:line="360" w:lineRule="auto"/>
        <w:ind w:firstLine="480" w:firstLineChars="200"/>
        <w:jc w:val="left"/>
        <w:textAlignment w:val="baseline"/>
        <w:rPr>
          <w:rFonts w:hAnsi="宋体"/>
          <w:bCs/>
          <w:sz w:val="24"/>
        </w:rPr>
      </w:pPr>
      <w:r>
        <w:rPr>
          <w:rFonts w:hint="eastAsia" w:hAnsi="宋体"/>
          <w:bCs/>
          <w:sz w:val="24"/>
        </w:rPr>
        <w:t>1．</w:t>
      </w:r>
      <w:r>
        <w:rPr>
          <w:rFonts w:hAnsi="宋体"/>
          <w:bCs/>
          <w:sz w:val="24"/>
        </w:rPr>
        <w:t>甲乙双方必须遵守本合同并执行合同中的各项规定，保证</w:t>
      </w:r>
      <w:r>
        <w:rPr>
          <w:rFonts w:hint="eastAsia" w:hAnsi="宋体"/>
          <w:bCs/>
          <w:sz w:val="24"/>
        </w:rPr>
        <w:t>本</w:t>
      </w:r>
      <w:r>
        <w:rPr>
          <w:rFonts w:hAnsi="宋体"/>
          <w:bCs/>
          <w:sz w:val="24"/>
        </w:rPr>
        <w:t>合同的正常</w:t>
      </w:r>
      <w:r>
        <w:rPr>
          <w:rFonts w:hint="eastAsia" w:hAnsi="宋体"/>
          <w:bCs/>
          <w:sz w:val="24"/>
        </w:rPr>
        <w:t>履行</w:t>
      </w:r>
      <w:r>
        <w:rPr>
          <w:rFonts w:hAnsi="宋体"/>
          <w:bCs/>
          <w:sz w:val="24"/>
        </w:rPr>
        <w:t>。</w:t>
      </w:r>
    </w:p>
    <w:p>
      <w:pPr>
        <w:adjustRightInd w:val="0"/>
        <w:spacing w:line="360" w:lineRule="auto"/>
        <w:ind w:firstLine="480" w:firstLineChars="200"/>
        <w:jc w:val="left"/>
        <w:textAlignment w:val="baseline"/>
        <w:rPr>
          <w:rFonts w:hAnsi="宋体"/>
          <w:bCs/>
          <w:sz w:val="24"/>
        </w:rPr>
      </w:pPr>
      <w:r>
        <w:rPr>
          <w:rFonts w:hint="eastAsia" w:hAnsi="宋体"/>
          <w:bCs/>
          <w:sz w:val="24"/>
        </w:rPr>
        <w:t>2．</w:t>
      </w:r>
      <w:r>
        <w:rPr>
          <w:rFonts w:hAnsi="宋体"/>
          <w:bCs/>
          <w:sz w:val="24"/>
        </w:rPr>
        <w:t>如因乙方</w:t>
      </w:r>
      <w:r>
        <w:rPr>
          <w:rFonts w:hint="eastAsia" w:hAnsi="宋体"/>
          <w:bCs/>
          <w:sz w:val="24"/>
        </w:rPr>
        <w:t>工作人员在履行职务过程中的</w:t>
      </w:r>
      <w:r>
        <w:rPr>
          <w:rFonts w:hAnsi="宋体"/>
          <w:bCs/>
          <w:sz w:val="24"/>
        </w:rPr>
        <w:t>的疏忽、失职、过错等</w:t>
      </w:r>
      <w:r>
        <w:rPr>
          <w:rFonts w:hint="eastAsia" w:hAnsi="宋体"/>
          <w:bCs/>
          <w:sz w:val="24"/>
        </w:rPr>
        <w:t>故意或者过失</w:t>
      </w:r>
      <w:r>
        <w:rPr>
          <w:rFonts w:hAnsi="宋体"/>
          <w:bCs/>
          <w:sz w:val="24"/>
        </w:rPr>
        <w:t>原因给甲方造成损失或侵害，</w:t>
      </w:r>
      <w:r>
        <w:rPr>
          <w:rFonts w:hint="eastAsia" w:hAnsi="宋体"/>
          <w:bCs/>
          <w:sz w:val="24"/>
        </w:rPr>
        <w:t>包括但不限于甲方本身的财产损失、由此而导致的甲方对任何第三方的法律责任等，乙方对此均应承担全部的赔偿责任</w:t>
      </w:r>
      <w:r>
        <w:rPr>
          <w:rFonts w:hAnsi="宋体"/>
          <w:bCs/>
          <w:sz w:val="24"/>
        </w:rPr>
        <w:t>。</w:t>
      </w:r>
    </w:p>
    <w:p>
      <w:pPr>
        <w:numPr>
          <w:ilvl w:val="0"/>
          <w:numId w:val="12"/>
        </w:numPr>
        <w:spacing w:line="360" w:lineRule="auto"/>
        <w:rPr>
          <w:rFonts w:hAnsi="宋体"/>
          <w:b/>
          <w:sz w:val="24"/>
        </w:rPr>
      </w:pPr>
      <w:r>
        <w:rPr>
          <w:rFonts w:hint="eastAsia" w:hAnsi="宋体"/>
          <w:b/>
          <w:sz w:val="24"/>
        </w:rPr>
        <w:t>不可抗力事件处理</w:t>
      </w:r>
    </w:p>
    <w:p>
      <w:pPr>
        <w:tabs>
          <w:tab w:val="left" w:pos="0"/>
        </w:tabs>
        <w:spacing w:line="360" w:lineRule="auto"/>
        <w:ind w:firstLine="480" w:firstLineChars="200"/>
        <w:rPr>
          <w:rFonts w:hAnsi="宋体"/>
          <w:sz w:val="24"/>
        </w:rPr>
      </w:pPr>
      <w:r>
        <w:rPr>
          <w:rFonts w:hint="eastAsia"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Ansi="宋体"/>
          <w:sz w:val="24"/>
        </w:rPr>
      </w:pPr>
      <w:r>
        <w:rPr>
          <w:rFonts w:hint="eastAsia" w:hAnsi="宋体"/>
          <w:sz w:val="24"/>
        </w:rPr>
        <w:t>2．不可抗力事件发生后，应立即通知对方，并寄送有关权威机构出具的证明。</w:t>
      </w:r>
    </w:p>
    <w:p>
      <w:pPr>
        <w:tabs>
          <w:tab w:val="left" w:pos="0"/>
        </w:tabs>
        <w:spacing w:line="360" w:lineRule="auto"/>
        <w:ind w:firstLine="480" w:firstLineChars="200"/>
        <w:rPr>
          <w:rFonts w:hAnsi="宋体"/>
          <w:sz w:val="24"/>
        </w:rPr>
      </w:pPr>
      <w:r>
        <w:rPr>
          <w:rFonts w:hint="eastAsia" w:hAnsi="宋体"/>
          <w:sz w:val="24"/>
        </w:rPr>
        <w:t>3．不可抗力事件延续</w:t>
      </w:r>
      <w:r>
        <w:rPr>
          <w:rFonts w:hint="eastAsia"/>
          <w:sz w:val="24"/>
        </w:rPr>
        <w:t>XX</w:t>
      </w:r>
      <w:r>
        <w:rPr>
          <w:rFonts w:hint="eastAsia" w:hAnsi="宋体"/>
          <w:sz w:val="24"/>
        </w:rPr>
        <w:t>天以上，双方应通过友好协商，确定是否继续履行合同。</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Pr>
        <w:numPr>
          <w:ilvl w:val="0"/>
          <w:numId w:val="12"/>
        </w:numPr>
        <w:spacing w:line="360" w:lineRule="auto"/>
        <w:rPr>
          <w:rFonts w:hAnsi="宋体"/>
          <w:b/>
          <w:sz w:val="24"/>
        </w:rPr>
      </w:pPr>
      <w:bookmarkStart w:id="160" w:name="_Toc211854454"/>
      <w:bookmarkStart w:id="161" w:name="_Toc211911353"/>
      <w:bookmarkStart w:id="162" w:name="_Toc247334846"/>
      <w:bookmarkStart w:id="163" w:name="_Toc239233919"/>
      <w:bookmarkStart w:id="164" w:name="_Toc225244857"/>
      <w:bookmarkStart w:id="165" w:name="_Toc185395254"/>
      <w:bookmarkStart w:id="166" w:name="_Toc237145411"/>
      <w:bookmarkStart w:id="167" w:name="_Toc286993792"/>
      <w:bookmarkStart w:id="168" w:name="_Toc238984980"/>
      <w:bookmarkStart w:id="169" w:name="_Toc239568423"/>
      <w:bookmarkStart w:id="170" w:name="_Toc241833908"/>
      <w:bookmarkStart w:id="171" w:name="_Toc225654649"/>
      <w:bookmarkStart w:id="172" w:name="_Toc251768867"/>
      <w:bookmarkStart w:id="173" w:name="_Toc225670756"/>
      <w:bookmarkStart w:id="174" w:name="_Toc212019599"/>
      <w:bookmarkStart w:id="175" w:name="_Toc232492933"/>
      <w:r>
        <w:rPr>
          <w:rFonts w:hint="eastAsia" w:hAnsi="宋体"/>
          <w:b/>
          <w:sz w:val="24"/>
        </w:rPr>
        <w:t>解</w:t>
      </w:r>
      <w:r>
        <w:rPr>
          <w:rFonts w:hAnsi="宋体"/>
          <w:b/>
          <w:sz w:val="24"/>
        </w:rPr>
        <w:t>决合同纠纷的方式</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85"/>
        <w:ind w:firstLine="480"/>
        <w:rPr>
          <w:rFonts w:hAnsi="宋体"/>
        </w:rPr>
      </w:pPr>
      <w:r>
        <w:rPr>
          <w:rFonts w:hint="eastAsia" w:hAnsi="宋体"/>
        </w:rPr>
        <w:t>本合同发生争议，各方协商解决，协商不成的，应向绵阳仲裁委员会申请仲裁。按照申请仲裁时该会现行有效的仲裁规则进行仲裁。仲裁裁决是终局的，对双方均有约束力。</w:t>
      </w:r>
    </w:p>
    <w:p>
      <w:pPr>
        <w:pStyle w:val="85"/>
        <w:ind w:firstLine="480"/>
        <w:rPr>
          <w:rFonts w:hAnsi="宋体"/>
        </w:rPr>
      </w:pPr>
      <w:r>
        <w:rPr>
          <w:rFonts w:hint="eastAsia" w:hAnsi="宋体"/>
        </w:rPr>
        <w:t>本合同确认各方送达地址为：</w:t>
      </w:r>
    </w:p>
    <w:p>
      <w:pPr>
        <w:pStyle w:val="85"/>
        <w:ind w:firstLine="480"/>
        <w:rPr>
          <w:rFonts w:hAnsi="宋体"/>
        </w:rPr>
      </w:pPr>
      <w:r>
        <w:rPr>
          <w:rFonts w:hint="eastAsia" w:hAnsi="宋体"/>
        </w:rPr>
        <w:t>甲方：   联系人：    联系电话：    联系地址：           联系邮箱：</w:t>
      </w:r>
    </w:p>
    <w:p>
      <w:pPr>
        <w:pStyle w:val="85"/>
        <w:ind w:firstLine="480"/>
        <w:rPr>
          <w:rFonts w:hAnsi="宋体"/>
        </w:rPr>
      </w:pPr>
      <w:r>
        <w:rPr>
          <w:rFonts w:hint="eastAsia" w:hAnsi="宋体"/>
        </w:rPr>
        <w:t>乙方：   联系人：    联系电话：    联系地址：           联系邮箱：</w:t>
      </w:r>
    </w:p>
    <w:p>
      <w:pPr>
        <w:pStyle w:val="85"/>
        <w:ind w:firstLine="480"/>
        <w:rPr>
          <w:rFonts w:hAnsi="宋体"/>
        </w:rPr>
      </w:pPr>
      <w:r>
        <w:rPr>
          <w:rFonts w:hint="eastAsia" w:hAnsi="宋体"/>
        </w:rPr>
        <w:t>本条约定的送达地址、邮件邮箱为各方认可的送达文书、诉讼/仲裁文书地址，合同当事人、法院、绵阳仲裁委员会按上述地址的邮寄送达、邮件发送均视为合法有效的送达，一方变更地址或邮箱，应当在变更后三日内书面通知各合同对方，否则依上述地址邮寄送达、邮件发送仍视为合法有效。</w:t>
      </w:r>
    </w:p>
    <w:p>
      <w:pPr>
        <w:numPr>
          <w:ilvl w:val="0"/>
          <w:numId w:val="12"/>
        </w:numPr>
        <w:spacing w:line="360" w:lineRule="auto"/>
        <w:rPr>
          <w:rFonts w:hAnsi="宋体"/>
          <w:b/>
          <w:sz w:val="24"/>
        </w:rPr>
      </w:pPr>
      <w:bookmarkStart w:id="176" w:name="_Toc286993793"/>
      <w:bookmarkStart w:id="177" w:name="_Toc211854455"/>
      <w:bookmarkStart w:id="178" w:name="_Toc232492934"/>
      <w:bookmarkStart w:id="179" w:name="_Toc241833909"/>
      <w:bookmarkStart w:id="180" w:name="_Toc225670757"/>
      <w:bookmarkStart w:id="181" w:name="_Toc283019219"/>
      <w:bookmarkStart w:id="182" w:name="_Toc211911354"/>
      <w:bookmarkStart w:id="183" w:name="_Toc237145412"/>
      <w:bookmarkStart w:id="184" w:name="_Toc225654650"/>
      <w:bookmarkStart w:id="185" w:name="_Toc239233920"/>
      <w:bookmarkStart w:id="186" w:name="_Toc251768868"/>
      <w:bookmarkStart w:id="187" w:name="_Toc247334847"/>
      <w:bookmarkStart w:id="188" w:name="_Toc238984981"/>
      <w:bookmarkStart w:id="189" w:name="_Toc212019600"/>
      <w:bookmarkStart w:id="190" w:name="_Toc282696231"/>
      <w:bookmarkStart w:id="191" w:name="_Toc225244858"/>
      <w:bookmarkStart w:id="192" w:name="_Toc239568424"/>
      <w:bookmarkStart w:id="193" w:name="_Toc185395255"/>
      <w:r>
        <w:rPr>
          <w:rFonts w:hAnsi="宋体"/>
          <w:b/>
          <w:sz w:val="24"/>
        </w:rPr>
        <w:t>合同</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hint="eastAsia" w:hAnsi="宋体"/>
          <w:b/>
          <w:sz w:val="24"/>
        </w:rPr>
        <w:t>生效及其他</w:t>
      </w:r>
    </w:p>
    <w:p>
      <w:pPr>
        <w:pStyle w:val="70"/>
        <w:spacing w:line="360" w:lineRule="auto"/>
        <w:ind w:firstLine="480"/>
        <w:rPr>
          <w:rFonts w:hAnsi="宋体"/>
          <w:sz w:val="24"/>
          <w:szCs w:val="24"/>
        </w:rPr>
      </w:pPr>
      <w:r>
        <w:rPr>
          <w:rFonts w:hint="eastAsia" w:hAnsi="宋体"/>
          <w:sz w:val="24"/>
          <w:szCs w:val="24"/>
        </w:rPr>
        <w:t>1．合同经双方法定代表人或授权委托代理人签字并加盖单位公章后生效。</w:t>
      </w:r>
    </w:p>
    <w:p>
      <w:pPr>
        <w:pStyle w:val="70"/>
        <w:spacing w:line="360" w:lineRule="auto"/>
        <w:ind w:firstLine="480"/>
        <w:rPr>
          <w:rFonts w:hAnsi="宋体"/>
          <w:sz w:val="24"/>
          <w:szCs w:val="24"/>
        </w:rPr>
      </w:pPr>
      <w:r>
        <w:rPr>
          <w:rFonts w:hint="eastAsia" w:hAnsi="宋体"/>
          <w:sz w:val="24"/>
          <w:szCs w:val="24"/>
        </w:rPr>
        <w:t>2．本合同一式</w:t>
      </w:r>
      <w:r>
        <w:rPr>
          <w:rFonts w:hint="eastAsia"/>
          <w:sz w:val="24"/>
          <w:szCs w:val="24"/>
        </w:rPr>
        <w:t>XX</w:t>
      </w:r>
      <w:r>
        <w:rPr>
          <w:rFonts w:hint="eastAsia" w:hAnsi="宋体"/>
          <w:sz w:val="24"/>
          <w:szCs w:val="24"/>
        </w:rPr>
        <w:t>份，自双方签章之日起起效。甲方</w:t>
      </w:r>
      <w:r>
        <w:rPr>
          <w:rFonts w:hint="eastAsia"/>
          <w:sz w:val="24"/>
          <w:szCs w:val="24"/>
        </w:rPr>
        <w:t>XX</w:t>
      </w:r>
      <w:r>
        <w:rPr>
          <w:rFonts w:hint="eastAsia" w:hAnsi="宋体"/>
          <w:sz w:val="24"/>
          <w:szCs w:val="24"/>
        </w:rPr>
        <w:t>份，乙方</w:t>
      </w:r>
      <w:r>
        <w:rPr>
          <w:rFonts w:hint="eastAsia"/>
          <w:sz w:val="24"/>
          <w:szCs w:val="24"/>
        </w:rPr>
        <w:t>XX</w:t>
      </w:r>
      <w:r>
        <w:rPr>
          <w:rFonts w:hint="eastAsia" w:hAnsi="宋体"/>
          <w:sz w:val="24"/>
          <w:szCs w:val="24"/>
        </w:rPr>
        <w:t>份，采购单位1份，具有同等法律效力。</w:t>
      </w:r>
    </w:p>
    <w:p>
      <w:pPr>
        <w:spacing w:line="400" w:lineRule="exact"/>
        <w:ind w:firstLine="480" w:firstLineChars="200"/>
        <w:rPr>
          <w:rFonts w:hAnsi="宋体"/>
          <w:sz w:val="24"/>
        </w:rPr>
      </w:pPr>
      <w:r>
        <w:rPr>
          <w:rFonts w:hint="eastAsia" w:hAnsi="宋体"/>
          <w:sz w:val="24"/>
        </w:rPr>
        <w:t>甲方：   （盖章）</w:t>
      </w:r>
      <w:r>
        <w:rPr>
          <w:rFonts w:hAnsi="宋体"/>
          <w:sz w:val="24"/>
        </w:rPr>
        <w:t xml:space="preserve">   </w:t>
      </w:r>
      <w:r>
        <w:rPr>
          <w:rFonts w:hAnsi="宋体"/>
          <w:sz w:val="24"/>
        </w:rPr>
        <w:tab/>
      </w:r>
      <w:r>
        <w:rPr>
          <w:rFonts w:hAnsi="宋体"/>
          <w:sz w:val="24"/>
        </w:rPr>
        <w:tab/>
      </w:r>
      <w:r>
        <w:rPr>
          <w:rFonts w:hAnsi="宋体"/>
          <w:sz w:val="24"/>
        </w:rPr>
        <w:tab/>
      </w:r>
      <w:r>
        <w:rPr>
          <w:rFonts w:hAnsi="宋体"/>
          <w:sz w:val="24"/>
        </w:rPr>
        <w:t xml:space="preserve">    </w:t>
      </w:r>
      <w:r>
        <w:rPr>
          <w:rFonts w:hint="eastAsia" w:hAnsi="宋体"/>
          <w:sz w:val="24"/>
        </w:rPr>
        <w:t xml:space="preserve">   乙方：</w:t>
      </w:r>
      <w:r>
        <w:rPr>
          <w:rFonts w:hAnsi="宋体"/>
          <w:sz w:val="24"/>
        </w:rPr>
        <w:t xml:space="preserve">   </w:t>
      </w:r>
      <w:r>
        <w:rPr>
          <w:rFonts w:hint="eastAsia" w:hAnsi="宋体"/>
          <w:sz w:val="24"/>
        </w:rPr>
        <w:t>（盖章）</w:t>
      </w:r>
    </w:p>
    <w:p>
      <w:pPr>
        <w:spacing w:line="400" w:lineRule="exact"/>
        <w:ind w:firstLine="480" w:firstLineChars="200"/>
        <w:rPr>
          <w:rFonts w:hAnsi="宋体"/>
          <w:sz w:val="24"/>
        </w:rPr>
      </w:pPr>
      <w:r>
        <w:rPr>
          <w:rFonts w:hint="eastAsia" w:hAnsi="宋体"/>
          <w:sz w:val="24"/>
        </w:rPr>
        <w:t>法定代表人（授权代表）：</w:t>
      </w:r>
      <w:r>
        <w:rPr>
          <w:rFonts w:hAnsi="宋体"/>
          <w:sz w:val="24"/>
        </w:rPr>
        <w:t xml:space="preserve">            </w:t>
      </w:r>
      <w:r>
        <w:rPr>
          <w:rFonts w:hint="eastAsia" w:hAnsi="宋体"/>
          <w:sz w:val="24"/>
        </w:rPr>
        <w:t>法定代表人（授权代表）：</w:t>
      </w:r>
    </w:p>
    <w:p>
      <w:pPr>
        <w:spacing w:line="400" w:lineRule="exact"/>
        <w:ind w:firstLine="480" w:firstLineChars="200"/>
        <w:rPr>
          <w:rFonts w:hAnsi="宋体"/>
          <w:sz w:val="24"/>
        </w:rPr>
      </w:pPr>
      <w:r>
        <w:rPr>
          <w:rFonts w:hint="eastAsia" w:hAnsi="宋体"/>
          <w:sz w:val="24"/>
        </w:rPr>
        <w:t>地</w:t>
      </w:r>
      <w:r>
        <w:rPr>
          <w:rFonts w:hAnsi="宋体"/>
          <w:sz w:val="24"/>
        </w:rPr>
        <w:t xml:space="preserve">    </w:t>
      </w:r>
      <w:r>
        <w:rPr>
          <w:rFonts w:hint="eastAsia" w:hAnsi="宋体"/>
          <w:sz w:val="24"/>
        </w:rPr>
        <w:t>址：</w:t>
      </w:r>
      <w:r>
        <w:rPr>
          <w:rFonts w:hAnsi="宋体"/>
          <w:sz w:val="24"/>
        </w:rPr>
        <w:t xml:space="preserve">                         </w:t>
      </w:r>
      <w:r>
        <w:rPr>
          <w:rFonts w:hint="eastAsia" w:hAnsi="宋体"/>
          <w:sz w:val="24"/>
        </w:rPr>
        <w:t>地</w:t>
      </w:r>
      <w:r>
        <w:rPr>
          <w:rFonts w:hAnsi="宋体"/>
          <w:sz w:val="24"/>
        </w:rPr>
        <w:t xml:space="preserve">    </w:t>
      </w:r>
      <w:r>
        <w:rPr>
          <w:rFonts w:hint="eastAsia" w:hAnsi="宋体"/>
          <w:sz w:val="24"/>
        </w:rPr>
        <w:t>址：</w:t>
      </w:r>
    </w:p>
    <w:p>
      <w:pPr>
        <w:spacing w:line="400" w:lineRule="exact"/>
        <w:ind w:firstLine="480" w:firstLineChars="200"/>
        <w:rPr>
          <w:rFonts w:hAnsi="宋体"/>
          <w:sz w:val="24"/>
        </w:rPr>
      </w:pPr>
      <w:r>
        <w:rPr>
          <w:rFonts w:hint="eastAsia" w:hAnsi="宋体"/>
          <w:sz w:val="24"/>
        </w:rPr>
        <w:t>开户银行：</w:t>
      </w:r>
      <w:r>
        <w:rPr>
          <w:rFonts w:hAnsi="宋体"/>
          <w:sz w:val="24"/>
        </w:rPr>
        <w:t xml:space="preserve">                         </w:t>
      </w:r>
      <w:r>
        <w:rPr>
          <w:rFonts w:hint="eastAsia" w:hAnsi="宋体"/>
          <w:sz w:val="24"/>
        </w:rPr>
        <w:t>开户银行：</w:t>
      </w:r>
    </w:p>
    <w:p>
      <w:pPr>
        <w:spacing w:line="400" w:lineRule="exact"/>
        <w:ind w:firstLine="480" w:firstLineChars="200"/>
        <w:rPr>
          <w:rFonts w:hAnsi="宋体"/>
          <w:sz w:val="24"/>
        </w:rPr>
      </w:pPr>
      <w:r>
        <w:rPr>
          <w:rFonts w:hint="eastAsia" w:hAnsi="宋体"/>
          <w:sz w:val="24"/>
        </w:rPr>
        <w:t>账    号：</w:t>
      </w:r>
      <w:r>
        <w:rPr>
          <w:rFonts w:hAnsi="宋体"/>
          <w:sz w:val="24"/>
        </w:rPr>
        <w:t xml:space="preserve">                         </w:t>
      </w:r>
      <w:r>
        <w:rPr>
          <w:rFonts w:hint="eastAsia" w:hAnsi="宋体"/>
          <w:sz w:val="24"/>
        </w:rPr>
        <w:t>账    号：</w:t>
      </w:r>
    </w:p>
    <w:p>
      <w:pPr>
        <w:spacing w:line="400" w:lineRule="exact"/>
        <w:ind w:firstLine="480" w:firstLineChars="200"/>
        <w:rPr>
          <w:rFonts w:hAnsi="宋体"/>
          <w:sz w:val="24"/>
        </w:rPr>
      </w:pPr>
      <w:r>
        <w:rPr>
          <w:rFonts w:hint="eastAsia" w:hAnsi="宋体"/>
          <w:sz w:val="24"/>
        </w:rPr>
        <w:t>电</w:t>
      </w:r>
      <w:r>
        <w:rPr>
          <w:rFonts w:hAnsi="宋体"/>
          <w:sz w:val="24"/>
        </w:rPr>
        <w:t xml:space="preserve">    </w:t>
      </w:r>
      <w:r>
        <w:rPr>
          <w:rFonts w:hint="eastAsia" w:hAnsi="宋体"/>
          <w:sz w:val="24"/>
        </w:rPr>
        <w:t>话：</w:t>
      </w:r>
      <w:r>
        <w:rPr>
          <w:rFonts w:hAnsi="宋体"/>
          <w:sz w:val="24"/>
        </w:rPr>
        <w:t xml:space="preserve">                         </w:t>
      </w:r>
      <w:r>
        <w:rPr>
          <w:rFonts w:hint="eastAsia" w:hAnsi="宋体"/>
          <w:sz w:val="24"/>
        </w:rPr>
        <w:t>电</w:t>
      </w:r>
      <w:r>
        <w:rPr>
          <w:rFonts w:hAnsi="宋体"/>
          <w:sz w:val="24"/>
        </w:rPr>
        <w:t xml:space="preserve">    </w:t>
      </w:r>
      <w:r>
        <w:rPr>
          <w:rFonts w:hint="eastAsia" w:hAnsi="宋体"/>
          <w:sz w:val="24"/>
        </w:rPr>
        <w:t>话：</w:t>
      </w:r>
    </w:p>
    <w:p>
      <w:pPr>
        <w:spacing w:line="400" w:lineRule="exact"/>
        <w:ind w:firstLine="480" w:firstLineChars="200"/>
        <w:rPr>
          <w:rFonts w:hAnsi="宋体"/>
          <w:sz w:val="24"/>
        </w:rPr>
      </w:pPr>
      <w:r>
        <w:rPr>
          <w:rFonts w:hint="eastAsia" w:hAnsi="宋体"/>
          <w:sz w:val="24"/>
        </w:rPr>
        <w:t>传</w:t>
      </w:r>
      <w:r>
        <w:rPr>
          <w:rFonts w:hAnsi="宋体"/>
          <w:sz w:val="24"/>
        </w:rPr>
        <w:t xml:space="preserve">    </w:t>
      </w:r>
      <w:r>
        <w:rPr>
          <w:rFonts w:hint="eastAsia" w:hAnsi="宋体"/>
          <w:sz w:val="24"/>
        </w:rPr>
        <w:t>真：</w:t>
      </w:r>
      <w:r>
        <w:rPr>
          <w:rFonts w:hAnsi="宋体"/>
          <w:sz w:val="24"/>
        </w:rPr>
        <w:t xml:space="preserve">                         </w:t>
      </w:r>
      <w:r>
        <w:rPr>
          <w:rFonts w:hint="eastAsia" w:hAnsi="宋体"/>
          <w:sz w:val="24"/>
        </w:rPr>
        <w:t>传</w:t>
      </w:r>
      <w:r>
        <w:rPr>
          <w:rFonts w:hAnsi="宋体"/>
          <w:sz w:val="24"/>
        </w:rPr>
        <w:t xml:space="preserve">    </w:t>
      </w:r>
      <w:r>
        <w:rPr>
          <w:rFonts w:hint="eastAsia" w:hAnsi="宋体"/>
          <w:sz w:val="24"/>
        </w:rPr>
        <w:t>真：</w:t>
      </w:r>
    </w:p>
    <w:p>
      <w:pPr>
        <w:rPr>
          <w:sz w:val="24"/>
        </w:rPr>
      </w:pPr>
      <w:r>
        <w:rPr>
          <w:rFonts w:hint="eastAsia" w:hAnsi="宋体"/>
          <w:sz w:val="24"/>
        </w:rPr>
        <w:t>签约日期：</w:t>
      </w:r>
      <w:r>
        <w:rPr>
          <w:rFonts w:hint="eastAsia"/>
          <w:sz w:val="24"/>
        </w:rPr>
        <w:t>XX</w:t>
      </w:r>
      <w:r>
        <w:rPr>
          <w:rFonts w:hint="eastAsia" w:hAnsi="宋体"/>
          <w:sz w:val="24"/>
        </w:rPr>
        <w:t>年</w:t>
      </w:r>
      <w:r>
        <w:rPr>
          <w:rFonts w:hint="eastAsia"/>
          <w:sz w:val="24"/>
        </w:rPr>
        <w:t>XX</w:t>
      </w:r>
      <w:r>
        <w:rPr>
          <w:rFonts w:hint="eastAsia" w:hAnsi="宋体"/>
          <w:sz w:val="24"/>
        </w:rPr>
        <w:t>月</w:t>
      </w:r>
      <w:r>
        <w:rPr>
          <w:rFonts w:hint="eastAsia"/>
          <w:sz w:val="24"/>
        </w:rPr>
        <w:t>XX</w:t>
      </w:r>
      <w:r>
        <w:rPr>
          <w:rFonts w:hint="eastAsia" w:hAnsi="宋体"/>
          <w:sz w:val="24"/>
        </w:rPr>
        <w:t>日</w:t>
      </w:r>
      <w:r>
        <w:rPr>
          <w:rFonts w:hAnsi="宋体"/>
          <w:sz w:val="24"/>
        </w:rPr>
        <w:t xml:space="preserve"> </w:t>
      </w:r>
      <w:r>
        <w:rPr>
          <w:rFonts w:hAnsi="宋体"/>
          <w:sz w:val="24"/>
        </w:rPr>
        <w:tab/>
      </w:r>
      <w:r>
        <w:rPr>
          <w:rFonts w:hAnsi="宋体"/>
          <w:sz w:val="24"/>
        </w:rPr>
        <w:tab/>
      </w:r>
      <w:r>
        <w:rPr>
          <w:rFonts w:hAnsi="宋体"/>
          <w:sz w:val="24"/>
        </w:rPr>
        <w:tab/>
      </w:r>
      <w:r>
        <w:rPr>
          <w:rFonts w:hint="eastAsia" w:hAnsi="宋体"/>
          <w:sz w:val="24"/>
        </w:rPr>
        <w:t>签约日期：</w:t>
      </w:r>
      <w:r>
        <w:rPr>
          <w:rFonts w:hint="eastAsia"/>
          <w:sz w:val="24"/>
        </w:rPr>
        <w:t>XX</w:t>
      </w:r>
      <w:r>
        <w:rPr>
          <w:rFonts w:hint="eastAsia" w:hAnsi="宋体"/>
          <w:sz w:val="24"/>
        </w:rPr>
        <w:t>年</w:t>
      </w:r>
      <w:r>
        <w:rPr>
          <w:rFonts w:hint="eastAsia"/>
          <w:sz w:val="24"/>
        </w:rPr>
        <w:t>XX</w:t>
      </w:r>
      <w:r>
        <w:rPr>
          <w:rFonts w:hint="eastAsia" w:hAnsi="宋体"/>
          <w:sz w:val="24"/>
        </w:rPr>
        <w:t>月</w:t>
      </w:r>
      <w:r>
        <w:rPr>
          <w:rFonts w:hint="eastAsia"/>
          <w:sz w:val="24"/>
        </w:rPr>
        <w:t>XX日</w:t>
      </w:r>
    </w:p>
    <w:p/>
    <w:p>
      <w:pPr>
        <w:pStyle w:val="2"/>
        <w:rPr>
          <w:rFonts w:eastAsia="宋体"/>
        </w:rPr>
      </w:pPr>
    </w:p>
    <w:p>
      <w:r>
        <w:rPr>
          <w:rFonts w:hint="eastAsia"/>
        </w:rPr>
        <w:t>（最终以采购人提供版本为准）</w:t>
      </w:r>
    </w:p>
    <w:sectPr>
      <w:footerReference r:id="rId12"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S PMincho">
    <w:altName w:val="Yu Gothic UI"/>
    <w:panose1 w:val="02020600040205080304"/>
    <w:charset w:val="80"/>
    <w:family w:val="roman"/>
    <w:pitch w:val="default"/>
    <w:sig w:usb0="00000000" w:usb1="00000000" w:usb2="00000012" w:usb3="00000000" w:csb0="0002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1"/>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PNhJHjmAQAAzwMA&#10;AA4AAAAAAAAAAQAgAAAAHgEAAGRycy9lMm9Eb2MueG1sUEsFBgAAAAAGAAYAWQEAAHY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both"/>
    </w:pPr>
    <w:r>
      <w:rPr>
        <w:rFonts w:hint="eastAsia"/>
      </w:rPr>
      <w:t>广元市自然资源局朝天区分局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63D58"/>
    <w:multiLevelType w:val="singleLevel"/>
    <w:tmpl w:val="85B63D58"/>
    <w:lvl w:ilvl="0" w:tentative="0">
      <w:start w:val="1"/>
      <w:numFmt w:val="chineseCounting"/>
      <w:suff w:val="nothing"/>
      <w:lvlText w:val="%1、"/>
      <w:lvlJc w:val="left"/>
      <w:rPr>
        <w:rFonts w:hint="eastAsia"/>
      </w:rPr>
    </w:lvl>
  </w:abstractNum>
  <w:abstractNum w:abstractNumId="1">
    <w:nsid w:val="14A4C216"/>
    <w:multiLevelType w:val="singleLevel"/>
    <w:tmpl w:val="14A4C216"/>
    <w:lvl w:ilvl="0" w:tentative="0">
      <w:start w:val="8"/>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4">
    <w:nsid w:val="346C5CA9"/>
    <w:multiLevelType w:val="multilevel"/>
    <w:tmpl w:val="346C5CA9"/>
    <w:lvl w:ilvl="0" w:tentative="0">
      <w:start w:val="1"/>
      <w:numFmt w:val="bullet"/>
      <w:pStyle w:val="74"/>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59546064"/>
    <w:multiLevelType w:val="multilevel"/>
    <w:tmpl w:val="59546064"/>
    <w:lvl w:ilvl="0" w:tentative="0">
      <w:start w:val="0"/>
      <w:numFmt w:val="decimal"/>
      <w:pStyle w:val="84"/>
      <w:lvlText w:val=""/>
      <w:lvlJc w:val="left"/>
      <w:rPr>
        <w:rFonts w:cs="Times New Roman"/>
      </w:rPr>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7">
    <w:nsid w:val="59546065"/>
    <w:multiLevelType w:val="multilevel"/>
    <w:tmpl w:val="59546065"/>
    <w:lvl w:ilvl="0" w:tentative="0">
      <w:start w:val="0"/>
      <w:numFmt w:val="decimal"/>
      <w:lvlText w:val=""/>
      <w:lvlJc w:val="left"/>
      <w:rPr>
        <w:rFonts w:cs="Times New Roman"/>
      </w:rPr>
    </w:lvl>
    <w:lvl w:ilvl="1" w:tentative="0">
      <w:start w:val="0"/>
      <w:numFmt w:val="decimal"/>
      <w:pStyle w:val="62"/>
      <w:lvlText w:val=""/>
      <w:lvlJc w:val="left"/>
      <w:rPr>
        <w:rFonts w:cs="Times New Roman"/>
      </w:rPr>
    </w:lvl>
    <w:lvl w:ilvl="2" w:tentative="0">
      <w:start w:val="0"/>
      <w:numFmt w:val="decimal"/>
      <w:pStyle w:val="61"/>
      <w:lvlText w:val=""/>
      <w:lvlJc w:val="left"/>
      <w:rPr>
        <w:rFonts w:cs="Times New Roman"/>
      </w:rPr>
    </w:lvl>
    <w:lvl w:ilvl="3" w:tentative="0">
      <w:start w:val="0"/>
      <w:numFmt w:val="decimal"/>
      <w:pStyle w:val="65"/>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597FD474"/>
    <w:multiLevelType w:val="singleLevel"/>
    <w:tmpl w:val="597FD474"/>
    <w:lvl w:ilvl="0" w:tentative="0">
      <w:start w:val="8"/>
      <w:numFmt w:val="chineseCounting"/>
      <w:suff w:val="nothing"/>
      <w:lvlText w:val="%1、"/>
      <w:lvlJc w:val="left"/>
    </w:lvl>
  </w:abstractNum>
  <w:abstractNum w:abstractNumId="9">
    <w:nsid w:val="5988075E"/>
    <w:multiLevelType w:val="singleLevel"/>
    <w:tmpl w:val="5988075E"/>
    <w:lvl w:ilvl="0" w:tentative="0">
      <w:start w:val="5"/>
      <w:numFmt w:val="decimal"/>
      <w:suff w:val="nothing"/>
      <w:lvlText w:val="（%1）"/>
      <w:lvlJc w:val="left"/>
    </w:lvl>
  </w:abstractNum>
  <w:abstractNum w:abstractNumId="10">
    <w:nsid w:val="598807A3"/>
    <w:multiLevelType w:val="singleLevel"/>
    <w:tmpl w:val="598807A3"/>
    <w:lvl w:ilvl="0" w:tentative="0">
      <w:start w:val="3"/>
      <w:numFmt w:val="decimal"/>
      <w:suff w:val="nothing"/>
      <w:lvlText w:val="（%1）"/>
      <w:lvlJc w:val="left"/>
    </w:lvl>
  </w:abstractNum>
  <w:abstractNum w:abstractNumId="11">
    <w:nsid w:val="64F57FA0"/>
    <w:multiLevelType w:val="singleLevel"/>
    <w:tmpl w:val="64F57FA0"/>
    <w:lvl w:ilvl="0" w:tentative="0">
      <w:start w:val="5"/>
      <w:numFmt w:val="decimal"/>
      <w:suff w:val="nothing"/>
      <w:lvlText w:val="%1、"/>
      <w:lvlJc w:val="left"/>
    </w:lvl>
  </w:abstractNum>
  <w:abstractNum w:abstractNumId="12">
    <w:nsid w:val="777C37FA"/>
    <w:multiLevelType w:val="singleLevel"/>
    <w:tmpl w:val="777C37FA"/>
    <w:lvl w:ilvl="0" w:tentative="0">
      <w:start w:val="1"/>
      <w:numFmt w:val="decimal"/>
      <w:lvlText w:val="%1."/>
      <w:lvlJc w:val="left"/>
      <w:pPr>
        <w:tabs>
          <w:tab w:val="left" w:pos="312"/>
        </w:tabs>
      </w:pPr>
    </w:lvl>
  </w:abstractNum>
  <w:num w:numId="1">
    <w:abstractNumId w:val="5"/>
  </w:num>
  <w:num w:numId="2">
    <w:abstractNumId w:val="7"/>
  </w:num>
  <w:num w:numId="3">
    <w:abstractNumId w:val="4"/>
  </w:num>
  <w:num w:numId="4">
    <w:abstractNumId w:val="6"/>
  </w:num>
  <w:num w:numId="5">
    <w:abstractNumId w:val="0"/>
  </w:num>
  <w:num w:numId="6">
    <w:abstractNumId w:val="10"/>
  </w:num>
  <w:num w:numId="7">
    <w:abstractNumId w:val="9"/>
  </w:num>
  <w:num w:numId="8">
    <w:abstractNumId w:val="8"/>
  </w:num>
  <w:num w:numId="9">
    <w:abstractNumId w:val="12"/>
  </w:num>
  <w:num w:numId="10">
    <w:abstractNumId w:val="11"/>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2JjYTI4OTg0NzUyZmU3MDE5YTI5ZWZhNDQ2NDgifQ=="/>
    <w:docVar w:name="KSO_WPS_MARK_KEY" w:val="ddbf1b0c-6497-45c7-8da5-948fa67f1f68"/>
  </w:docVars>
  <w:rsids>
    <w:rsidRoot w:val="00172A27"/>
    <w:rsid w:val="0000795F"/>
    <w:rsid w:val="00012907"/>
    <w:rsid w:val="00046633"/>
    <w:rsid w:val="000615ED"/>
    <w:rsid w:val="000725E8"/>
    <w:rsid w:val="00076F6F"/>
    <w:rsid w:val="00077A34"/>
    <w:rsid w:val="000F2469"/>
    <w:rsid w:val="000F59DF"/>
    <w:rsid w:val="0010328F"/>
    <w:rsid w:val="00150650"/>
    <w:rsid w:val="00165490"/>
    <w:rsid w:val="00172A27"/>
    <w:rsid w:val="001A0197"/>
    <w:rsid w:val="001A7A8D"/>
    <w:rsid w:val="001D1EAB"/>
    <w:rsid w:val="002277BF"/>
    <w:rsid w:val="002A14EA"/>
    <w:rsid w:val="002C1FBF"/>
    <w:rsid w:val="00331B87"/>
    <w:rsid w:val="0034773F"/>
    <w:rsid w:val="00354429"/>
    <w:rsid w:val="003F0270"/>
    <w:rsid w:val="00413AC0"/>
    <w:rsid w:val="00483AC2"/>
    <w:rsid w:val="004A3020"/>
    <w:rsid w:val="00535F8F"/>
    <w:rsid w:val="0058484A"/>
    <w:rsid w:val="00655057"/>
    <w:rsid w:val="00662D2E"/>
    <w:rsid w:val="0067763C"/>
    <w:rsid w:val="006C54BB"/>
    <w:rsid w:val="00711D3C"/>
    <w:rsid w:val="00727E38"/>
    <w:rsid w:val="007537C9"/>
    <w:rsid w:val="00771F18"/>
    <w:rsid w:val="00777E08"/>
    <w:rsid w:val="007D5E27"/>
    <w:rsid w:val="008059A3"/>
    <w:rsid w:val="0087085E"/>
    <w:rsid w:val="00903B62"/>
    <w:rsid w:val="009049D8"/>
    <w:rsid w:val="0095325F"/>
    <w:rsid w:val="009B1A77"/>
    <w:rsid w:val="00A07C7D"/>
    <w:rsid w:val="00A118D8"/>
    <w:rsid w:val="00A26597"/>
    <w:rsid w:val="00A77FB3"/>
    <w:rsid w:val="00A845B1"/>
    <w:rsid w:val="00AA7103"/>
    <w:rsid w:val="00B203D1"/>
    <w:rsid w:val="00B8094C"/>
    <w:rsid w:val="00B966DD"/>
    <w:rsid w:val="00BC412E"/>
    <w:rsid w:val="00BE371C"/>
    <w:rsid w:val="00BE5317"/>
    <w:rsid w:val="00C144BC"/>
    <w:rsid w:val="00C15ABA"/>
    <w:rsid w:val="00C361C0"/>
    <w:rsid w:val="00C429E6"/>
    <w:rsid w:val="00C43519"/>
    <w:rsid w:val="00C55205"/>
    <w:rsid w:val="00C657AB"/>
    <w:rsid w:val="00CA3164"/>
    <w:rsid w:val="00CA5ABD"/>
    <w:rsid w:val="00D2014A"/>
    <w:rsid w:val="00D64850"/>
    <w:rsid w:val="00D70545"/>
    <w:rsid w:val="00DA6864"/>
    <w:rsid w:val="00DC2489"/>
    <w:rsid w:val="00DC4D25"/>
    <w:rsid w:val="00E33676"/>
    <w:rsid w:val="00E36BCC"/>
    <w:rsid w:val="00E57AC4"/>
    <w:rsid w:val="00EC159B"/>
    <w:rsid w:val="00ED3471"/>
    <w:rsid w:val="00EE6D81"/>
    <w:rsid w:val="00EF4DE8"/>
    <w:rsid w:val="00F5309C"/>
    <w:rsid w:val="00F82312"/>
    <w:rsid w:val="00FF0067"/>
    <w:rsid w:val="012148DB"/>
    <w:rsid w:val="01344E35"/>
    <w:rsid w:val="016B6358"/>
    <w:rsid w:val="016C5D2D"/>
    <w:rsid w:val="01874921"/>
    <w:rsid w:val="01877979"/>
    <w:rsid w:val="01887664"/>
    <w:rsid w:val="019E67E2"/>
    <w:rsid w:val="01A22175"/>
    <w:rsid w:val="01A27670"/>
    <w:rsid w:val="01B67F05"/>
    <w:rsid w:val="01BE07A4"/>
    <w:rsid w:val="01C649CE"/>
    <w:rsid w:val="01CB1B3E"/>
    <w:rsid w:val="01DB5B42"/>
    <w:rsid w:val="01ED4A01"/>
    <w:rsid w:val="020D55D4"/>
    <w:rsid w:val="02117DF2"/>
    <w:rsid w:val="021364A0"/>
    <w:rsid w:val="022854BE"/>
    <w:rsid w:val="023B678D"/>
    <w:rsid w:val="025C0FF1"/>
    <w:rsid w:val="02777BFD"/>
    <w:rsid w:val="0281187B"/>
    <w:rsid w:val="02C81001"/>
    <w:rsid w:val="02DB6D23"/>
    <w:rsid w:val="02DF48B7"/>
    <w:rsid w:val="02EC1153"/>
    <w:rsid w:val="02F73FA3"/>
    <w:rsid w:val="03132F74"/>
    <w:rsid w:val="031A1966"/>
    <w:rsid w:val="031E0CF2"/>
    <w:rsid w:val="031F4AED"/>
    <w:rsid w:val="03213960"/>
    <w:rsid w:val="033013BE"/>
    <w:rsid w:val="03347927"/>
    <w:rsid w:val="034A5F18"/>
    <w:rsid w:val="037C0476"/>
    <w:rsid w:val="038764B4"/>
    <w:rsid w:val="038C6E9B"/>
    <w:rsid w:val="03A45C04"/>
    <w:rsid w:val="03A86A9C"/>
    <w:rsid w:val="03B14A6F"/>
    <w:rsid w:val="03CB1EEC"/>
    <w:rsid w:val="03D44E03"/>
    <w:rsid w:val="03DA0EE1"/>
    <w:rsid w:val="03DB3A71"/>
    <w:rsid w:val="03FD5238"/>
    <w:rsid w:val="04005F5F"/>
    <w:rsid w:val="040E4D1A"/>
    <w:rsid w:val="041F333C"/>
    <w:rsid w:val="042E238F"/>
    <w:rsid w:val="044B5BF3"/>
    <w:rsid w:val="044E30B1"/>
    <w:rsid w:val="04515D36"/>
    <w:rsid w:val="045D1F5B"/>
    <w:rsid w:val="046B51E6"/>
    <w:rsid w:val="047168CE"/>
    <w:rsid w:val="048132F5"/>
    <w:rsid w:val="04950C55"/>
    <w:rsid w:val="04A60082"/>
    <w:rsid w:val="04BF3979"/>
    <w:rsid w:val="04D83F1F"/>
    <w:rsid w:val="04E745D7"/>
    <w:rsid w:val="04EE1131"/>
    <w:rsid w:val="04F45249"/>
    <w:rsid w:val="04F46FDF"/>
    <w:rsid w:val="04FE377E"/>
    <w:rsid w:val="053D0F60"/>
    <w:rsid w:val="05410997"/>
    <w:rsid w:val="05430036"/>
    <w:rsid w:val="054A2D47"/>
    <w:rsid w:val="054C7E69"/>
    <w:rsid w:val="05545B8B"/>
    <w:rsid w:val="05732519"/>
    <w:rsid w:val="059C1D9A"/>
    <w:rsid w:val="05BA1E05"/>
    <w:rsid w:val="05C268BA"/>
    <w:rsid w:val="05D21A15"/>
    <w:rsid w:val="05DD7A2C"/>
    <w:rsid w:val="05E27A84"/>
    <w:rsid w:val="05E41ADF"/>
    <w:rsid w:val="05EB13D9"/>
    <w:rsid w:val="05FA3269"/>
    <w:rsid w:val="05FA67C0"/>
    <w:rsid w:val="06076BAB"/>
    <w:rsid w:val="0608680B"/>
    <w:rsid w:val="0609097E"/>
    <w:rsid w:val="06127C3D"/>
    <w:rsid w:val="06203DD3"/>
    <w:rsid w:val="062819A4"/>
    <w:rsid w:val="06291535"/>
    <w:rsid w:val="0629235F"/>
    <w:rsid w:val="0649236B"/>
    <w:rsid w:val="064B7F74"/>
    <w:rsid w:val="065E0113"/>
    <w:rsid w:val="067530DC"/>
    <w:rsid w:val="067601C0"/>
    <w:rsid w:val="06767709"/>
    <w:rsid w:val="067F3525"/>
    <w:rsid w:val="06836F11"/>
    <w:rsid w:val="068F2E85"/>
    <w:rsid w:val="06940D05"/>
    <w:rsid w:val="06A82875"/>
    <w:rsid w:val="06B933D8"/>
    <w:rsid w:val="06BF6831"/>
    <w:rsid w:val="06C06AEB"/>
    <w:rsid w:val="06C83BE2"/>
    <w:rsid w:val="06D601D1"/>
    <w:rsid w:val="06DC61DB"/>
    <w:rsid w:val="06E17D3B"/>
    <w:rsid w:val="06E50AE3"/>
    <w:rsid w:val="06EC1B68"/>
    <w:rsid w:val="07061550"/>
    <w:rsid w:val="070A3C82"/>
    <w:rsid w:val="07125177"/>
    <w:rsid w:val="07161C1A"/>
    <w:rsid w:val="071874D5"/>
    <w:rsid w:val="07235BE6"/>
    <w:rsid w:val="072C3022"/>
    <w:rsid w:val="073B1C4B"/>
    <w:rsid w:val="075E12BC"/>
    <w:rsid w:val="07802396"/>
    <w:rsid w:val="0788149E"/>
    <w:rsid w:val="07A04367"/>
    <w:rsid w:val="07A43138"/>
    <w:rsid w:val="07B236CA"/>
    <w:rsid w:val="07B7079D"/>
    <w:rsid w:val="07B80F1A"/>
    <w:rsid w:val="07C07806"/>
    <w:rsid w:val="07C44E45"/>
    <w:rsid w:val="07C57188"/>
    <w:rsid w:val="07D8344F"/>
    <w:rsid w:val="07E30E68"/>
    <w:rsid w:val="080C2CC5"/>
    <w:rsid w:val="080C72C7"/>
    <w:rsid w:val="081223C4"/>
    <w:rsid w:val="082779D0"/>
    <w:rsid w:val="082D41E7"/>
    <w:rsid w:val="083E22AB"/>
    <w:rsid w:val="084D1113"/>
    <w:rsid w:val="0852130E"/>
    <w:rsid w:val="088F011B"/>
    <w:rsid w:val="08954D47"/>
    <w:rsid w:val="089A1341"/>
    <w:rsid w:val="08BC6515"/>
    <w:rsid w:val="08BC7506"/>
    <w:rsid w:val="08C52612"/>
    <w:rsid w:val="08D76448"/>
    <w:rsid w:val="08E50CAE"/>
    <w:rsid w:val="08EC7197"/>
    <w:rsid w:val="090773AB"/>
    <w:rsid w:val="091A7535"/>
    <w:rsid w:val="091F56FA"/>
    <w:rsid w:val="092D1C96"/>
    <w:rsid w:val="09347839"/>
    <w:rsid w:val="09406441"/>
    <w:rsid w:val="09442803"/>
    <w:rsid w:val="094A5F8F"/>
    <w:rsid w:val="09566635"/>
    <w:rsid w:val="09956C21"/>
    <w:rsid w:val="09970B1A"/>
    <w:rsid w:val="09987583"/>
    <w:rsid w:val="09A32469"/>
    <w:rsid w:val="09AD04D4"/>
    <w:rsid w:val="09B40B85"/>
    <w:rsid w:val="09BE4CE9"/>
    <w:rsid w:val="09CF1FF8"/>
    <w:rsid w:val="09D65ACA"/>
    <w:rsid w:val="09DE0D67"/>
    <w:rsid w:val="09F47106"/>
    <w:rsid w:val="09F83CF0"/>
    <w:rsid w:val="0A02158F"/>
    <w:rsid w:val="0A397032"/>
    <w:rsid w:val="0A3E0E74"/>
    <w:rsid w:val="0A406601"/>
    <w:rsid w:val="0A4959A8"/>
    <w:rsid w:val="0A4B0874"/>
    <w:rsid w:val="0A675501"/>
    <w:rsid w:val="0A6C49C3"/>
    <w:rsid w:val="0A6D7085"/>
    <w:rsid w:val="0A7031F7"/>
    <w:rsid w:val="0A761327"/>
    <w:rsid w:val="0A892BC4"/>
    <w:rsid w:val="0A9D026E"/>
    <w:rsid w:val="0A9D2ACB"/>
    <w:rsid w:val="0AA82C7E"/>
    <w:rsid w:val="0AC54A8F"/>
    <w:rsid w:val="0AD17414"/>
    <w:rsid w:val="0AE25348"/>
    <w:rsid w:val="0AE2770B"/>
    <w:rsid w:val="0AF6121E"/>
    <w:rsid w:val="0B1059AC"/>
    <w:rsid w:val="0B7A4A3C"/>
    <w:rsid w:val="0B84660F"/>
    <w:rsid w:val="0B8B43C5"/>
    <w:rsid w:val="0B8D2240"/>
    <w:rsid w:val="0B981257"/>
    <w:rsid w:val="0B9A7F78"/>
    <w:rsid w:val="0BA71AA5"/>
    <w:rsid w:val="0BAD735F"/>
    <w:rsid w:val="0BB70173"/>
    <w:rsid w:val="0BB861D6"/>
    <w:rsid w:val="0BCC03F8"/>
    <w:rsid w:val="0BDC36E6"/>
    <w:rsid w:val="0BE47EB2"/>
    <w:rsid w:val="0BE85A0D"/>
    <w:rsid w:val="0BFF3DDD"/>
    <w:rsid w:val="0C0E4A2A"/>
    <w:rsid w:val="0C130633"/>
    <w:rsid w:val="0C231A23"/>
    <w:rsid w:val="0C2604BA"/>
    <w:rsid w:val="0C3B0AF6"/>
    <w:rsid w:val="0C4126C6"/>
    <w:rsid w:val="0C510934"/>
    <w:rsid w:val="0C514786"/>
    <w:rsid w:val="0C585AB6"/>
    <w:rsid w:val="0C5F79DA"/>
    <w:rsid w:val="0C60355A"/>
    <w:rsid w:val="0C6B03E0"/>
    <w:rsid w:val="0C6B0749"/>
    <w:rsid w:val="0C721436"/>
    <w:rsid w:val="0C832499"/>
    <w:rsid w:val="0C8B1D57"/>
    <w:rsid w:val="0C8D68F1"/>
    <w:rsid w:val="0C911231"/>
    <w:rsid w:val="0CA369C0"/>
    <w:rsid w:val="0CB035EC"/>
    <w:rsid w:val="0CB33F28"/>
    <w:rsid w:val="0CBE76A0"/>
    <w:rsid w:val="0CC5205F"/>
    <w:rsid w:val="0CD21822"/>
    <w:rsid w:val="0CD40416"/>
    <w:rsid w:val="0CD47157"/>
    <w:rsid w:val="0CF2414E"/>
    <w:rsid w:val="0D0C6135"/>
    <w:rsid w:val="0D195299"/>
    <w:rsid w:val="0D235FD2"/>
    <w:rsid w:val="0D3126ED"/>
    <w:rsid w:val="0D341A2E"/>
    <w:rsid w:val="0D5749E3"/>
    <w:rsid w:val="0D6B035F"/>
    <w:rsid w:val="0D6E5C24"/>
    <w:rsid w:val="0D757F48"/>
    <w:rsid w:val="0D78758C"/>
    <w:rsid w:val="0D7E6ED1"/>
    <w:rsid w:val="0D896FE0"/>
    <w:rsid w:val="0D9C56D5"/>
    <w:rsid w:val="0DA300A3"/>
    <w:rsid w:val="0DA51C65"/>
    <w:rsid w:val="0DAC0BD0"/>
    <w:rsid w:val="0DBA7926"/>
    <w:rsid w:val="0DC17718"/>
    <w:rsid w:val="0DDB7A1A"/>
    <w:rsid w:val="0DF00E68"/>
    <w:rsid w:val="0DFC1E5C"/>
    <w:rsid w:val="0DFE3B43"/>
    <w:rsid w:val="0E0A635E"/>
    <w:rsid w:val="0E0C5872"/>
    <w:rsid w:val="0E212CAF"/>
    <w:rsid w:val="0E286562"/>
    <w:rsid w:val="0E2D5BD9"/>
    <w:rsid w:val="0E3142BD"/>
    <w:rsid w:val="0E377670"/>
    <w:rsid w:val="0E3900A6"/>
    <w:rsid w:val="0E421DC7"/>
    <w:rsid w:val="0E7431C8"/>
    <w:rsid w:val="0E8C4427"/>
    <w:rsid w:val="0E9347D2"/>
    <w:rsid w:val="0EB569CC"/>
    <w:rsid w:val="0EC134A2"/>
    <w:rsid w:val="0F0141C4"/>
    <w:rsid w:val="0F0B0CB1"/>
    <w:rsid w:val="0F0C050B"/>
    <w:rsid w:val="0F151DAF"/>
    <w:rsid w:val="0F180AB4"/>
    <w:rsid w:val="0F1C085F"/>
    <w:rsid w:val="0F436E88"/>
    <w:rsid w:val="0F6F6832"/>
    <w:rsid w:val="0F751F4C"/>
    <w:rsid w:val="0F8B405D"/>
    <w:rsid w:val="0F9C611F"/>
    <w:rsid w:val="0FA7654D"/>
    <w:rsid w:val="0FB65D13"/>
    <w:rsid w:val="0FBA0BA8"/>
    <w:rsid w:val="0FC543DF"/>
    <w:rsid w:val="0FC646AE"/>
    <w:rsid w:val="0FCD6F4E"/>
    <w:rsid w:val="0FD26573"/>
    <w:rsid w:val="0FE85E53"/>
    <w:rsid w:val="10070B99"/>
    <w:rsid w:val="1021068C"/>
    <w:rsid w:val="1025513D"/>
    <w:rsid w:val="1025643D"/>
    <w:rsid w:val="10264A11"/>
    <w:rsid w:val="103C6732"/>
    <w:rsid w:val="10534212"/>
    <w:rsid w:val="105C62B6"/>
    <w:rsid w:val="10736BE6"/>
    <w:rsid w:val="108A2B62"/>
    <w:rsid w:val="109C3469"/>
    <w:rsid w:val="109E4EEF"/>
    <w:rsid w:val="10B14E79"/>
    <w:rsid w:val="10BE71D5"/>
    <w:rsid w:val="10C002C7"/>
    <w:rsid w:val="10C72902"/>
    <w:rsid w:val="10CC445F"/>
    <w:rsid w:val="10CD74F1"/>
    <w:rsid w:val="10CF50A9"/>
    <w:rsid w:val="10E02AB7"/>
    <w:rsid w:val="10EB0693"/>
    <w:rsid w:val="10F13271"/>
    <w:rsid w:val="10F53A90"/>
    <w:rsid w:val="10F74D3F"/>
    <w:rsid w:val="10FD006F"/>
    <w:rsid w:val="11111B32"/>
    <w:rsid w:val="1114627F"/>
    <w:rsid w:val="114710E3"/>
    <w:rsid w:val="11570D89"/>
    <w:rsid w:val="115C5E67"/>
    <w:rsid w:val="1174423E"/>
    <w:rsid w:val="11823EC9"/>
    <w:rsid w:val="118E4E46"/>
    <w:rsid w:val="119E5FF2"/>
    <w:rsid w:val="11A46FFA"/>
    <w:rsid w:val="11B84876"/>
    <w:rsid w:val="11BF7DD5"/>
    <w:rsid w:val="11C646E9"/>
    <w:rsid w:val="11D355FC"/>
    <w:rsid w:val="11D73B22"/>
    <w:rsid w:val="11E21641"/>
    <w:rsid w:val="11FE2D85"/>
    <w:rsid w:val="120A7609"/>
    <w:rsid w:val="120D4473"/>
    <w:rsid w:val="1220293A"/>
    <w:rsid w:val="1223688A"/>
    <w:rsid w:val="122428FC"/>
    <w:rsid w:val="122F3515"/>
    <w:rsid w:val="12586106"/>
    <w:rsid w:val="126208C9"/>
    <w:rsid w:val="126376E4"/>
    <w:rsid w:val="128213A8"/>
    <w:rsid w:val="12997796"/>
    <w:rsid w:val="12A50675"/>
    <w:rsid w:val="12A9331B"/>
    <w:rsid w:val="12B0492A"/>
    <w:rsid w:val="12B56B69"/>
    <w:rsid w:val="12C67CF5"/>
    <w:rsid w:val="12CA03CB"/>
    <w:rsid w:val="12CA68E8"/>
    <w:rsid w:val="12F21686"/>
    <w:rsid w:val="12F87B51"/>
    <w:rsid w:val="12FF2CE3"/>
    <w:rsid w:val="13033C8A"/>
    <w:rsid w:val="130A54A0"/>
    <w:rsid w:val="130D2202"/>
    <w:rsid w:val="1342571D"/>
    <w:rsid w:val="13693864"/>
    <w:rsid w:val="136C6BDF"/>
    <w:rsid w:val="13823C4E"/>
    <w:rsid w:val="138C7663"/>
    <w:rsid w:val="13962CBF"/>
    <w:rsid w:val="13973ABF"/>
    <w:rsid w:val="139F70B9"/>
    <w:rsid w:val="13A9398F"/>
    <w:rsid w:val="13AF14BC"/>
    <w:rsid w:val="13CB0791"/>
    <w:rsid w:val="13FE595C"/>
    <w:rsid w:val="13FF0489"/>
    <w:rsid w:val="14013CA5"/>
    <w:rsid w:val="141D1914"/>
    <w:rsid w:val="14241EB3"/>
    <w:rsid w:val="144063A8"/>
    <w:rsid w:val="14440B43"/>
    <w:rsid w:val="145D29CB"/>
    <w:rsid w:val="1470780A"/>
    <w:rsid w:val="1471084E"/>
    <w:rsid w:val="147517B9"/>
    <w:rsid w:val="149613AF"/>
    <w:rsid w:val="14997E34"/>
    <w:rsid w:val="149B08C7"/>
    <w:rsid w:val="149F189F"/>
    <w:rsid w:val="14B80542"/>
    <w:rsid w:val="14C17AA0"/>
    <w:rsid w:val="14C46248"/>
    <w:rsid w:val="14C97101"/>
    <w:rsid w:val="14CB1F86"/>
    <w:rsid w:val="14EF7CEE"/>
    <w:rsid w:val="15180BE4"/>
    <w:rsid w:val="15202B38"/>
    <w:rsid w:val="153C205D"/>
    <w:rsid w:val="15446568"/>
    <w:rsid w:val="1548450D"/>
    <w:rsid w:val="15553D59"/>
    <w:rsid w:val="15612060"/>
    <w:rsid w:val="15685D7E"/>
    <w:rsid w:val="15814EB2"/>
    <w:rsid w:val="159E36A0"/>
    <w:rsid w:val="15B428F3"/>
    <w:rsid w:val="15CA1A2B"/>
    <w:rsid w:val="15E909E9"/>
    <w:rsid w:val="15F83F95"/>
    <w:rsid w:val="160168E3"/>
    <w:rsid w:val="1604397A"/>
    <w:rsid w:val="163427C9"/>
    <w:rsid w:val="164053BE"/>
    <w:rsid w:val="164F0F60"/>
    <w:rsid w:val="16562DE2"/>
    <w:rsid w:val="165B4A7D"/>
    <w:rsid w:val="16710715"/>
    <w:rsid w:val="16717105"/>
    <w:rsid w:val="167533A4"/>
    <w:rsid w:val="167C4259"/>
    <w:rsid w:val="16B71DAC"/>
    <w:rsid w:val="16CD6CFF"/>
    <w:rsid w:val="16D0396F"/>
    <w:rsid w:val="16D15A3C"/>
    <w:rsid w:val="16D30C34"/>
    <w:rsid w:val="16DC67EF"/>
    <w:rsid w:val="17053D8C"/>
    <w:rsid w:val="1712374E"/>
    <w:rsid w:val="17127E6E"/>
    <w:rsid w:val="17283764"/>
    <w:rsid w:val="172E529F"/>
    <w:rsid w:val="173D2970"/>
    <w:rsid w:val="174356CA"/>
    <w:rsid w:val="176716E3"/>
    <w:rsid w:val="17837922"/>
    <w:rsid w:val="179B5CE4"/>
    <w:rsid w:val="17AD2880"/>
    <w:rsid w:val="17AD33AA"/>
    <w:rsid w:val="17BC602F"/>
    <w:rsid w:val="17BE0610"/>
    <w:rsid w:val="17C71CD1"/>
    <w:rsid w:val="17D0547F"/>
    <w:rsid w:val="17DD021B"/>
    <w:rsid w:val="17FB195F"/>
    <w:rsid w:val="1813543D"/>
    <w:rsid w:val="181B789A"/>
    <w:rsid w:val="1820687F"/>
    <w:rsid w:val="182A4A6B"/>
    <w:rsid w:val="184C0400"/>
    <w:rsid w:val="184C061D"/>
    <w:rsid w:val="18583BD5"/>
    <w:rsid w:val="18752F85"/>
    <w:rsid w:val="187B465B"/>
    <w:rsid w:val="187F5D2D"/>
    <w:rsid w:val="1890020B"/>
    <w:rsid w:val="189314B3"/>
    <w:rsid w:val="18BA7315"/>
    <w:rsid w:val="18FD79AA"/>
    <w:rsid w:val="19100647"/>
    <w:rsid w:val="19123347"/>
    <w:rsid w:val="193D3E42"/>
    <w:rsid w:val="196A05C4"/>
    <w:rsid w:val="196B03B6"/>
    <w:rsid w:val="196F7781"/>
    <w:rsid w:val="197A7773"/>
    <w:rsid w:val="197B00C5"/>
    <w:rsid w:val="199D6171"/>
    <w:rsid w:val="199E1ABC"/>
    <w:rsid w:val="19C63275"/>
    <w:rsid w:val="19DC1E49"/>
    <w:rsid w:val="19EB01E8"/>
    <w:rsid w:val="19EF0DD0"/>
    <w:rsid w:val="19F42779"/>
    <w:rsid w:val="19F93D35"/>
    <w:rsid w:val="1A052AE6"/>
    <w:rsid w:val="1A177CEE"/>
    <w:rsid w:val="1A200723"/>
    <w:rsid w:val="1A2479DB"/>
    <w:rsid w:val="1A291634"/>
    <w:rsid w:val="1A2A136B"/>
    <w:rsid w:val="1A2D6B26"/>
    <w:rsid w:val="1A324E27"/>
    <w:rsid w:val="1A3F25DF"/>
    <w:rsid w:val="1A600B39"/>
    <w:rsid w:val="1A60504F"/>
    <w:rsid w:val="1A612312"/>
    <w:rsid w:val="1A626050"/>
    <w:rsid w:val="1A6734F1"/>
    <w:rsid w:val="1A8E1AF9"/>
    <w:rsid w:val="1A92348E"/>
    <w:rsid w:val="1AD3104E"/>
    <w:rsid w:val="1AD435B6"/>
    <w:rsid w:val="1AE864F9"/>
    <w:rsid w:val="1AF44F49"/>
    <w:rsid w:val="1AFC0AC0"/>
    <w:rsid w:val="1B201055"/>
    <w:rsid w:val="1B216F53"/>
    <w:rsid w:val="1B2B73F2"/>
    <w:rsid w:val="1B2D7055"/>
    <w:rsid w:val="1B30499F"/>
    <w:rsid w:val="1B363332"/>
    <w:rsid w:val="1B4D19D8"/>
    <w:rsid w:val="1B5B66C0"/>
    <w:rsid w:val="1B5C093E"/>
    <w:rsid w:val="1B8A7BD1"/>
    <w:rsid w:val="1B9971E6"/>
    <w:rsid w:val="1BB81C16"/>
    <w:rsid w:val="1BC566FC"/>
    <w:rsid w:val="1BDE3AA5"/>
    <w:rsid w:val="1BE75A92"/>
    <w:rsid w:val="1BEA0B99"/>
    <w:rsid w:val="1BF06E52"/>
    <w:rsid w:val="1C1110F8"/>
    <w:rsid w:val="1C1B07C8"/>
    <w:rsid w:val="1C2852A7"/>
    <w:rsid w:val="1C30786D"/>
    <w:rsid w:val="1C3B3B80"/>
    <w:rsid w:val="1C680ACB"/>
    <w:rsid w:val="1C700FCA"/>
    <w:rsid w:val="1C733218"/>
    <w:rsid w:val="1C7B67A9"/>
    <w:rsid w:val="1C8F3DA4"/>
    <w:rsid w:val="1C8F6382"/>
    <w:rsid w:val="1C8F78F8"/>
    <w:rsid w:val="1C943EE9"/>
    <w:rsid w:val="1CC23D13"/>
    <w:rsid w:val="1CC66DD3"/>
    <w:rsid w:val="1CCC463B"/>
    <w:rsid w:val="1CEA2622"/>
    <w:rsid w:val="1CEB79FF"/>
    <w:rsid w:val="1D077B02"/>
    <w:rsid w:val="1D08712A"/>
    <w:rsid w:val="1D0B5183"/>
    <w:rsid w:val="1D0D7946"/>
    <w:rsid w:val="1D122788"/>
    <w:rsid w:val="1D150CCF"/>
    <w:rsid w:val="1D174721"/>
    <w:rsid w:val="1D1C39A3"/>
    <w:rsid w:val="1D236065"/>
    <w:rsid w:val="1D473FF4"/>
    <w:rsid w:val="1D4B1AF7"/>
    <w:rsid w:val="1D700628"/>
    <w:rsid w:val="1D75300E"/>
    <w:rsid w:val="1DBB5082"/>
    <w:rsid w:val="1DD15420"/>
    <w:rsid w:val="1DDE6C51"/>
    <w:rsid w:val="1DE10E37"/>
    <w:rsid w:val="1DE85490"/>
    <w:rsid w:val="1DF25303"/>
    <w:rsid w:val="1DF40074"/>
    <w:rsid w:val="1DF47E66"/>
    <w:rsid w:val="1DF8459F"/>
    <w:rsid w:val="1DFE0FE6"/>
    <w:rsid w:val="1E0260C0"/>
    <w:rsid w:val="1E13265C"/>
    <w:rsid w:val="1E287C7F"/>
    <w:rsid w:val="1E382818"/>
    <w:rsid w:val="1E3D6E55"/>
    <w:rsid w:val="1E3F3FBB"/>
    <w:rsid w:val="1E421A68"/>
    <w:rsid w:val="1E447F95"/>
    <w:rsid w:val="1E4D53D3"/>
    <w:rsid w:val="1E4E3008"/>
    <w:rsid w:val="1E571A4C"/>
    <w:rsid w:val="1E6E5722"/>
    <w:rsid w:val="1E72141B"/>
    <w:rsid w:val="1E780735"/>
    <w:rsid w:val="1E7C57F5"/>
    <w:rsid w:val="1E875AD6"/>
    <w:rsid w:val="1E894DB8"/>
    <w:rsid w:val="1E9D56A6"/>
    <w:rsid w:val="1EB31102"/>
    <w:rsid w:val="1EC45B21"/>
    <w:rsid w:val="1ECE1867"/>
    <w:rsid w:val="1F322E1B"/>
    <w:rsid w:val="1F4E4CDF"/>
    <w:rsid w:val="1F611119"/>
    <w:rsid w:val="1F8960B9"/>
    <w:rsid w:val="1F8A7867"/>
    <w:rsid w:val="1F9D0235"/>
    <w:rsid w:val="1FAB56DE"/>
    <w:rsid w:val="1FB05450"/>
    <w:rsid w:val="1FBC0EEE"/>
    <w:rsid w:val="1FBE2357"/>
    <w:rsid w:val="1FC26CA7"/>
    <w:rsid w:val="1FD817F8"/>
    <w:rsid w:val="1FE040D4"/>
    <w:rsid w:val="200D26FC"/>
    <w:rsid w:val="20192625"/>
    <w:rsid w:val="20200EC5"/>
    <w:rsid w:val="20295371"/>
    <w:rsid w:val="202D76F6"/>
    <w:rsid w:val="2046417A"/>
    <w:rsid w:val="20494F37"/>
    <w:rsid w:val="205D2C6A"/>
    <w:rsid w:val="20677CAF"/>
    <w:rsid w:val="20696712"/>
    <w:rsid w:val="206B700C"/>
    <w:rsid w:val="208D63E6"/>
    <w:rsid w:val="209435A7"/>
    <w:rsid w:val="20A51982"/>
    <w:rsid w:val="20B1664E"/>
    <w:rsid w:val="20C431E2"/>
    <w:rsid w:val="20D22A24"/>
    <w:rsid w:val="20DC1EAB"/>
    <w:rsid w:val="20DE4E1E"/>
    <w:rsid w:val="20DF340E"/>
    <w:rsid w:val="20E374DA"/>
    <w:rsid w:val="20E760D2"/>
    <w:rsid w:val="20E91401"/>
    <w:rsid w:val="20FB3753"/>
    <w:rsid w:val="21043DA6"/>
    <w:rsid w:val="2118312F"/>
    <w:rsid w:val="21294849"/>
    <w:rsid w:val="2134309F"/>
    <w:rsid w:val="213520A4"/>
    <w:rsid w:val="214F6D65"/>
    <w:rsid w:val="21872662"/>
    <w:rsid w:val="218C567E"/>
    <w:rsid w:val="21902D68"/>
    <w:rsid w:val="21982973"/>
    <w:rsid w:val="219910A0"/>
    <w:rsid w:val="21AB3FB2"/>
    <w:rsid w:val="21AC4285"/>
    <w:rsid w:val="21AE54B8"/>
    <w:rsid w:val="21C7139A"/>
    <w:rsid w:val="21EE2610"/>
    <w:rsid w:val="22181964"/>
    <w:rsid w:val="22311D59"/>
    <w:rsid w:val="2241392C"/>
    <w:rsid w:val="224328FC"/>
    <w:rsid w:val="2247382D"/>
    <w:rsid w:val="224F704E"/>
    <w:rsid w:val="225B7B74"/>
    <w:rsid w:val="226D5ABC"/>
    <w:rsid w:val="226F0875"/>
    <w:rsid w:val="227179CB"/>
    <w:rsid w:val="22782DAB"/>
    <w:rsid w:val="22791A0D"/>
    <w:rsid w:val="22793DB4"/>
    <w:rsid w:val="22827E9A"/>
    <w:rsid w:val="228B4CEF"/>
    <w:rsid w:val="2293401C"/>
    <w:rsid w:val="229F068A"/>
    <w:rsid w:val="22A96E9C"/>
    <w:rsid w:val="22C32245"/>
    <w:rsid w:val="22D036A3"/>
    <w:rsid w:val="22E1022A"/>
    <w:rsid w:val="22FB6C61"/>
    <w:rsid w:val="230608B4"/>
    <w:rsid w:val="231F03FC"/>
    <w:rsid w:val="233A13AA"/>
    <w:rsid w:val="23523B96"/>
    <w:rsid w:val="237E6440"/>
    <w:rsid w:val="23931F66"/>
    <w:rsid w:val="23971A56"/>
    <w:rsid w:val="23B836F6"/>
    <w:rsid w:val="23C4090C"/>
    <w:rsid w:val="23D67C92"/>
    <w:rsid w:val="23D96CBA"/>
    <w:rsid w:val="23E16BE2"/>
    <w:rsid w:val="23E70D7A"/>
    <w:rsid w:val="23E857CE"/>
    <w:rsid w:val="23EC2B52"/>
    <w:rsid w:val="23F907BE"/>
    <w:rsid w:val="242007A6"/>
    <w:rsid w:val="242B7F99"/>
    <w:rsid w:val="243D484E"/>
    <w:rsid w:val="243E1133"/>
    <w:rsid w:val="24450CA0"/>
    <w:rsid w:val="244737A1"/>
    <w:rsid w:val="244B2E7C"/>
    <w:rsid w:val="246545D2"/>
    <w:rsid w:val="246B5ECC"/>
    <w:rsid w:val="24841CE3"/>
    <w:rsid w:val="24842480"/>
    <w:rsid w:val="248D7821"/>
    <w:rsid w:val="24933D48"/>
    <w:rsid w:val="24AB32DF"/>
    <w:rsid w:val="24B13543"/>
    <w:rsid w:val="24B33C66"/>
    <w:rsid w:val="24C01617"/>
    <w:rsid w:val="24D92020"/>
    <w:rsid w:val="250E55F7"/>
    <w:rsid w:val="251425D4"/>
    <w:rsid w:val="251864B0"/>
    <w:rsid w:val="252178B8"/>
    <w:rsid w:val="25364A09"/>
    <w:rsid w:val="253F3884"/>
    <w:rsid w:val="255317A3"/>
    <w:rsid w:val="255F32F0"/>
    <w:rsid w:val="25663ACD"/>
    <w:rsid w:val="2566666B"/>
    <w:rsid w:val="258452C3"/>
    <w:rsid w:val="25894026"/>
    <w:rsid w:val="258D5BF9"/>
    <w:rsid w:val="25C23F79"/>
    <w:rsid w:val="25D320C4"/>
    <w:rsid w:val="25DA068B"/>
    <w:rsid w:val="25DE7C83"/>
    <w:rsid w:val="25E86AB4"/>
    <w:rsid w:val="25F10748"/>
    <w:rsid w:val="26067E71"/>
    <w:rsid w:val="260E3B3E"/>
    <w:rsid w:val="26180585"/>
    <w:rsid w:val="261C694D"/>
    <w:rsid w:val="261E21AA"/>
    <w:rsid w:val="262A1918"/>
    <w:rsid w:val="262F649B"/>
    <w:rsid w:val="264A796E"/>
    <w:rsid w:val="264B3DF2"/>
    <w:rsid w:val="264F4F8A"/>
    <w:rsid w:val="266A3522"/>
    <w:rsid w:val="268F5455"/>
    <w:rsid w:val="269404CF"/>
    <w:rsid w:val="269B514F"/>
    <w:rsid w:val="26A90668"/>
    <w:rsid w:val="26CF1507"/>
    <w:rsid w:val="26E06B4F"/>
    <w:rsid w:val="26E7744C"/>
    <w:rsid w:val="27165388"/>
    <w:rsid w:val="27293470"/>
    <w:rsid w:val="272F435B"/>
    <w:rsid w:val="273577FD"/>
    <w:rsid w:val="273906EE"/>
    <w:rsid w:val="27570D74"/>
    <w:rsid w:val="27571A0A"/>
    <w:rsid w:val="275D101F"/>
    <w:rsid w:val="27621027"/>
    <w:rsid w:val="276978AB"/>
    <w:rsid w:val="276D78C3"/>
    <w:rsid w:val="277D05BA"/>
    <w:rsid w:val="278F3648"/>
    <w:rsid w:val="27B17674"/>
    <w:rsid w:val="27B70106"/>
    <w:rsid w:val="27C60976"/>
    <w:rsid w:val="27DB12F3"/>
    <w:rsid w:val="27DD3971"/>
    <w:rsid w:val="27E367F7"/>
    <w:rsid w:val="27E86BD3"/>
    <w:rsid w:val="27F25DF1"/>
    <w:rsid w:val="281D7B35"/>
    <w:rsid w:val="28300A47"/>
    <w:rsid w:val="28374103"/>
    <w:rsid w:val="2856523D"/>
    <w:rsid w:val="285919D0"/>
    <w:rsid w:val="28784886"/>
    <w:rsid w:val="28792F91"/>
    <w:rsid w:val="288C2492"/>
    <w:rsid w:val="289C3874"/>
    <w:rsid w:val="28B3576D"/>
    <w:rsid w:val="28BE3332"/>
    <w:rsid w:val="28D54720"/>
    <w:rsid w:val="28F039B6"/>
    <w:rsid w:val="29045420"/>
    <w:rsid w:val="29250B89"/>
    <w:rsid w:val="29363393"/>
    <w:rsid w:val="2943648E"/>
    <w:rsid w:val="29514455"/>
    <w:rsid w:val="29555358"/>
    <w:rsid w:val="29626227"/>
    <w:rsid w:val="296C3F81"/>
    <w:rsid w:val="29763EBB"/>
    <w:rsid w:val="29C60506"/>
    <w:rsid w:val="29D6209B"/>
    <w:rsid w:val="29E90C34"/>
    <w:rsid w:val="29F317CB"/>
    <w:rsid w:val="29F42437"/>
    <w:rsid w:val="29F64FFC"/>
    <w:rsid w:val="29FA1A58"/>
    <w:rsid w:val="2A26264E"/>
    <w:rsid w:val="2A2F67E0"/>
    <w:rsid w:val="2A3724EF"/>
    <w:rsid w:val="2A4B66F4"/>
    <w:rsid w:val="2A4F7DC0"/>
    <w:rsid w:val="2A66789F"/>
    <w:rsid w:val="2A791C52"/>
    <w:rsid w:val="2A7B28EB"/>
    <w:rsid w:val="2A7E524D"/>
    <w:rsid w:val="2AA321FB"/>
    <w:rsid w:val="2AA44A58"/>
    <w:rsid w:val="2AA46A7B"/>
    <w:rsid w:val="2AA60D9B"/>
    <w:rsid w:val="2AAD7EC8"/>
    <w:rsid w:val="2AAF2DEC"/>
    <w:rsid w:val="2AAF753B"/>
    <w:rsid w:val="2AB02202"/>
    <w:rsid w:val="2AB111E4"/>
    <w:rsid w:val="2AC9193B"/>
    <w:rsid w:val="2ACB6DDF"/>
    <w:rsid w:val="2ACD6749"/>
    <w:rsid w:val="2AF64063"/>
    <w:rsid w:val="2B055A22"/>
    <w:rsid w:val="2B115877"/>
    <w:rsid w:val="2B12097E"/>
    <w:rsid w:val="2B122FF0"/>
    <w:rsid w:val="2B1B42F9"/>
    <w:rsid w:val="2B1C6CE5"/>
    <w:rsid w:val="2B202742"/>
    <w:rsid w:val="2B3200AC"/>
    <w:rsid w:val="2B7A22E2"/>
    <w:rsid w:val="2B863E4F"/>
    <w:rsid w:val="2B895659"/>
    <w:rsid w:val="2BA81EE6"/>
    <w:rsid w:val="2BF27637"/>
    <w:rsid w:val="2C015819"/>
    <w:rsid w:val="2C272E01"/>
    <w:rsid w:val="2C292223"/>
    <w:rsid w:val="2C347A9B"/>
    <w:rsid w:val="2C3C3A76"/>
    <w:rsid w:val="2C4E5B59"/>
    <w:rsid w:val="2C6E242B"/>
    <w:rsid w:val="2C75165F"/>
    <w:rsid w:val="2C822AAB"/>
    <w:rsid w:val="2CAC3E0B"/>
    <w:rsid w:val="2CBA6D21"/>
    <w:rsid w:val="2CC41155"/>
    <w:rsid w:val="2CC73854"/>
    <w:rsid w:val="2CCC1E78"/>
    <w:rsid w:val="2D0A6A9F"/>
    <w:rsid w:val="2D214E0A"/>
    <w:rsid w:val="2D27170E"/>
    <w:rsid w:val="2D2A329B"/>
    <w:rsid w:val="2D334E0B"/>
    <w:rsid w:val="2D3432B3"/>
    <w:rsid w:val="2D365C10"/>
    <w:rsid w:val="2D394E2F"/>
    <w:rsid w:val="2D3D61BC"/>
    <w:rsid w:val="2D4B72E6"/>
    <w:rsid w:val="2D520704"/>
    <w:rsid w:val="2D554592"/>
    <w:rsid w:val="2D7B4DA4"/>
    <w:rsid w:val="2D8564D8"/>
    <w:rsid w:val="2D9F4C6F"/>
    <w:rsid w:val="2DAA213E"/>
    <w:rsid w:val="2E060A6A"/>
    <w:rsid w:val="2E1819E5"/>
    <w:rsid w:val="2E2B3130"/>
    <w:rsid w:val="2E3901FC"/>
    <w:rsid w:val="2E40409B"/>
    <w:rsid w:val="2E53715B"/>
    <w:rsid w:val="2E772E26"/>
    <w:rsid w:val="2E953036"/>
    <w:rsid w:val="2E976127"/>
    <w:rsid w:val="2EA67058"/>
    <w:rsid w:val="2EB25B93"/>
    <w:rsid w:val="2EB779E8"/>
    <w:rsid w:val="2EBD470A"/>
    <w:rsid w:val="2EC31D8F"/>
    <w:rsid w:val="2ECA3451"/>
    <w:rsid w:val="2ED169F8"/>
    <w:rsid w:val="2ED46128"/>
    <w:rsid w:val="2EE54BC9"/>
    <w:rsid w:val="2EEA474B"/>
    <w:rsid w:val="2F1A34D2"/>
    <w:rsid w:val="2F1C0A87"/>
    <w:rsid w:val="2F2B2ABE"/>
    <w:rsid w:val="2F2B612C"/>
    <w:rsid w:val="2F3330B0"/>
    <w:rsid w:val="2F486B45"/>
    <w:rsid w:val="2F4C646F"/>
    <w:rsid w:val="2F6D4A92"/>
    <w:rsid w:val="2F7306A8"/>
    <w:rsid w:val="2F795544"/>
    <w:rsid w:val="2F8441C6"/>
    <w:rsid w:val="2F995D12"/>
    <w:rsid w:val="2FAF42F2"/>
    <w:rsid w:val="2FB9400F"/>
    <w:rsid w:val="2FD928EC"/>
    <w:rsid w:val="2FDC6A42"/>
    <w:rsid w:val="2FDD7B55"/>
    <w:rsid w:val="2FE672C3"/>
    <w:rsid w:val="2FE808CB"/>
    <w:rsid w:val="2FFC01F3"/>
    <w:rsid w:val="300D3D16"/>
    <w:rsid w:val="30182FEE"/>
    <w:rsid w:val="30265D84"/>
    <w:rsid w:val="302A0265"/>
    <w:rsid w:val="305005F4"/>
    <w:rsid w:val="30576D4F"/>
    <w:rsid w:val="30773D7D"/>
    <w:rsid w:val="308C6F0C"/>
    <w:rsid w:val="30924AB0"/>
    <w:rsid w:val="30A63CDF"/>
    <w:rsid w:val="30B749DB"/>
    <w:rsid w:val="30E85817"/>
    <w:rsid w:val="30F779F6"/>
    <w:rsid w:val="31017309"/>
    <w:rsid w:val="310E3E79"/>
    <w:rsid w:val="31370AD1"/>
    <w:rsid w:val="31464F8A"/>
    <w:rsid w:val="315E0C6A"/>
    <w:rsid w:val="316368A2"/>
    <w:rsid w:val="31724F0A"/>
    <w:rsid w:val="31884EEE"/>
    <w:rsid w:val="319478AE"/>
    <w:rsid w:val="319E4515"/>
    <w:rsid w:val="31D75713"/>
    <w:rsid w:val="31E714DF"/>
    <w:rsid w:val="320E6D54"/>
    <w:rsid w:val="323A6AFB"/>
    <w:rsid w:val="32485CEE"/>
    <w:rsid w:val="32587E13"/>
    <w:rsid w:val="326276D3"/>
    <w:rsid w:val="328A54F4"/>
    <w:rsid w:val="328C68A2"/>
    <w:rsid w:val="32903773"/>
    <w:rsid w:val="329D7638"/>
    <w:rsid w:val="32BA3925"/>
    <w:rsid w:val="32C1288E"/>
    <w:rsid w:val="32DA181E"/>
    <w:rsid w:val="32E61F74"/>
    <w:rsid w:val="32EC3440"/>
    <w:rsid w:val="32EC3FCC"/>
    <w:rsid w:val="33063FEC"/>
    <w:rsid w:val="330A4806"/>
    <w:rsid w:val="33221C58"/>
    <w:rsid w:val="33327E27"/>
    <w:rsid w:val="3342457E"/>
    <w:rsid w:val="33451093"/>
    <w:rsid w:val="335F1154"/>
    <w:rsid w:val="336505EC"/>
    <w:rsid w:val="336F56E7"/>
    <w:rsid w:val="337B4E28"/>
    <w:rsid w:val="337E23C3"/>
    <w:rsid w:val="33A5080F"/>
    <w:rsid w:val="33AB6B3D"/>
    <w:rsid w:val="33B27D61"/>
    <w:rsid w:val="33B42A6C"/>
    <w:rsid w:val="33BD7EB4"/>
    <w:rsid w:val="33C54136"/>
    <w:rsid w:val="33C70510"/>
    <w:rsid w:val="33E76FB0"/>
    <w:rsid w:val="34330BAC"/>
    <w:rsid w:val="34423A8C"/>
    <w:rsid w:val="3461467D"/>
    <w:rsid w:val="34720CA9"/>
    <w:rsid w:val="34762307"/>
    <w:rsid w:val="348237BA"/>
    <w:rsid w:val="34892784"/>
    <w:rsid w:val="34A044E2"/>
    <w:rsid w:val="34B65AB4"/>
    <w:rsid w:val="34BE4F69"/>
    <w:rsid w:val="34C06C4B"/>
    <w:rsid w:val="34C4751A"/>
    <w:rsid w:val="34D2771B"/>
    <w:rsid w:val="34DD5B0A"/>
    <w:rsid w:val="34F767F8"/>
    <w:rsid w:val="350229B0"/>
    <w:rsid w:val="350877B0"/>
    <w:rsid w:val="350E106B"/>
    <w:rsid w:val="35237F97"/>
    <w:rsid w:val="35264D46"/>
    <w:rsid w:val="35440E79"/>
    <w:rsid w:val="35492688"/>
    <w:rsid w:val="35506713"/>
    <w:rsid w:val="355377A7"/>
    <w:rsid w:val="356453B4"/>
    <w:rsid w:val="3565260A"/>
    <w:rsid w:val="357339A5"/>
    <w:rsid w:val="35764028"/>
    <w:rsid w:val="357F3C4E"/>
    <w:rsid w:val="358A506C"/>
    <w:rsid w:val="358B61B5"/>
    <w:rsid w:val="35935450"/>
    <w:rsid w:val="35B1313B"/>
    <w:rsid w:val="35B73515"/>
    <w:rsid w:val="35E002DD"/>
    <w:rsid w:val="35E96C82"/>
    <w:rsid w:val="361909F0"/>
    <w:rsid w:val="362757C9"/>
    <w:rsid w:val="365A24C0"/>
    <w:rsid w:val="367833CB"/>
    <w:rsid w:val="36875359"/>
    <w:rsid w:val="36A03BFD"/>
    <w:rsid w:val="36C45672"/>
    <w:rsid w:val="36DB7AC0"/>
    <w:rsid w:val="36ED7D25"/>
    <w:rsid w:val="36FB50DB"/>
    <w:rsid w:val="370215BA"/>
    <w:rsid w:val="370C0453"/>
    <w:rsid w:val="37160A8C"/>
    <w:rsid w:val="372D2FFF"/>
    <w:rsid w:val="373B4A17"/>
    <w:rsid w:val="3748663E"/>
    <w:rsid w:val="37516D49"/>
    <w:rsid w:val="376531A5"/>
    <w:rsid w:val="3767416F"/>
    <w:rsid w:val="376B527C"/>
    <w:rsid w:val="377E32E7"/>
    <w:rsid w:val="378E2D18"/>
    <w:rsid w:val="37A3005B"/>
    <w:rsid w:val="37BB5787"/>
    <w:rsid w:val="37CB4CF5"/>
    <w:rsid w:val="37CE0C24"/>
    <w:rsid w:val="37E261D0"/>
    <w:rsid w:val="37F87E21"/>
    <w:rsid w:val="37FE2C17"/>
    <w:rsid w:val="3804245C"/>
    <w:rsid w:val="38047821"/>
    <w:rsid w:val="38163CDC"/>
    <w:rsid w:val="38317E8D"/>
    <w:rsid w:val="38371635"/>
    <w:rsid w:val="38402264"/>
    <w:rsid w:val="386D31C7"/>
    <w:rsid w:val="38AB443A"/>
    <w:rsid w:val="38B12C49"/>
    <w:rsid w:val="38BE7EFE"/>
    <w:rsid w:val="38CE5CF1"/>
    <w:rsid w:val="38CF2441"/>
    <w:rsid w:val="38E91B30"/>
    <w:rsid w:val="38F65C46"/>
    <w:rsid w:val="38FB2554"/>
    <w:rsid w:val="390B4ABD"/>
    <w:rsid w:val="390F1814"/>
    <w:rsid w:val="392B4234"/>
    <w:rsid w:val="3943358E"/>
    <w:rsid w:val="394C3D73"/>
    <w:rsid w:val="395B4E7C"/>
    <w:rsid w:val="39780C90"/>
    <w:rsid w:val="397C27A9"/>
    <w:rsid w:val="39832568"/>
    <w:rsid w:val="39902B51"/>
    <w:rsid w:val="39C102A5"/>
    <w:rsid w:val="39C61C17"/>
    <w:rsid w:val="39DE3BEE"/>
    <w:rsid w:val="39DE522B"/>
    <w:rsid w:val="39E80955"/>
    <w:rsid w:val="39E949E3"/>
    <w:rsid w:val="39F13347"/>
    <w:rsid w:val="39FE2D31"/>
    <w:rsid w:val="3A060204"/>
    <w:rsid w:val="3A132058"/>
    <w:rsid w:val="3A192314"/>
    <w:rsid w:val="3A1B3096"/>
    <w:rsid w:val="3A21560C"/>
    <w:rsid w:val="3A2672DE"/>
    <w:rsid w:val="3A594276"/>
    <w:rsid w:val="3A87295D"/>
    <w:rsid w:val="3A903E32"/>
    <w:rsid w:val="3A945868"/>
    <w:rsid w:val="3A950C8A"/>
    <w:rsid w:val="3A9B353C"/>
    <w:rsid w:val="3AA5474B"/>
    <w:rsid w:val="3ABD543D"/>
    <w:rsid w:val="3AD97D81"/>
    <w:rsid w:val="3ADB48B9"/>
    <w:rsid w:val="3ADB4C8E"/>
    <w:rsid w:val="3AE02433"/>
    <w:rsid w:val="3AEA6BFE"/>
    <w:rsid w:val="3AF829A4"/>
    <w:rsid w:val="3B2911F8"/>
    <w:rsid w:val="3B44206B"/>
    <w:rsid w:val="3B534F03"/>
    <w:rsid w:val="3B5A5FF0"/>
    <w:rsid w:val="3B5F36D6"/>
    <w:rsid w:val="3B7E09F5"/>
    <w:rsid w:val="3B8335B6"/>
    <w:rsid w:val="3B8A7BDA"/>
    <w:rsid w:val="3B8E1D71"/>
    <w:rsid w:val="3B924EBA"/>
    <w:rsid w:val="3B931201"/>
    <w:rsid w:val="3B983BAD"/>
    <w:rsid w:val="3BA505D8"/>
    <w:rsid w:val="3BAA15F3"/>
    <w:rsid w:val="3BB16FD5"/>
    <w:rsid w:val="3BB86AC5"/>
    <w:rsid w:val="3BC446FE"/>
    <w:rsid w:val="3BDC3C80"/>
    <w:rsid w:val="3BE37A8C"/>
    <w:rsid w:val="3BF73AF9"/>
    <w:rsid w:val="3BFA20F8"/>
    <w:rsid w:val="3C0C7AB9"/>
    <w:rsid w:val="3C101D60"/>
    <w:rsid w:val="3C152FF8"/>
    <w:rsid w:val="3C1D7038"/>
    <w:rsid w:val="3C1F4AC3"/>
    <w:rsid w:val="3C250923"/>
    <w:rsid w:val="3C4521B9"/>
    <w:rsid w:val="3C4C7147"/>
    <w:rsid w:val="3C5118C5"/>
    <w:rsid w:val="3C5B1E3C"/>
    <w:rsid w:val="3C6E5302"/>
    <w:rsid w:val="3C7446E8"/>
    <w:rsid w:val="3C8263DB"/>
    <w:rsid w:val="3C9B4138"/>
    <w:rsid w:val="3C9D1B56"/>
    <w:rsid w:val="3CA13F58"/>
    <w:rsid w:val="3CBF33A8"/>
    <w:rsid w:val="3CCF005B"/>
    <w:rsid w:val="3CEB742A"/>
    <w:rsid w:val="3CEF48EE"/>
    <w:rsid w:val="3CF50E01"/>
    <w:rsid w:val="3D0F0483"/>
    <w:rsid w:val="3D195696"/>
    <w:rsid w:val="3D1E1772"/>
    <w:rsid w:val="3D2D30AD"/>
    <w:rsid w:val="3D306E19"/>
    <w:rsid w:val="3D3E2F36"/>
    <w:rsid w:val="3D445713"/>
    <w:rsid w:val="3D5948BF"/>
    <w:rsid w:val="3D660876"/>
    <w:rsid w:val="3D894D9C"/>
    <w:rsid w:val="3D8F17BD"/>
    <w:rsid w:val="3DA57E67"/>
    <w:rsid w:val="3DBC2F76"/>
    <w:rsid w:val="3DC2196D"/>
    <w:rsid w:val="3DDA126A"/>
    <w:rsid w:val="3DF67016"/>
    <w:rsid w:val="3DF955B1"/>
    <w:rsid w:val="3E096BCD"/>
    <w:rsid w:val="3E1F649E"/>
    <w:rsid w:val="3E254385"/>
    <w:rsid w:val="3E2B56DC"/>
    <w:rsid w:val="3E2E519C"/>
    <w:rsid w:val="3E460C51"/>
    <w:rsid w:val="3E4F219A"/>
    <w:rsid w:val="3E6E58F1"/>
    <w:rsid w:val="3E7235EE"/>
    <w:rsid w:val="3E9258EE"/>
    <w:rsid w:val="3E986FAB"/>
    <w:rsid w:val="3ECB067E"/>
    <w:rsid w:val="3EEA5B12"/>
    <w:rsid w:val="3EF44C0D"/>
    <w:rsid w:val="3EF57F14"/>
    <w:rsid w:val="3F0F4E5B"/>
    <w:rsid w:val="3F1D09BC"/>
    <w:rsid w:val="3F1F58C5"/>
    <w:rsid w:val="3F204B9E"/>
    <w:rsid w:val="3F24677A"/>
    <w:rsid w:val="3F2569A0"/>
    <w:rsid w:val="3F476856"/>
    <w:rsid w:val="3F5E17C0"/>
    <w:rsid w:val="3F5E349D"/>
    <w:rsid w:val="3F6C5D21"/>
    <w:rsid w:val="3F6F5AEC"/>
    <w:rsid w:val="3F855BED"/>
    <w:rsid w:val="3F8B7032"/>
    <w:rsid w:val="3F9955BE"/>
    <w:rsid w:val="3FBB11E0"/>
    <w:rsid w:val="3FC25AFE"/>
    <w:rsid w:val="3FC42678"/>
    <w:rsid w:val="3FE04824"/>
    <w:rsid w:val="3FF658FE"/>
    <w:rsid w:val="3FF91F25"/>
    <w:rsid w:val="40017992"/>
    <w:rsid w:val="40026846"/>
    <w:rsid w:val="40046BFD"/>
    <w:rsid w:val="400B679B"/>
    <w:rsid w:val="4025735B"/>
    <w:rsid w:val="4028439C"/>
    <w:rsid w:val="402866D3"/>
    <w:rsid w:val="404624C2"/>
    <w:rsid w:val="404D4E2D"/>
    <w:rsid w:val="407024CE"/>
    <w:rsid w:val="40782313"/>
    <w:rsid w:val="409C0254"/>
    <w:rsid w:val="409C71CB"/>
    <w:rsid w:val="40A7094E"/>
    <w:rsid w:val="40B37B40"/>
    <w:rsid w:val="40D77888"/>
    <w:rsid w:val="40EB1ACC"/>
    <w:rsid w:val="40EF09F6"/>
    <w:rsid w:val="40F1455A"/>
    <w:rsid w:val="4100088E"/>
    <w:rsid w:val="411453AF"/>
    <w:rsid w:val="412462C5"/>
    <w:rsid w:val="41272C97"/>
    <w:rsid w:val="41433DA9"/>
    <w:rsid w:val="41650F8E"/>
    <w:rsid w:val="41817E40"/>
    <w:rsid w:val="418613E5"/>
    <w:rsid w:val="41883310"/>
    <w:rsid w:val="419D02AA"/>
    <w:rsid w:val="41B403BC"/>
    <w:rsid w:val="41C47F4F"/>
    <w:rsid w:val="41CD3582"/>
    <w:rsid w:val="41D272DE"/>
    <w:rsid w:val="41DA054C"/>
    <w:rsid w:val="41DF44C7"/>
    <w:rsid w:val="41F45107"/>
    <w:rsid w:val="42406AAD"/>
    <w:rsid w:val="42426BD9"/>
    <w:rsid w:val="424E37D0"/>
    <w:rsid w:val="425A238A"/>
    <w:rsid w:val="425F2D3F"/>
    <w:rsid w:val="42710F23"/>
    <w:rsid w:val="42966173"/>
    <w:rsid w:val="42AF0764"/>
    <w:rsid w:val="42B53AEC"/>
    <w:rsid w:val="42BE3AE7"/>
    <w:rsid w:val="42CF5B1A"/>
    <w:rsid w:val="42D952A8"/>
    <w:rsid w:val="42E2776B"/>
    <w:rsid w:val="42E30674"/>
    <w:rsid w:val="430D6C6A"/>
    <w:rsid w:val="431C02AB"/>
    <w:rsid w:val="43205433"/>
    <w:rsid w:val="43347E09"/>
    <w:rsid w:val="433E363C"/>
    <w:rsid w:val="433E6314"/>
    <w:rsid w:val="43465B26"/>
    <w:rsid w:val="434E7CE1"/>
    <w:rsid w:val="436554B1"/>
    <w:rsid w:val="436E2FCA"/>
    <w:rsid w:val="43721E15"/>
    <w:rsid w:val="438A03D7"/>
    <w:rsid w:val="438A34AF"/>
    <w:rsid w:val="438C5BE3"/>
    <w:rsid w:val="439067C3"/>
    <w:rsid w:val="439350C4"/>
    <w:rsid w:val="43AB08CD"/>
    <w:rsid w:val="43AE73FC"/>
    <w:rsid w:val="43D1282E"/>
    <w:rsid w:val="43D949B1"/>
    <w:rsid w:val="43E029D4"/>
    <w:rsid w:val="43F71FFF"/>
    <w:rsid w:val="44143D89"/>
    <w:rsid w:val="44221BD7"/>
    <w:rsid w:val="442408B2"/>
    <w:rsid w:val="4441236D"/>
    <w:rsid w:val="447419DC"/>
    <w:rsid w:val="447F255C"/>
    <w:rsid w:val="4488746D"/>
    <w:rsid w:val="448D6A04"/>
    <w:rsid w:val="44982F82"/>
    <w:rsid w:val="44B46EC9"/>
    <w:rsid w:val="44B97AD6"/>
    <w:rsid w:val="44C43DDA"/>
    <w:rsid w:val="44CF6E5E"/>
    <w:rsid w:val="44D34460"/>
    <w:rsid w:val="44DB1864"/>
    <w:rsid w:val="44DD3F78"/>
    <w:rsid w:val="44F87B53"/>
    <w:rsid w:val="451C411E"/>
    <w:rsid w:val="45212BFC"/>
    <w:rsid w:val="455338BC"/>
    <w:rsid w:val="455B34FC"/>
    <w:rsid w:val="45625E7F"/>
    <w:rsid w:val="45676C73"/>
    <w:rsid w:val="45695EE8"/>
    <w:rsid w:val="456A381F"/>
    <w:rsid w:val="456C73E0"/>
    <w:rsid w:val="457A1A00"/>
    <w:rsid w:val="458117B6"/>
    <w:rsid w:val="458B491E"/>
    <w:rsid w:val="458C0240"/>
    <w:rsid w:val="458E383D"/>
    <w:rsid w:val="459D6D58"/>
    <w:rsid w:val="45B50BB2"/>
    <w:rsid w:val="45C75D1D"/>
    <w:rsid w:val="45E41885"/>
    <w:rsid w:val="45EE51FB"/>
    <w:rsid w:val="46091D0E"/>
    <w:rsid w:val="460A08BF"/>
    <w:rsid w:val="461A1E75"/>
    <w:rsid w:val="462366AB"/>
    <w:rsid w:val="46301DAE"/>
    <w:rsid w:val="463770D2"/>
    <w:rsid w:val="46385CA1"/>
    <w:rsid w:val="46407D02"/>
    <w:rsid w:val="46794685"/>
    <w:rsid w:val="467D533D"/>
    <w:rsid w:val="467F03FC"/>
    <w:rsid w:val="46807C92"/>
    <w:rsid w:val="4682043A"/>
    <w:rsid w:val="46827D64"/>
    <w:rsid w:val="46940883"/>
    <w:rsid w:val="46961CF8"/>
    <w:rsid w:val="46CB4C98"/>
    <w:rsid w:val="46D34B05"/>
    <w:rsid w:val="46E26BDC"/>
    <w:rsid w:val="46E9157E"/>
    <w:rsid w:val="46FA0792"/>
    <w:rsid w:val="4703258A"/>
    <w:rsid w:val="470937EE"/>
    <w:rsid w:val="470B44BB"/>
    <w:rsid w:val="47246E3F"/>
    <w:rsid w:val="472D413F"/>
    <w:rsid w:val="47413903"/>
    <w:rsid w:val="475417FE"/>
    <w:rsid w:val="475E439F"/>
    <w:rsid w:val="477140C2"/>
    <w:rsid w:val="4775420D"/>
    <w:rsid w:val="47894034"/>
    <w:rsid w:val="4796216E"/>
    <w:rsid w:val="47A17373"/>
    <w:rsid w:val="47A35A7B"/>
    <w:rsid w:val="47A43210"/>
    <w:rsid w:val="47A55E87"/>
    <w:rsid w:val="47B262C9"/>
    <w:rsid w:val="47B31A9A"/>
    <w:rsid w:val="47B779B7"/>
    <w:rsid w:val="47BA0E2C"/>
    <w:rsid w:val="47CA7D9C"/>
    <w:rsid w:val="47CD6BD8"/>
    <w:rsid w:val="47DD17B0"/>
    <w:rsid w:val="47DD4786"/>
    <w:rsid w:val="48174760"/>
    <w:rsid w:val="481C1C7A"/>
    <w:rsid w:val="481E2651"/>
    <w:rsid w:val="482621F1"/>
    <w:rsid w:val="482D11A9"/>
    <w:rsid w:val="48793B62"/>
    <w:rsid w:val="489A324A"/>
    <w:rsid w:val="48A9797B"/>
    <w:rsid w:val="48AE0365"/>
    <w:rsid w:val="48B2253F"/>
    <w:rsid w:val="48BA4D88"/>
    <w:rsid w:val="48C02DD9"/>
    <w:rsid w:val="48C236E3"/>
    <w:rsid w:val="48C249A6"/>
    <w:rsid w:val="48CA7506"/>
    <w:rsid w:val="48E60307"/>
    <w:rsid w:val="48E65809"/>
    <w:rsid w:val="48EC5AF0"/>
    <w:rsid w:val="48FA2E34"/>
    <w:rsid w:val="48FA470F"/>
    <w:rsid w:val="48FF5B74"/>
    <w:rsid w:val="491931E5"/>
    <w:rsid w:val="49206FB1"/>
    <w:rsid w:val="49262577"/>
    <w:rsid w:val="49273762"/>
    <w:rsid w:val="49275CB1"/>
    <w:rsid w:val="49364A97"/>
    <w:rsid w:val="49523694"/>
    <w:rsid w:val="49672103"/>
    <w:rsid w:val="496874EA"/>
    <w:rsid w:val="4979042F"/>
    <w:rsid w:val="498A7D86"/>
    <w:rsid w:val="49AD2B02"/>
    <w:rsid w:val="49B7477B"/>
    <w:rsid w:val="49B845DE"/>
    <w:rsid w:val="49C42555"/>
    <w:rsid w:val="49CA75B1"/>
    <w:rsid w:val="49DB003F"/>
    <w:rsid w:val="49E33DBC"/>
    <w:rsid w:val="49E62540"/>
    <w:rsid w:val="49EC1DF9"/>
    <w:rsid w:val="49ED38CE"/>
    <w:rsid w:val="49FB1824"/>
    <w:rsid w:val="4A052577"/>
    <w:rsid w:val="4A0B424F"/>
    <w:rsid w:val="4A10563D"/>
    <w:rsid w:val="4A1C1FD5"/>
    <w:rsid w:val="4A457C89"/>
    <w:rsid w:val="4A4909B3"/>
    <w:rsid w:val="4A5146B1"/>
    <w:rsid w:val="4A5E6FA8"/>
    <w:rsid w:val="4A6D401A"/>
    <w:rsid w:val="4A933A4C"/>
    <w:rsid w:val="4AA15DB0"/>
    <w:rsid w:val="4AB44C8D"/>
    <w:rsid w:val="4AD625B4"/>
    <w:rsid w:val="4ADD1C0F"/>
    <w:rsid w:val="4AE0690F"/>
    <w:rsid w:val="4AE1361E"/>
    <w:rsid w:val="4AE81894"/>
    <w:rsid w:val="4AEA7810"/>
    <w:rsid w:val="4AFD3DBE"/>
    <w:rsid w:val="4B4A0691"/>
    <w:rsid w:val="4B4C2876"/>
    <w:rsid w:val="4B5D52D2"/>
    <w:rsid w:val="4B8A18F9"/>
    <w:rsid w:val="4B906298"/>
    <w:rsid w:val="4B91161F"/>
    <w:rsid w:val="4B966FF7"/>
    <w:rsid w:val="4B9847FA"/>
    <w:rsid w:val="4B9D28DE"/>
    <w:rsid w:val="4BA12BC2"/>
    <w:rsid w:val="4BC1706A"/>
    <w:rsid w:val="4BC82C2C"/>
    <w:rsid w:val="4BE67DDB"/>
    <w:rsid w:val="4BF91283"/>
    <w:rsid w:val="4C0F4F91"/>
    <w:rsid w:val="4C1E618B"/>
    <w:rsid w:val="4C2975CF"/>
    <w:rsid w:val="4C2C07F7"/>
    <w:rsid w:val="4C2C4B82"/>
    <w:rsid w:val="4C2F016C"/>
    <w:rsid w:val="4C327B77"/>
    <w:rsid w:val="4C6738C8"/>
    <w:rsid w:val="4C6B464F"/>
    <w:rsid w:val="4C7C09E7"/>
    <w:rsid w:val="4C8464FC"/>
    <w:rsid w:val="4CA94182"/>
    <w:rsid w:val="4CB47441"/>
    <w:rsid w:val="4CB50E7B"/>
    <w:rsid w:val="4CBC65F0"/>
    <w:rsid w:val="4CBF707D"/>
    <w:rsid w:val="4CE82799"/>
    <w:rsid w:val="4CEA5347"/>
    <w:rsid w:val="4CF3539F"/>
    <w:rsid w:val="4CF613F9"/>
    <w:rsid w:val="4CFA4C80"/>
    <w:rsid w:val="4CFB0C45"/>
    <w:rsid w:val="4D000273"/>
    <w:rsid w:val="4D227280"/>
    <w:rsid w:val="4D6D744C"/>
    <w:rsid w:val="4D7A6863"/>
    <w:rsid w:val="4D7F4F5B"/>
    <w:rsid w:val="4D7F6100"/>
    <w:rsid w:val="4D803A8E"/>
    <w:rsid w:val="4D87403A"/>
    <w:rsid w:val="4D93478D"/>
    <w:rsid w:val="4DA74367"/>
    <w:rsid w:val="4DA9427D"/>
    <w:rsid w:val="4DAC38FF"/>
    <w:rsid w:val="4DEE7858"/>
    <w:rsid w:val="4DEF1B94"/>
    <w:rsid w:val="4E224D64"/>
    <w:rsid w:val="4E3836B4"/>
    <w:rsid w:val="4E411F21"/>
    <w:rsid w:val="4E443BD0"/>
    <w:rsid w:val="4E487C6D"/>
    <w:rsid w:val="4E5112A3"/>
    <w:rsid w:val="4E764BFA"/>
    <w:rsid w:val="4E8C2ED2"/>
    <w:rsid w:val="4E9D4500"/>
    <w:rsid w:val="4E9E61A9"/>
    <w:rsid w:val="4EB61F36"/>
    <w:rsid w:val="4EBD35BF"/>
    <w:rsid w:val="4EEC73EF"/>
    <w:rsid w:val="4EF21E5C"/>
    <w:rsid w:val="4F293D50"/>
    <w:rsid w:val="4F2B524F"/>
    <w:rsid w:val="4F3B5517"/>
    <w:rsid w:val="4F417F72"/>
    <w:rsid w:val="4F4201C6"/>
    <w:rsid w:val="4F426AD0"/>
    <w:rsid w:val="4F490EAB"/>
    <w:rsid w:val="4F51643B"/>
    <w:rsid w:val="4F8D246F"/>
    <w:rsid w:val="4F9443BC"/>
    <w:rsid w:val="4F9624F9"/>
    <w:rsid w:val="4F985483"/>
    <w:rsid w:val="4FA06FDE"/>
    <w:rsid w:val="4FA83B8F"/>
    <w:rsid w:val="4FAF324C"/>
    <w:rsid w:val="4FB16608"/>
    <w:rsid w:val="4FCF3502"/>
    <w:rsid w:val="4FD85186"/>
    <w:rsid w:val="4FE21BDC"/>
    <w:rsid w:val="4FEA2EFD"/>
    <w:rsid w:val="4FEB6B6C"/>
    <w:rsid w:val="4FEC15A7"/>
    <w:rsid w:val="4FFD1E19"/>
    <w:rsid w:val="50065E74"/>
    <w:rsid w:val="500B4E7C"/>
    <w:rsid w:val="50136125"/>
    <w:rsid w:val="50450638"/>
    <w:rsid w:val="5049675C"/>
    <w:rsid w:val="505F3F60"/>
    <w:rsid w:val="50670206"/>
    <w:rsid w:val="5067692B"/>
    <w:rsid w:val="5075601B"/>
    <w:rsid w:val="50781FD3"/>
    <w:rsid w:val="507F2CB3"/>
    <w:rsid w:val="50803F07"/>
    <w:rsid w:val="508270F8"/>
    <w:rsid w:val="508C7F7A"/>
    <w:rsid w:val="5093572E"/>
    <w:rsid w:val="50970F90"/>
    <w:rsid w:val="50AC7347"/>
    <w:rsid w:val="50B53513"/>
    <w:rsid w:val="50C067C6"/>
    <w:rsid w:val="50C171B6"/>
    <w:rsid w:val="50D22106"/>
    <w:rsid w:val="50D4044F"/>
    <w:rsid w:val="50D44D81"/>
    <w:rsid w:val="50DC0CBF"/>
    <w:rsid w:val="50EC514D"/>
    <w:rsid w:val="50F73255"/>
    <w:rsid w:val="50FB517C"/>
    <w:rsid w:val="51092C64"/>
    <w:rsid w:val="51295312"/>
    <w:rsid w:val="5144369C"/>
    <w:rsid w:val="5153670D"/>
    <w:rsid w:val="515661FD"/>
    <w:rsid w:val="515A7D6D"/>
    <w:rsid w:val="51743364"/>
    <w:rsid w:val="517D4D58"/>
    <w:rsid w:val="51974A8D"/>
    <w:rsid w:val="51980C0E"/>
    <w:rsid w:val="51B34BCD"/>
    <w:rsid w:val="51D11F52"/>
    <w:rsid w:val="51E60898"/>
    <w:rsid w:val="51FD38BF"/>
    <w:rsid w:val="51FE4E43"/>
    <w:rsid w:val="52174C68"/>
    <w:rsid w:val="521A6B47"/>
    <w:rsid w:val="524733B5"/>
    <w:rsid w:val="525A2FA1"/>
    <w:rsid w:val="526A669D"/>
    <w:rsid w:val="527076A8"/>
    <w:rsid w:val="528779DC"/>
    <w:rsid w:val="528A7AD7"/>
    <w:rsid w:val="52A110C6"/>
    <w:rsid w:val="52B113C5"/>
    <w:rsid w:val="52B11E09"/>
    <w:rsid w:val="52C15A82"/>
    <w:rsid w:val="52CA7567"/>
    <w:rsid w:val="52F85248"/>
    <w:rsid w:val="52FB70DB"/>
    <w:rsid w:val="52FB74E3"/>
    <w:rsid w:val="53056EA0"/>
    <w:rsid w:val="530F6A36"/>
    <w:rsid w:val="5344020C"/>
    <w:rsid w:val="534E376D"/>
    <w:rsid w:val="5375584F"/>
    <w:rsid w:val="537C21E5"/>
    <w:rsid w:val="53865502"/>
    <w:rsid w:val="53A130CA"/>
    <w:rsid w:val="53AF5DC2"/>
    <w:rsid w:val="53C425CC"/>
    <w:rsid w:val="53C4400C"/>
    <w:rsid w:val="53CA34B9"/>
    <w:rsid w:val="53D2401D"/>
    <w:rsid w:val="53D25495"/>
    <w:rsid w:val="53E44E04"/>
    <w:rsid w:val="53EF3EB7"/>
    <w:rsid w:val="540957A8"/>
    <w:rsid w:val="543039E2"/>
    <w:rsid w:val="54336A28"/>
    <w:rsid w:val="54443C9A"/>
    <w:rsid w:val="545726E2"/>
    <w:rsid w:val="54697CDF"/>
    <w:rsid w:val="54797A1A"/>
    <w:rsid w:val="547D5A98"/>
    <w:rsid w:val="54997B51"/>
    <w:rsid w:val="54AB22AC"/>
    <w:rsid w:val="54CF5E05"/>
    <w:rsid w:val="54D51B2F"/>
    <w:rsid w:val="54DA4118"/>
    <w:rsid w:val="54F14BBA"/>
    <w:rsid w:val="54FC3711"/>
    <w:rsid w:val="55006EC8"/>
    <w:rsid w:val="55076198"/>
    <w:rsid w:val="550D5FD6"/>
    <w:rsid w:val="55274BF0"/>
    <w:rsid w:val="55362BEA"/>
    <w:rsid w:val="553F4AF2"/>
    <w:rsid w:val="554E136E"/>
    <w:rsid w:val="554F2DB2"/>
    <w:rsid w:val="55511E26"/>
    <w:rsid w:val="555939FD"/>
    <w:rsid w:val="555F1D60"/>
    <w:rsid w:val="556A08E2"/>
    <w:rsid w:val="55702EED"/>
    <w:rsid w:val="557B4D87"/>
    <w:rsid w:val="558275C0"/>
    <w:rsid w:val="55920B12"/>
    <w:rsid w:val="559C1C09"/>
    <w:rsid w:val="55BB7143"/>
    <w:rsid w:val="55C00274"/>
    <w:rsid w:val="55CB43FA"/>
    <w:rsid w:val="55D60F4A"/>
    <w:rsid w:val="55FF6ED6"/>
    <w:rsid w:val="56080A34"/>
    <w:rsid w:val="560D5CA9"/>
    <w:rsid w:val="5611577E"/>
    <w:rsid w:val="56271F7A"/>
    <w:rsid w:val="56365848"/>
    <w:rsid w:val="563B45AA"/>
    <w:rsid w:val="56456EFF"/>
    <w:rsid w:val="564E6422"/>
    <w:rsid w:val="565371AF"/>
    <w:rsid w:val="5654645E"/>
    <w:rsid w:val="565C5CDC"/>
    <w:rsid w:val="566473F6"/>
    <w:rsid w:val="56673307"/>
    <w:rsid w:val="566B44F9"/>
    <w:rsid w:val="566E065D"/>
    <w:rsid w:val="567323A3"/>
    <w:rsid w:val="56796FE4"/>
    <w:rsid w:val="5686342D"/>
    <w:rsid w:val="569E757B"/>
    <w:rsid w:val="56A3747F"/>
    <w:rsid w:val="56A55947"/>
    <w:rsid w:val="56C141A6"/>
    <w:rsid w:val="56DB1E3C"/>
    <w:rsid w:val="56EC490D"/>
    <w:rsid w:val="56F006DB"/>
    <w:rsid w:val="56F1607C"/>
    <w:rsid w:val="56F626E2"/>
    <w:rsid w:val="56F93623"/>
    <w:rsid w:val="571346BF"/>
    <w:rsid w:val="571E7AFB"/>
    <w:rsid w:val="572A43B4"/>
    <w:rsid w:val="572C7A0C"/>
    <w:rsid w:val="57340B1F"/>
    <w:rsid w:val="57362A46"/>
    <w:rsid w:val="5761303A"/>
    <w:rsid w:val="57675D7B"/>
    <w:rsid w:val="57793A26"/>
    <w:rsid w:val="578949E2"/>
    <w:rsid w:val="579A0D2C"/>
    <w:rsid w:val="57A1222D"/>
    <w:rsid w:val="57CE2424"/>
    <w:rsid w:val="57D63B38"/>
    <w:rsid w:val="57DB108D"/>
    <w:rsid w:val="57F058A0"/>
    <w:rsid w:val="58040097"/>
    <w:rsid w:val="580E241E"/>
    <w:rsid w:val="582D0651"/>
    <w:rsid w:val="5832742A"/>
    <w:rsid w:val="583B064A"/>
    <w:rsid w:val="58502237"/>
    <w:rsid w:val="58526AF0"/>
    <w:rsid w:val="58605F2E"/>
    <w:rsid w:val="587C1FDB"/>
    <w:rsid w:val="587C2BEB"/>
    <w:rsid w:val="58951D01"/>
    <w:rsid w:val="5898359F"/>
    <w:rsid w:val="58AD62DA"/>
    <w:rsid w:val="58B26EFB"/>
    <w:rsid w:val="58BA498E"/>
    <w:rsid w:val="58CC1E99"/>
    <w:rsid w:val="58D92287"/>
    <w:rsid w:val="58DE132A"/>
    <w:rsid w:val="58F25CB0"/>
    <w:rsid w:val="59002A93"/>
    <w:rsid w:val="590930CA"/>
    <w:rsid w:val="59260BAB"/>
    <w:rsid w:val="593C100D"/>
    <w:rsid w:val="5944503B"/>
    <w:rsid w:val="59537864"/>
    <w:rsid w:val="595C3A6E"/>
    <w:rsid w:val="596A7FA4"/>
    <w:rsid w:val="59714CC4"/>
    <w:rsid w:val="59783056"/>
    <w:rsid w:val="597B6906"/>
    <w:rsid w:val="5980027B"/>
    <w:rsid w:val="599331B8"/>
    <w:rsid w:val="59B41779"/>
    <w:rsid w:val="59B63750"/>
    <w:rsid w:val="59BC178B"/>
    <w:rsid w:val="59C17D1A"/>
    <w:rsid w:val="59CB4EE5"/>
    <w:rsid w:val="59D41ECE"/>
    <w:rsid w:val="59D731C7"/>
    <w:rsid w:val="59E01314"/>
    <w:rsid w:val="59E917D6"/>
    <w:rsid w:val="5A0E3DBE"/>
    <w:rsid w:val="5A0F6BF8"/>
    <w:rsid w:val="5A1276DF"/>
    <w:rsid w:val="5A410475"/>
    <w:rsid w:val="5A753752"/>
    <w:rsid w:val="5A8566A0"/>
    <w:rsid w:val="5A897219"/>
    <w:rsid w:val="5A9442F6"/>
    <w:rsid w:val="5AAD3CBE"/>
    <w:rsid w:val="5ABB01DD"/>
    <w:rsid w:val="5AC73CC7"/>
    <w:rsid w:val="5ACA47B6"/>
    <w:rsid w:val="5ADA39FB"/>
    <w:rsid w:val="5ADF2676"/>
    <w:rsid w:val="5B1E3189"/>
    <w:rsid w:val="5B3D23B4"/>
    <w:rsid w:val="5B4031EF"/>
    <w:rsid w:val="5B491AD8"/>
    <w:rsid w:val="5B5B76FE"/>
    <w:rsid w:val="5B620C53"/>
    <w:rsid w:val="5B7138E5"/>
    <w:rsid w:val="5B747CF7"/>
    <w:rsid w:val="5B7A190B"/>
    <w:rsid w:val="5B7B0EDF"/>
    <w:rsid w:val="5B8F061E"/>
    <w:rsid w:val="5B91250E"/>
    <w:rsid w:val="5B9204DF"/>
    <w:rsid w:val="5B924347"/>
    <w:rsid w:val="5B9A2D0D"/>
    <w:rsid w:val="5BA513A4"/>
    <w:rsid w:val="5BA83333"/>
    <w:rsid w:val="5BB9765A"/>
    <w:rsid w:val="5BBC6DBE"/>
    <w:rsid w:val="5BC73317"/>
    <w:rsid w:val="5BC81104"/>
    <w:rsid w:val="5BDF3655"/>
    <w:rsid w:val="5BE014E5"/>
    <w:rsid w:val="5C02145B"/>
    <w:rsid w:val="5C040F2A"/>
    <w:rsid w:val="5C072BE6"/>
    <w:rsid w:val="5C4E602D"/>
    <w:rsid w:val="5C520ADC"/>
    <w:rsid w:val="5C5B773A"/>
    <w:rsid w:val="5C66565F"/>
    <w:rsid w:val="5C7853F4"/>
    <w:rsid w:val="5C8478A8"/>
    <w:rsid w:val="5C923B91"/>
    <w:rsid w:val="5C9B714E"/>
    <w:rsid w:val="5CB40B4D"/>
    <w:rsid w:val="5CBA3AE4"/>
    <w:rsid w:val="5CCB3F3C"/>
    <w:rsid w:val="5CD3774C"/>
    <w:rsid w:val="5CEB05CC"/>
    <w:rsid w:val="5CFF7BF2"/>
    <w:rsid w:val="5D115B15"/>
    <w:rsid w:val="5D2A7366"/>
    <w:rsid w:val="5D413458"/>
    <w:rsid w:val="5D7375CB"/>
    <w:rsid w:val="5D8B3F80"/>
    <w:rsid w:val="5D942BDA"/>
    <w:rsid w:val="5DA74501"/>
    <w:rsid w:val="5DAF270C"/>
    <w:rsid w:val="5DC77448"/>
    <w:rsid w:val="5DD63C1E"/>
    <w:rsid w:val="5DE828D3"/>
    <w:rsid w:val="5DE84B55"/>
    <w:rsid w:val="5DEF22AF"/>
    <w:rsid w:val="5DF912AB"/>
    <w:rsid w:val="5DFC327F"/>
    <w:rsid w:val="5E0471AF"/>
    <w:rsid w:val="5E110958"/>
    <w:rsid w:val="5E143FEA"/>
    <w:rsid w:val="5E1B2CA8"/>
    <w:rsid w:val="5E2F405E"/>
    <w:rsid w:val="5E366317"/>
    <w:rsid w:val="5E3674FB"/>
    <w:rsid w:val="5E3B2B40"/>
    <w:rsid w:val="5E4675DF"/>
    <w:rsid w:val="5E4D3F82"/>
    <w:rsid w:val="5E532B5C"/>
    <w:rsid w:val="5E747BA3"/>
    <w:rsid w:val="5E7638C6"/>
    <w:rsid w:val="5E7A79CF"/>
    <w:rsid w:val="5E7F7332"/>
    <w:rsid w:val="5E8862BA"/>
    <w:rsid w:val="5E8E6141"/>
    <w:rsid w:val="5E9156EC"/>
    <w:rsid w:val="5E952E23"/>
    <w:rsid w:val="5EA20CD3"/>
    <w:rsid w:val="5EA332D6"/>
    <w:rsid w:val="5EAE014E"/>
    <w:rsid w:val="5EC155FD"/>
    <w:rsid w:val="5EC551A5"/>
    <w:rsid w:val="5EC709CF"/>
    <w:rsid w:val="5EC71C20"/>
    <w:rsid w:val="5EDD721D"/>
    <w:rsid w:val="5EE10B45"/>
    <w:rsid w:val="5EE476C1"/>
    <w:rsid w:val="5EE91308"/>
    <w:rsid w:val="5F036B04"/>
    <w:rsid w:val="5F1B2278"/>
    <w:rsid w:val="5F251236"/>
    <w:rsid w:val="5F2C2065"/>
    <w:rsid w:val="5F2D1FC9"/>
    <w:rsid w:val="5F461AE5"/>
    <w:rsid w:val="5F467D66"/>
    <w:rsid w:val="5F4B5EBA"/>
    <w:rsid w:val="5F50751F"/>
    <w:rsid w:val="5F71794E"/>
    <w:rsid w:val="5F7E1233"/>
    <w:rsid w:val="5F8D1984"/>
    <w:rsid w:val="5F906855"/>
    <w:rsid w:val="5F91508E"/>
    <w:rsid w:val="5F923E63"/>
    <w:rsid w:val="5FB013CF"/>
    <w:rsid w:val="5FDC64B1"/>
    <w:rsid w:val="5FE842BE"/>
    <w:rsid w:val="5FE877B7"/>
    <w:rsid w:val="5FE91C2F"/>
    <w:rsid w:val="5FF00932"/>
    <w:rsid w:val="5FF23C2E"/>
    <w:rsid w:val="60045DA0"/>
    <w:rsid w:val="602B3BB6"/>
    <w:rsid w:val="602D5FEA"/>
    <w:rsid w:val="60312211"/>
    <w:rsid w:val="604E44A4"/>
    <w:rsid w:val="605C6FBD"/>
    <w:rsid w:val="605E6143"/>
    <w:rsid w:val="606A2099"/>
    <w:rsid w:val="607C3E7C"/>
    <w:rsid w:val="608747D7"/>
    <w:rsid w:val="60E36316"/>
    <w:rsid w:val="60ED1F64"/>
    <w:rsid w:val="60F60A8E"/>
    <w:rsid w:val="610872C5"/>
    <w:rsid w:val="611418F3"/>
    <w:rsid w:val="61165C59"/>
    <w:rsid w:val="611E4621"/>
    <w:rsid w:val="61504A17"/>
    <w:rsid w:val="615E122F"/>
    <w:rsid w:val="61894A6C"/>
    <w:rsid w:val="61907F64"/>
    <w:rsid w:val="61A644DC"/>
    <w:rsid w:val="61C26A61"/>
    <w:rsid w:val="61CD7650"/>
    <w:rsid w:val="61DB6AC9"/>
    <w:rsid w:val="61DF386F"/>
    <w:rsid w:val="61DF4CF7"/>
    <w:rsid w:val="61EF339A"/>
    <w:rsid w:val="61F64AEA"/>
    <w:rsid w:val="61F66AA9"/>
    <w:rsid w:val="61F730E4"/>
    <w:rsid w:val="61FD5499"/>
    <w:rsid w:val="61FF2A5D"/>
    <w:rsid w:val="6208709F"/>
    <w:rsid w:val="62233840"/>
    <w:rsid w:val="62273E33"/>
    <w:rsid w:val="622A7BE1"/>
    <w:rsid w:val="622C5484"/>
    <w:rsid w:val="623F3A00"/>
    <w:rsid w:val="62563207"/>
    <w:rsid w:val="625D0287"/>
    <w:rsid w:val="62600C89"/>
    <w:rsid w:val="62714D82"/>
    <w:rsid w:val="627234D3"/>
    <w:rsid w:val="627957E9"/>
    <w:rsid w:val="627D0F28"/>
    <w:rsid w:val="628D3A49"/>
    <w:rsid w:val="62911181"/>
    <w:rsid w:val="629608A0"/>
    <w:rsid w:val="62B2785F"/>
    <w:rsid w:val="62B714F2"/>
    <w:rsid w:val="62D605F2"/>
    <w:rsid w:val="62DB6F32"/>
    <w:rsid w:val="62DE0DD8"/>
    <w:rsid w:val="62EA5F72"/>
    <w:rsid w:val="62EB2F54"/>
    <w:rsid w:val="62F15EA9"/>
    <w:rsid w:val="630B0EB1"/>
    <w:rsid w:val="630B3E59"/>
    <w:rsid w:val="631435F6"/>
    <w:rsid w:val="631722E6"/>
    <w:rsid w:val="6324371E"/>
    <w:rsid w:val="632E6FDA"/>
    <w:rsid w:val="63314B1F"/>
    <w:rsid w:val="633240D7"/>
    <w:rsid w:val="6339125A"/>
    <w:rsid w:val="633D21E7"/>
    <w:rsid w:val="63402869"/>
    <w:rsid w:val="63453523"/>
    <w:rsid w:val="634A4E54"/>
    <w:rsid w:val="636C6DA8"/>
    <w:rsid w:val="637916CA"/>
    <w:rsid w:val="637C1F9E"/>
    <w:rsid w:val="638C52C9"/>
    <w:rsid w:val="63A80F7E"/>
    <w:rsid w:val="63A948B2"/>
    <w:rsid w:val="63AD40A9"/>
    <w:rsid w:val="63F00885"/>
    <w:rsid w:val="63FB2F01"/>
    <w:rsid w:val="641D7C6E"/>
    <w:rsid w:val="64284CB2"/>
    <w:rsid w:val="642B477F"/>
    <w:rsid w:val="642D3888"/>
    <w:rsid w:val="643E0684"/>
    <w:rsid w:val="644B50A3"/>
    <w:rsid w:val="646A1C67"/>
    <w:rsid w:val="64BE7EEF"/>
    <w:rsid w:val="64CC16CD"/>
    <w:rsid w:val="64D034C4"/>
    <w:rsid w:val="64FE5D4C"/>
    <w:rsid w:val="65026F4F"/>
    <w:rsid w:val="65156DFA"/>
    <w:rsid w:val="6548075C"/>
    <w:rsid w:val="654C274E"/>
    <w:rsid w:val="655068D8"/>
    <w:rsid w:val="655248EE"/>
    <w:rsid w:val="65592394"/>
    <w:rsid w:val="655E226C"/>
    <w:rsid w:val="65737AF2"/>
    <w:rsid w:val="65754FB3"/>
    <w:rsid w:val="65757CAE"/>
    <w:rsid w:val="659721B5"/>
    <w:rsid w:val="65980A96"/>
    <w:rsid w:val="65AC2D5E"/>
    <w:rsid w:val="65BB0A61"/>
    <w:rsid w:val="65BB2CA7"/>
    <w:rsid w:val="65BC1424"/>
    <w:rsid w:val="65BD2897"/>
    <w:rsid w:val="65BE5B76"/>
    <w:rsid w:val="65C14BBC"/>
    <w:rsid w:val="65D535A0"/>
    <w:rsid w:val="65D95AA0"/>
    <w:rsid w:val="65DD69BA"/>
    <w:rsid w:val="65E564B3"/>
    <w:rsid w:val="65F0338C"/>
    <w:rsid w:val="65FC0D09"/>
    <w:rsid w:val="65FF6A0B"/>
    <w:rsid w:val="66033626"/>
    <w:rsid w:val="66055928"/>
    <w:rsid w:val="660668A3"/>
    <w:rsid w:val="661216F6"/>
    <w:rsid w:val="662D331D"/>
    <w:rsid w:val="664916CE"/>
    <w:rsid w:val="66522FDF"/>
    <w:rsid w:val="665A22E5"/>
    <w:rsid w:val="66663DE5"/>
    <w:rsid w:val="667867A1"/>
    <w:rsid w:val="667B2207"/>
    <w:rsid w:val="667D0566"/>
    <w:rsid w:val="669920F2"/>
    <w:rsid w:val="6699442A"/>
    <w:rsid w:val="66AD6EA7"/>
    <w:rsid w:val="66B2655C"/>
    <w:rsid w:val="66CB2032"/>
    <w:rsid w:val="66D157B7"/>
    <w:rsid w:val="66DA50CD"/>
    <w:rsid w:val="670013E5"/>
    <w:rsid w:val="673367A7"/>
    <w:rsid w:val="6758042D"/>
    <w:rsid w:val="676405A6"/>
    <w:rsid w:val="6795562D"/>
    <w:rsid w:val="67AA04E3"/>
    <w:rsid w:val="67B067E7"/>
    <w:rsid w:val="67BA0E3C"/>
    <w:rsid w:val="67C144C0"/>
    <w:rsid w:val="67D55CB4"/>
    <w:rsid w:val="67DA2152"/>
    <w:rsid w:val="68003932"/>
    <w:rsid w:val="6801362D"/>
    <w:rsid w:val="681651AD"/>
    <w:rsid w:val="681A2DAE"/>
    <w:rsid w:val="682A2EA1"/>
    <w:rsid w:val="683F5685"/>
    <w:rsid w:val="684E0D03"/>
    <w:rsid w:val="686E18DC"/>
    <w:rsid w:val="686F058B"/>
    <w:rsid w:val="68794CAB"/>
    <w:rsid w:val="68814A0A"/>
    <w:rsid w:val="6885226C"/>
    <w:rsid w:val="688B23CC"/>
    <w:rsid w:val="688E5CBD"/>
    <w:rsid w:val="689A6C5C"/>
    <w:rsid w:val="689E2E42"/>
    <w:rsid w:val="68BC0BE4"/>
    <w:rsid w:val="68CE66B5"/>
    <w:rsid w:val="68E70C76"/>
    <w:rsid w:val="68EC14C9"/>
    <w:rsid w:val="68EC5E2A"/>
    <w:rsid w:val="68ED61CE"/>
    <w:rsid w:val="68F01290"/>
    <w:rsid w:val="68FF048B"/>
    <w:rsid w:val="690D1C0D"/>
    <w:rsid w:val="69206121"/>
    <w:rsid w:val="692364E2"/>
    <w:rsid w:val="692A6CB3"/>
    <w:rsid w:val="692D7402"/>
    <w:rsid w:val="693C261D"/>
    <w:rsid w:val="694332BE"/>
    <w:rsid w:val="69456E2B"/>
    <w:rsid w:val="6960027D"/>
    <w:rsid w:val="69622C51"/>
    <w:rsid w:val="6973559F"/>
    <w:rsid w:val="69812C85"/>
    <w:rsid w:val="698A1838"/>
    <w:rsid w:val="69AA7B19"/>
    <w:rsid w:val="69B007BE"/>
    <w:rsid w:val="69C9542B"/>
    <w:rsid w:val="69D94B8A"/>
    <w:rsid w:val="69DC1124"/>
    <w:rsid w:val="69E67F0E"/>
    <w:rsid w:val="69EA352F"/>
    <w:rsid w:val="69EB275C"/>
    <w:rsid w:val="69EC258B"/>
    <w:rsid w:val="6A156F3F"/>
    <w:rsid w:val="6A1808FA"/>
    <w:rsid w:val="6A2D6AA2"/>
    <w:rsid w:val="6A347B19"/>
    <w:rsid w:val="6A5B16F0"/>
    <w:rsid w:val="6A5E64EB"/>
    <w:rsid w:val="6A6E7CEB"/>
    <w:rsid w:val="6A6F306B"/>
    <w:rsid w:val="6A707ED8"/>
    <w:rsid w:val="6A9F39CD"/>
    <w:rsid w:val="6A9F3F08"/>
    <w:rsid w:val="6AB06925"/>
    <w:rsid w:val="6AE912A5"/>
    <w:rsid w:val="6AEC3733"/>
    <w:rsid w:val="6AED4291"/>
    <w:rsid w:val="6AF91C7B"/>
    <w:rsid w:val="6B00256E"/>
    <w:rsid w:val="6B103708"/>
    <w:rsid w:val="6B15282D"/>
    <w:rsid w:val="6B1B1E71"/>
    <w:rsid w:val="6B2F718C"/>
    <w:rsid w:val="6B4B4577"/>
    <w:rsid w:val="6B562E58"/>
    <w:rsid w:val="6B6F5EA7"/>
    <w:rsid w:val="6B87273D"/>
    <w:rsid w:val="6B87372B"/>
    <w:rsid w:val="6B887AD1"/>
    <w:rsid w:val="6B980A3A"/>
    <w:rsid w:val="6BBB7546"/>
    <w:rsid w:val="6BCC568B"/>
    <w:rsid w:val="6BCD5932"/>
    <w:rsid w:val="6BD001E6"/>
    <w:rsid w:val="6BDE5D48"/>
    <w:rsid w:val="6BE35425"/>
    <w:rsid w:val="6BE936B1"/>
    <w:rsid w:val="6BF04B90"/>
    <w:rsid w:val="6C007039"/>
    <w:rsid w:val="6C0D0726"/>
    <w:rsid w:val="6C0E30F2"/>
    <w:rsid w:val="6C1C7AA8"/>
    <w:rsid w:val="6C261252"/>
    <w:rsid w:val="6C292BAA"/>
    <w:rsid w:val="6C5145CA"/>
    <w:rsid w:val="6C5A0E3F"/>
    <w:rsid w:val="6C672DB0"/>
    <w:rsid w:val="6C6E317C"/>
    <w:rsid w:val="6CA8208D"/>
    <w:rsid w:val="6CCA22B5"/>
    <w:rsid w:val="6CD30D00"/>
    <w:rsid w:val="6CD41F28"/>
    <w:rsid w:val="6CD70957"/>
    <w:rsid w:val="6CD7219F"/>
    <w:rsid w:val="6CDA4C63"/>
    <w:rsid w:val="6CE022BC"/>
    <w:rsid w:val="6CEF7D2F"/>
    <w:rsid w:val="6CF724FF"/>
    <w:rsid w:val="6D03400D"/>
    <w:rsid w:val="6D072A1E"/>
    <w:rsid w:val="6D0B038C"/>
    <w:rsid w:val="6D0C5BCF"/>
    <w:rsid w:val="6D0C63FE"/>
    <w:rsid w:val="6D22001A"/>
    <w:rsid w:val="6D326C76"/>
    <w:rsid w:val="6D5064DB"/>
    <w:rsid w:val="6D617FAC"/>
    <w:rsid w:val="6D643F46"/>
    <w:rsid w:val="6D855A48"/>
    <w:rsid w:val="6D983E58"/>
    <w:rsid w:val="6DA3670F"/>
    <w:rsid w:val="6DA74182"/>
    <w:rsid w:val="6DB07270"/>
    <w:rsid w:val="6DCF3B0B"/>
    <w:rsid w:val="6DCF7219"/>
    <w:rsid w:val="6DD21492"/>
    <w:rsid w:val="6DD932BA"/>
    <w:rsid w:val="6DFA577B"/>
    <w:rsid w:val="6E1D0CFF"/>
    <w:rsid w:val="6E234D72"/>
    <w:rsid w:val="6E2869E2"/>
    <w:rsid w:val="6E307B74"/>
    <w:rsid w:val="6E356183"/>
    <w:rsid w:val="6E467CF0"/>
    <w:rsid w:val="6E5238EF"/>
    <w:rsid w:val="6E73548C"/>
    <w:rsid w:val="6E80093C"/>
    <w:rsid w:val="6EBC1AAD"/>
    <w:rsid w:val="6EC0433E"/>
    <w:rsid w:val="6EC6456A"/>
    <w:rsid w:val="6ED625AB"/>
    <w:rsid w:val="6EE61158"/>
    <w:rsid w:val="6F067393"/>
    <w:rsid w:val="6F1617F1"/>
    <w:rsid w:val="6F30279E"/>
    <w:rsid w:val="6F3A5E50"/>
    <w:rsid w:val="6F507E6E"/>
    <w:rsid w:val="6F51445A"/>
    <w:rsid w:val="6F53145F"/>
    <w:rsid w:val="6F572923"/>
    <w:rsid w:val="6F810491"/>
    <w:rsid w:val="6F904BA3"/>
    <w:rsid w:val="6F9A381F"/>
    <w:rsid w:val="6FAD2765"/>
    <w:rsid w:val="700A4FF2"/>
    <w:rsid w:val="700D1D3E"/>
    <w:rsid w:val="70156769"/>
    <w:rsid w:val="70265F70"/>
    <w:rsid w:val="702E3465"/>
    <w:rsid w:val="70397AD2"/>
    <w:rsid w:val="704D59A7"/>
    <w:rsid w:val="705A7444"/>
    <w:rsid w:val="705D7DC2"/>
    <w:rsid w:val="705E0EC1"/>
    <w:rsid w:val="70706EF6"/>
    <w:rsid w:val="70773090"/>
    <w:rsid w:val="707D6B13"/>
    <w:rsid w:val="708533C8"/>
    <w:rsid w:val="70866BCB"/>
    <w:rsid w:val="70877D29"/>
    <w:rsid w:val="70B47A1D"/>
    <w:rsid w:val="70C64CF5"/>
    <w:rsid w:val="70CA586A"/>
    <w:rsid w:val="70CC398E"/>
    <w:rsid w:val="70D04E48"/>
    <w:rsid w:val="70DB16A4"/>
    <w:rsid w:val="70DE6808"/>
    <w:rsid w:val="710B76AF"/>
    <w:rsid w:val="7112632A"/>
    <w:rsid w:val="712A359F"/>
    <w:rsid w:val="71367099"/>
    <w:rsid w:val="7140556D"/>
    <w:rsid w:val="715635CE"/>
    <w:rsid w:val="715F63F7"/>
    <w:rsid w:val="716E21B5"/>
    <w:rsid w:val="71781716"/>
    <w:rsid w:val="71821471"/>
    <w:rsid w:val="71A42CF8"/>
    <w:rsid w:val="71AB7122"/>
    <w:rsid w:val="71B16E05"/>
    <w:rsid w:val="71B61FF9"/>
    <w:rsid w:val="71C211E7"/>
    <w:rsid w:val="71E04935"/>
    <w:rsid w:val="71EC44BB"/>
    <w:rsid w:val="72270B17"/>
    <w:rsid w:val="722958BD"/>
    <w:rsid w:val="72370168"/>
    <w:rsid w:val="724659BA"/>
    <w:rsid w:val="724E3F20"/>
    <w:rsid w:val="72633E5F"/>
    <w:rsid w:val="72684E3B"/>
    <w:rsid w:val="728F255C"/>
    <w:rsid w:val="7290701B"/>
    <w:rsid w:val="729774B3"/>
    <w:rsid w:val="72A273C9"/>
    <w:rsid w:val="72A37D71"/>
    <w:rsid w:val="72B2360B"/>
    <w:rsid w:val="72C277BD"/>
    <w:rsid w:val="72C56A66"/>
    <w:rsid w:val="72C708B1"/>
    <w:rsid w:val="72D117AD"/>
    <w:rsid w:val="72DE00E2"/>
    <w:rsid w:val="72E82DE4"/>
    <w:rsid w:val="72FA101C"/>
    <w:rsid w:val="72FE38DB"/>
    <w:rsid w:val="730178C6"/>
    <w:rsid w:val="730B3C34"/>
    <w:rsid w:val="733C5D54"/>
    <w:rsid w:val="733E2280"/>
    <w:rsid w:val="73467C55"/>
    <w:rsid w:val="735D2A6A"/>
    <w:rsid w:val="736E6D26"/>
    <w:rsid w:val="73752206"/>
    <w:rsid w:val="739506CF"/>
    <w:rsid w:val="73A0476C"/>
    <w:rsid w:val="73B122A8"/>
    <w:rsid w:val="73CB4B15"/>
    <w:rsid w:val="73E04D59"/>
    <w:rsid w:val="73EE571C"/>
    <w:rsid w:val="73FF1C8A"/>
    <w:rsid w:val="7416217D"/>
    <w:rsid w:val="741F0DF3"/>
    <w:rsid w:val="74257CB2"/>
    <w:rsid w:val="74257F85"/>
    <w:rsid w:val="742A456A"/>
    <w:rsid w:val="742B50DA"/>
    <w:rsid w:val="743F62BB"/>
    <w:rsid w:val="744452A7"/>
    <w:rsid w:val="7452624E"/>
    <w:rsid w:val="745E5BE4"/>
    <w:rsid w:val="7460296A"/>
    <w:rsid w:val="747000FD"/>
    <w:rsid w:val="747B1C59"/>
    <w:rsid w:val="747D0AFC"/>
    <w:rsid w:val="74923E79"/>
    <w:rsid w:val="7494615A"/>
    <w:rsid w:val="74D01A30"/>
    <w:rsid w:val="74D21D42"/>
    <w:rsid w:val="74D40AFA"/>
    <w:rsid w:val="74E85D69"/>
    <w:rsid w:val="74F16C32"/>
    <w:rsid w:val="74FE033B"/>
    <w:rsid w:val="75041A29"/>
    <w:rsid w:val="75092CA1"/>
    <w:rsid w:val="752D6FC4"/>
    <w:rsid w:val="75310809"/>
    <w:rsid w:val="75402EB9"/>
    <w:rsid w:val="75487B85"/>
    <w:rsid w:val="754C5887"/>
    <w:rsid w:val="75504FB1"/>
    <w:rsid w:val="755F58B6"/>
    <w:rsid w:val="75641A55"/>
    <w:rsid w:val="757E0F15"/>
    <w:rsid w:val="758D5C07"/>
    <w:rsid w:val="759A6583"/>
    <w:rsid w:val="75C20DFC"/>
    <w:rsid w:val="75C335B1"/>
    <w:rsid w:val="75CC3C1F"/>
    <w:rsid w:val="75E52812"/>
    <w:rsid w:val="75F86D38"/>
    <w:rsid w:val="760F6E76"/>
    <w:rsid w:val="761A2550"/>
    <w:rsid w:val="761B1579"/>
    <w:rsid w:val="764F3FF2"/>
    <w:rsid w:val="76724A6B"/>
    <w:rsid w:val="76764539"/>
    <w:rsid w:val="76801A71"/>
    <w:rsid w:val="768435C3"/>
    <w:rsid w:val="76884D92"/>
    <w:rsid w:val="768947FB"/>
    <w:rsid w:val="768A2067"/>
    <w:rsid w:val="769972BF"/>
    <w:rsid w:val="769C5969"/>
    <w:rsid w:val="769D30F7"/>
    <w:rsid w:val="76B4739E"/>
    <w:rsid w:val="76B72366"/>
    <w:rsid w:val="76BB1AB8"/>
    <w:rsid w:val="76CC36C7"/>
    <w:rsid w:val="76CD6A90"/>
    <w:rsid w:val="76D80180"/>
    <w:rsid w:val="76E432E5"/>
    <w:rsid w:val="76E80284"/>
    <w:rsid w:val="76F250AF"/>
    <w:rsid w:val="77147E3D"/>
    <w:rsid w:val="771E0D7D"/>
    <w:rsid w:val="771E6722"/>
    <w:rsid w:val="772D05BA"/>
    <w:rsid w:val="773B18D3"/>
    <w:rsid w:val="7749327E"/>
    <w:rsid w:val="774D1837"/>
    <w:rsid w:val="774E5006"/>
    <w:rsid w:val="77555A3C"/>
    <w:rsid w:val="77657860"/>
    <w:rsid w:val="77684B23"/>
    <w:rsid w:val="776913AD"/>
    <w:rsid w:val="776B7FBE"/>
    <w:rsid w:val="778408B9"/>
    <w:rsid w:val="7788135B"/>
    <w:rsid w:val="77951F8C"/>
    <w:rsid w:val="77B51620"/>
    <w:rsid w:val="77C93D96"/>
    <w:rsid w:val="77C962F4"/>
    <w:rsid w:val="77CE5240"/>
    <w:rsid w:val="77D9117E"/>
    <w:rsid w:val="77DF46C2"/>
    <w:rsid w:val="78006248"/>
    <w:rsid w:val="781E0BF1"/>
    <w:rsid w:val="782A6026"/>
    <w:rsid w:val="7870167A"/>
    <w:rsid w:val="7877104D"/>
    <w:rsid w:val="787F2808"/>
    <w:rsid w:val="788D2E10"/>
    <w:rsid w:val="78AA331D"/>
    <w:rsid w:val="78B33158"/>
    <w:rsid w:val="78CA20AC"/>
    <w:rsid w:val="78DC43A1"/>
    <w:rsid w:val="78DF2F13"/>
    <w:rsid w:val="78E026CC"/>
    <w:rsid w:val="78E249B9"/>
    <w:rsid w:val="78E4566E"/>
    <w:rsid w:val="78EA3694"/>
    <w:rsid w:val="78EC6E88"/>
    <w:rsid w:val="78F638EB"/>
    <w:rsid w:val="78FD502C"/>
    <w:rsid w:val="79085ECF"/>
    <w:rsid w:val="7908794F"/>
    <w:rsid w:val="790E3125"/>
    <w:rsid w:val="790F40E8"/>
    <w:rsid w:val="791122B7"/>
    <w:rsid w:val="79142376"/>
    <w:rsid w:val="793204E1"/>
    <w:rsid w:val="793C54BF"/>
    <w:rsid w:val="79534153"/>
    <w:rsid w:val="796203D5"/>
    <w:rsid w:val="796C39EB"/>
    <w:rsid w:val="796E0628"/>
    <w:rsid w:val="797B6599"/>
    <w:rsid w:val="797E210D"/>
    <w:rsid w:val="798263CB"/>
    <w:rsid w:val="799D48F2"/>
    <w:rsid w:val="79A406CC"/>
    <w:rsid w:val="79AA06C1"/>
    <w:rsid w:val="79AA3B80"/>
    <w:rsid w:val="79B04110"/>
    <w:rsid w:val="79CB04FA"/>
    <w:rsid w:val="79CF6176"/>
    <w:rsid w:val="79D3455F"/>
    <w:rsid w:val="79F117BC"/>
    <w:rsid w:val="79FA77BE"/>
    <w:rsid w:val="7A0057D4"/>
    <w:rsid w:val="7A027082"/>
    <w:rsid w:val="7A0D44B2"/>
    <w:rsid w:val="7A0E5F99"/>
    <w:rsid w:val="7A15537C"/>
    <w:rsid w:val="7A211BA1"/>
    <w:rsid w:val="7A252A8D"/>
    <w:rsid w:val="7A524ED4"/>
    <w:rsid w:val="7A5821DF"/>
    <w:rsid w:val="7A93648E"/>
    <w:rsid w:val="7A9B7AAB"/>
    <w:rsid w:val="7AB107B8"/>
    <w:rsid w:val="7AC70CC5"/>
    <w:rsid w:val="7AC7343F"/>
    <w:rsid w:val="7AF04C0C"/>
    <w:rsid w:val="7B022ACB"/>
    <w:rsid w:val="7B611E58"/>
    <w:rsid w:val="7B6D2B2D"/>
    <w:rsid w:val="7B8B4835"/>
    <w:rsid w:val="7B8C6B3B"/>
    <w:rsid w:val="7BA170C5"/>
    <w:rsid w:val="7BA638DA"/>
    <w:rsid w:val="7BCF384A"/>
    <w:rsid w:val="7BD950A4"/>
    <w:rsid w:val="7BDB0C6F"/>
    <w:rsid w:val="7BE023C4"/>
    <w:rsid w:val="7BE17824"/>
    <w:rsid w:val="7C035F69"/>
    <w:rsid w:val="7C2332F9"/>
    <w:rsid w:val="7C323F5E"/>
    <w:rsid w:val="7C440408"/>
    <w:rsid w:val="7C4D285C"/>
    <w:rsid w:val="7C5149D9"/>
    <w:rsid w:val="7C5B29C3"/>
    <w:rsid w:val="7C5F77DF"/>
    <w:rsid w:val="7C6B1FFA"/>
    <w:rsid w:val="7C97591C"/>
    <w:rsid w:val="7CA0464C"/>
    <w:rsid w:val="7CA479C0"/>
    <w:rsid w:val="7CA930A0"/>
    <w:rsid w:val="7CBA1488"/>
    <w:rsid w:val="7CBF4FB1"/>
    <w:rsid w:val="7CC81BBB"/>
    <w:rsid w:val="7CD42548"/>
    <w:rsid w:val="7CD457D4"/>
    <w:rsid w:val="7CD955FE"/>
    <w:rsid w:val="7CE9716A"/>
    <w:rsid w:val="7CEC10A3"/>
    <w:rsid w:val="7CF02A4D"/>
    <w:rsid w:val="7CF04F18"/>
    <w:rsid w:val="7CF46848"/>
    <w:rsid w:val="7CFB5D27"/>
    <w:rsid w:val="7D0C7941"/>
    <w:rsid w:val="7D11178C"/>
    <w:rsid w:val="7D1B1C16"/>
    <w:rsid w:val="7D361B75"/>
    <w:rsid w:val="7D371ACC"/>
    <w:rsid w:val="7D430986"/>
    <w:rsid w:val="7D4F019E"/>
    <w:rsid w:val="7D503CE9"/>
    <w:rsid w:val="7D5567B3"/>
    <w:rsid w:val="7D58646E"/>
    <w:rsid w:val="7D6F419A"/>
    <w:rsid w:val="7D7B5978"/>
    <w:rsid w:val="7D8338A0"/>
    <w:rsid w:val="7D9958B5"/>
    <w:rsid w:val="7DA71A0B"/>
    <w:rsid w:val="7DA82DFF"/>
    <w:rsid w:val="7DB3750E"/>
    <w:rsid w:val="7DB40FFC"/>
    <w:rsid w:val="7DB80AFC"/>
    <w:rsid w:val="7DC73B37"/>
    <w:rsid w:val="7DC96E73"/>
    <w:rsid w:val="7DD058B5"/>
    <w:rsid w:val="7E17093E"/>
    <w:rsid w:val="7E4612D8"/>
    <w:rsid w:val="7E4D61BD"/>
    <w:rsid w:val="7E6935B8"/>
    <w:rsid w:val="7E856B35"/>
    <w:rsid w:val="7E9862A2"/>
    <w:rsid w:val="7EB06E97"/>
    <w:rsid w:val="7EBF0FE8"/>
    <w:rsid w:val="7ECD2F75"/>
    <w:rsid w:val="7ED55D5F"/>
    <w:rsid w:val="7EE347FC"/>
    <w:rsid w:val="7EFE2D76"/>
    <w:rsid w:val="7F2559FD"/>
    <w:rsid w:val="7F256C6D"/>
    <w:rsid w:val="7F3E33A7"/>
    <w:rsid w:val="7F604DF2"/>
    <w:rsid w:val="7F65392B"/>
    <w:rsid w:val="7F6C677E"/>
    <w:rsid w:val="7F721E4B"/>
    <w:rsid w:val="7F72298E"/>
    <w:rsid w:val="7F781693"/>
    <w:rsid w:val="7F7D6A5A"/>
    <w:rsid w:val="7F7F7B2F"/>
    <w:rsid w:val="7F8D57FA"/>
    <w:rsid w:val="7FA50648"/>
    <w:rsid w:val="7FA51F7A"/>
    <w:rsid w:val="7FB21ED4"/>
    <w:rsid w:val="7FE0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黑体"/>
      <w:sz w:val="34"/>
      <w:szCs w:val="22"/>
      <w:lang w:val="en-US" w:eastAsia="zh-CN" w:bidi="ar-SA"/>
    </w:rPr>
  </w:style>
  <w:style w:type="paragraph" w:styleId="3">
    <w:name w:val="heading 1"/>
    <w:basedOn w:val="1"/>
    <w:next w:val="1"/>
    <w:link w:val="36"/>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link w:val="35"/>
    <w:unhideWhenUsed/>
    <w:qFormat/>
    <w:uiPriority w:val="9"/>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7"/>
    <w:unhideWhenUsed/>
    <w:qFormat/>
    <w:uiPriority w:val="9"/>
    <w:pPr>
      <w:keepNext/>
      <w:keepLines/>
      <w:spacing w:before="260" w:after="260" w:line="415" w:lineRule="auto"/>
      <w:outlineLvl w:val="2"/>
    </w:pPr>
    <w:rPr>
      <w:b/>
      <w:bCs/>
      <w:sz w:val="32"/>
      <w:szCs w:val="32"/>
    </w:rPr>
  </w:style>
  <w:style w:type="paragraph" w:styleId="6">
    <w:name w:val="heading 4"/>
    <w:basedOn w:val="1"/>
    <w:next w:val="1"/>
    <w:link w:val="38"/>
    <w:qFormat/>
    <w:uiPriority w:val="9"/>
    <w:pPr>
      <w:widowControl/>
      <w:jc w:val="left"/>
      <w:outlineLvl w:val="3"/>
    </w:pPr>
    <w:rPr>
      <w:rFonts w:hAnsi="宋体" w:cs="宋体"/>
      <w:b/>
      <w:bCs/>
      <w:sz w:val="24"/>
      <w:szCs w:val="24"/>
    </w:rPr>
  </w:style>
  <w:style w:type="paragraph" w:styleId="7">
    <w:name w:val="heading 5"/>
    <w:basedOn w:val="1"/>
    <w:next w:val="1"/>
    <w:link w:val="39"/>
    <w:qFormat/>
    <w:uiPriority w:val="9"/>
    <w:pPr>
      <w:widowControl/>
      <w:jc w:val="left"/>
      <w:outlineLvl w:val="4"/>
    </w:pPr>
    <w:rPr>
      <w:rFonts w:hAnsi="宋体" w:cs="宋体"/>
      <w:b/>
      <w:bCs/>
      <w:sz w:val="20"/>
      <w:szCs w:val="20"/>
    </w:rPr>
  </w:style>
  <w:style w:type="paragraph" w:styleId="8">
    <w:name w:val="heading 6"/>
    <w:basedOn w:val="1"/>
    <w:next w:val="1"/>
    <w:link w:val="40"/>
    <w:qFormat/>
    <w:uiPriority w:val="9"/>
    <w:pPr>
      <w:widowControl/>
      <w:jc w:val="left"/>
      <w:outlineLvl w:val="5"/>
    </w:pPr>
    <w:rPr>
      <w:rFonts w:hAnsi="宋体" w:cs="宋体"/>
      <w:b/>
      <w:bCs/>
      <w:sz w:val="15"/>
      <w:szCs w:val="15"/>
    </w:rPr>
  </w:style>
  <w:style w:type="paragraph" w:styleId="9">
    <w:name w:val="heading 7"/>
    <w:basedOn w:val="1"/>
    <w:next w:val="1"/>
    <w:link w:val="41"/>
    <w:qFormat/>
    <w:uiPriority w:val="0"/>
    <w:pPr>
      <w:keepNext/>
      <w:keepLines/>
      <w:spacing w:before="240" w:after="64" w:line="317" w:lineRule="auto"/>
      <w:outlineLvl w:val="6"/>
    </w:pPr>
    <w:rPr>
      <w:rFonts w:ascii="Calibri" w:cs="Times New Roman"/>
      <w:b/>
      <w:bCs/>
      <w:sz w:val="24"/>
      <w:szCs w:val="24"/>
    </w:rPr>
  </w:style>
  <w:style w:type="paragraph" w:styleId="10">
    <w:name w:val="heading 8"/>
    <w:basedOn w:val="1"/>
    <w:next w:val="1"/>
    <w:link w:val="42"/>
    <w:qFormat/>
    <w:uiPriority w:val="0"/>
    <w:pPr>
      <w:keepNext/>
      <w:keepLines/>
      <w:spacing w:before="240" w:after="64" w:line="317" w:lineRule="auto"/>
      <w:outlineLvl w:val="7"/>
    </w:pPr>
    <w:rPr>
      <w:rFonts w:ascii="Cambria" w:hAnsi="Cambria" w:cs="Times New Roman"/>
      <w:sz w:val="24"/>
      <w:szCs w:val="24"/>
    </w:rPr>
  </w:style>
  <w:style w:type="paragraph" w:styleId="11">
    <w:name w:val="heading 9"/>
    <w:basedOn w:val="1"/>
    <w:next w:val="1"/>
    <w:link w:val="43"/>
    <w:qFormat/>
    <w:uiPriority w:val="0"/>
    <w:pPr>
      <w:keepNext/>
      <w:keepLines/>
      <w:spacing w:before="240" w:after="64" w:line="317" w:lineRule="auto"/>
      <w:outlineLvl w:val="8"/>
    </w:pPr>
    <w:rPr>
      <w:rFonts w:ascii="Cambria" w:hAnsi="Cambria" w:cs="Times New Roman"/>
      <w:sz w:val="20"/>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华文中宋" w:eastAsia="华文中宋"/>
      <w:bCs/>
      <w:sz w:val="28"/>
    </w:rPr>
  </w:style>
  <w:style w:type="paragraph" w:styleId="12">
    <w:name w:val="Normal Indent"/>
    <w:basedOn w:val="1"/>
    <w:qFormat/>
    <w:uiPriority w:val="0"/>
    <w:pPr>
      <w:ind w:firstLine="200" w:firstLineChars="200"/>
    </w:pPr>
  </w:style>
  <w:style w:type="paragraph" w:styleId="13">
    <w:name w:val="Document Map"/>
    <w:basedOn w:val="1"/>
    <w:link w:val="89"/>
    <w:qFormat/>
    <w:uiPriority w:val="0"/>
    <w:rPr>
      <w:sz w:val="18"/>
      <w:szCs w:val="18"/>
    </w:rPr>
  </w:style>
  <w:style w:type="paragraph" w:styleId="14">
    <w:name w:val="annotation text"/>
    <w:basedOn w:val="1"/>
    <w:qFormat/>
    <w:uiPriority w:val="0"/>
    <w:pPr>
      <w:jc w:val="left"/>
    </w:pPr>
  </w:style>
  <w:style w:type="paragraph" w:styleId="15">
    <w:name w:val="Body Text 3"/>
    <w:basedOn w:val="1"/>
    <w:unhideWhenUsed/>
    <w:qFormat/>
    <w:uiPriority w:val="99"/>
    <w:pPr>
      <w:spacing w:after="120"/>
    </w:pPr>
    <w:rPr>
      <w:sz w:val="16"/>
      <w:szCs w:val="16"/>
    </w:rPr>
  </w:style>
  <w:style w:type="paragraph" w:styleId="16">
    <w:name w:val="Body Text Indent"/>
    <w:basedOn w:val="1"/>
    <w:qFormat/>
    <w:uiPriority w:val="0"/>
    <w:pPr>
      <w:ind w:firstLine="630"/>
    </w:pPr>
    <w:rPr>
      <w:sz w:val="32"/>
      <w:szCs w:val="20"/>
    </w:rPr>
  </w:style>
  <w:style w:type="paragraph" w:styleId="17">
    <w:name w:val="toc 5"/>
    <w:basedOn w:val="1"/>
    <w:next w:val="1"/>
    <w:qFormat/>
    <w:uiPriority w:val="39"/>
    <w:pPr>
      <w:ind w:left="1680" w:leftChars="800"/>
    </w:pPr>
  </w:style>
  <w:style w:type="paragraph" w:styleId="18">
    <w:name w:val="Plain Text"/>
    <w:basedOn w:val="1"/>
    <w:qFormat/>
    <w:uiPriority w:val="0"/>
    <w:pPr>
      <w:autoSpaceDE w:val="0"/>
      <w:autoSpaceDN w:val="0"/>
      <w:adjustRightInd w:val="0"/>
    </w:pPr>
    <w:rPr>
      <w:rFonts w:hAnsi="Tms Rmn"/>
      <w:szCs w:val="20"/>
    </w:rPr>
  </w:style>
  <w:style w:type="paragraph" w:styleId="19">
    <w:name w:val="Body Text Indent 2"/>
    <w:basedOn w:val="1"/>
    <w:qFormat/>
    <w:uiPriority w:val="0"/>
    <w:pPr>
      <w:spacing w:after="120" w:line="480" w:lineRule="auto"/>
      <w:ind w:left="420" w:leftChars="200"/>
    </w:pPr>
    <w:rPr>
      <w:rFonts w:ascii="Times New Roman" w:hAnsi="Times New Roman" w:cs="Times New Roman"/>
      <w:szCs w:val="24"/>
    </w:rPr>
  </w:style>
  <w:style w:type="paragraph" w:styleId="20">
    <w:name w:val="Balloon Text"/>
    <w:basedOn w:val="1"/>
    <w:link w:val="44"/>
    <w:unhideWhenUsed/>
    <w:qFormat/>
    <w:uiPriority w:val="99"/>
    <w:rPr>
      <w:rFonts w:ascii="Calibri" w:cs="Times New Roman"/>
      <w:kern w:val="2"/>
      <w:sz w:val="18"/>
      <w:szCs w:val="18"/>
    </w:rPr>
  </w:style>
  <w:style w:type="paragraph" w:styleId="21">
    <w:name w:val="footer"/>
    <w:basedOn w:val="1"/>
    <w:link w:val="45"/>
    <w:qFormat/>
    <w:uiPriority w:val="99"/>
    <w:pPr>
      <w:tabs>
        <w:tab w:val="center" w:pos="4153"/>
        <w:tab w:val="right" w:pos="8306"/>
      </w:tabs>
      <w:snapToGrid w:val="0"/>
      <w:jc w:val="left"/>
    </w:pPr>
    <w:rPr>
      <w:sz w:val="18"/>
      <w:szCs w:val="20"/>
    </w:rPr>
  </w:style>
  <w:style w:type="paragraph" w:styleId="22">
    <w:name w:val="header"/>
    <w:basedOn w:val="1"/>
    <w:link w:val="46"/>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0"/>
  </w:style>
  <w:style w:type="paragraph" w:styleId="24">
    <w:name w:val="Subtitle"/>
    <w:basedOn w:val="1"/>
    <w:next w:val="1"/>
    <w:qFormat/>
    <w:uiPriority w:val="0"/>
    <w:rPr>
      <w:sz w:val="28"/>
      <w:szCs w:val="20"/>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Times New Roman"/>
      <w:szCs w:val="21"/>
    </w:rPr>
  </w:style>
  <w:style w:type="paragraph" w:styleId="26">
    <w:name w:val="Normal (Web)"/>
    <w:basedOn w:val="1"/>
    <w:qFormat/>
    <w:uiPriority w:val="0"/>
    <w:pPr>
      <w:widowControl/>
      <w:spacing w:before="100" w:beforeAutospacing="1" w:after="100" w:afterAutospacing="1"/>
      <w:jc w:val="left"/>
    </w:pPr>
    <w:rPr>
      <w:sz w:val="18"/>
      <w:szCs w:val="18"/>
    </w:rPr>
  </w:style>
  <w:style w:type="paragraph" w:styleId="27">
    <w:name w:val="index 1"/>
    <w:basedOn w:val="28"/>
    <w:next w:val="28"/>
    <w:qFormat/>
    <w:uiPriority w:val="99"/>
    <w:rPr>
      <w:rFonts w:ascii="Times New Roman" w:hAnsi="Times New Roman"/>
      <w:szCs w:val="24"/>
    </w:rPr>
  </w:style>
  <w:style w:type="paragraph" w:customStyle="1" w:styleId="28">
    <w:name w:val="Normal_1"/>
    <w:qFormat/>
    <w:uiPriority w:val="0"/>
    <w:pPr>
      <w:widowControl w:val="0"/>
      <w:jc w:val="both"/>
    </w:pPr>
    <w:rPr>
      <w:rFonts w:ascii="Calibri" w:hAnsi="Calibri" w:eastAsia="宋体" w:cs="Times New Roman"/>
      <w:kern w:val="2"/>
      <w:sz w:val="21"/>
      <w:szCs w:val="22"/>
      <w:lang w:val="en-US" w:eastAsia="zh-CN" w:bidi="ar-SA"/>
    </w:rPr>
  </w:style>
  <w:style w:type="paragraph" w:styleId="29">
    <w:name w:val="Body Text First Indent"/>
    <w:basedOn w:val="2"/>
    <w:next w:val="1"/>
    <w:qFormat/>
    <w:uiPriority w:val="0"/>
    <w:pPr>
      <w:ind w:firstLine="420" w:firstLineChars="100"/>
    </w:pPr>
  </w:style>
  <w:style w:type="paragraph" w:styleId="30">
    <w:name w:val="Body Text First Indent 2"/>
    <w:basedOn w:val="16"/>
    <w:unhideWhenUsed/>
    <w:qFormat/>
    <w:uiPriority w:val="99"/>
    <w:pPr>
      <w:ind w:firstLine="880" w:firstLineChars="200"/>
    </w:pPr>
    <w:rPr>
      <w:rFonts w:eastAsia="仿宋_GB2312"/>
      <w:szCs w:val="22"/>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annotation reference"/>
    <w:basedOn w:val="33"/>
    <w:qFormat/>
    <w:uiPriority w:val="0"/>
    <w:rPr>
      <w:sz w:val="21"/>
      <w:szCs w:val="21"/>
    </w:rPr>
  </w:style>
  <w:style w:type="character" w:customStyle="1" w:styleId="35">
    <w:name w:val="标题 2 Char1"/>
    <w:basedOn w:val="33"/>
    <w:link w:val="4"/>
    <w:qFormat/>
    <w:uiPriority w:val="9"/>
    <w:rPr>
      <w:rFonts w:ascii="Arial" w:hAnsi="Arial" w:eastAsia="黑体" w:cs="黑体"/>
      <w:b/>
      <w:bCs/>
      <w:sz w:val="32"/>
      <w:szCs w:val="32"/>
    </w:rPr>
  </w:style>
  <w:style w:type="character" w:customStyle="1" w:styleId="36">
    <w:name w:val="标题 1 Char"/>
    <w:link w:val="3"/>
    <w:qFormat/>
    <w:uiPriority w:val="9"/>
    <w:rPr>
      <w:b/>
      <w:bCs/>
      <w:kern w:val="44"/>
      <w:sz w:val="44"/>
      <w:szCs w:val="44"/>
    </w:rPr>
  </w:style>
  <w:style w:type="character" w:customStyle="1" w:styleId="37">
    <w:name w:val="标题 3 Char"/>
    <w:basedOn w:val="33"/>
    <w:link w:val="5"/>
    <w:qFormat/>
    <w:uiPriority w:val="9"/>
    <w:rPr>
      <w:rFonts w:ascii="宋体" w:hAnsi="Calibri" w:cs="黑体"/>
      <w:b/>
      <w:bCs/>
      <w:sz w:val="32"/>
      <w:szCs w:val="32"/>
    </w:rPr>
  </w:style>
  <w:style w:type="character" w:customStyle="1" w:styleId="38">
    <w:name w:val="标题 4 Char"/>
    <w:basedOn w:val="33"/>
    <w:link w:val="6"/>
    <w:qFormat/>
    <w:uiPriority w:val="9"/>
    <w:rPr>
      <w:rFonts w:ascii="宋体" w:hAnsi="宋体" w:cs="宋体"/>
      <w:b/>
      <w:bCs/>
      <w:sz w:val="24"/>
      <w:szCs w:val="24"/>
    </w:rPr>
  </w:style>
  <w:style w:type="character" w:customStyle="1" w:styleId="39">
    <w:name w:val="标题 5 Char"/>
    <w:basedOn w:val="33"/>
    <w:link w:val="7"/>
    <w:qFormat/>
    <w:uiPriority w:val="9"/>
    <w:rPr>
      <w:rFonts w:ascii="宋体" w:hAnsi="宋体" w:cs="宋体"/>
      <w:b/>
      <w:bCs/>
    </w:rPr>
  </w:style>
  <w:style w:type="character" w:customStyle="1" w:styleId="40">
    <w:name w:val="标题 6 Char"/>
    <w:basedOn w:val="33"/>
    <w:link w:val="8"/>
    <w:qFormat/>
    <w:uiPriority w:val="9"/>
    <w:rPr>
      <w:rFonts w:ascii="宋体" w:hAnsi="宋体" w:cs="宋体"/>
      <w:b/>
      <w:bCs/>
      <w:sz w:val="15"/>
      <w:szCs w:val="15"/>
    </w:rPr>
  </w:style>
  <w:style w:type="character" w:customStyle="1" w:styleId="41">
    <w:name w:val="标题 7 Char"/>
    <w:basedOn w:val="33"/>
    <w:link w:val="9"/>
    <w:qFormat/>
    <w:uiPriority w:val="0"/>
    <w:rPr>
      <w:rFonts w:ascii="Calibri" w:hAnsi="Calibri"/>
      <w:b/>
      <w:bCs/>
      <w:sz w:val="24"/>
      <w:szCs w:val="24"/>
    </w:rPr>
  </w:style>
  <w:style w:type="character" w:customStyle="1" w:styleId="42">
    <w:name w:val="标题 8 Char"/>
    <w:basedOn w:val="33"/>
    <w:link w:val="10"/>
    <w:qFormat/>
    <w:uiPriority w:val="0"/>
    <w:rPr>
      <w:rFonts w:ascii="Cambria" w:hAnsi="Cambria"/>
      <w:sz w:val="24"/>
      <w:szCs w:val="24"/>
    </w:rPr>
  </w:style>
  <w:style w:type="character" w:customStyle="1" w:styleId="43">
    <w:name w:val="标题 9 Char"/>
    <w:basedOn w:val="33"/>
    <w:link w:val="11"/>
    <w:qFormat/>
    <w:uiPriority w:val="0"/>
    <w:rPr>
      <w:rFonts w:ascii="Cambria" w:hAnsi="Cambria"/>
      <w:szCs w:val="21"/>
    </w:rPr>
  </w:style>
  <w:style w:type="character" w:customStyle="1" w:styleId="44">
    <w:name w:val="批注框文本 Char"/>
    <w:basedOn w:val="33"/>
    <w:link w:val="20"/>
    <w:qFormat/>
    <w:uiPriority w:val="99"/>
    <w:rPr>
      <w:rFonts w:ascii="Calibri" w:hAnsi="Calibri" w:eastAsia="宋体" w:cs="Times New Roman"/>
      <w:kern w:val="2"/>
      <w:sz w:val="18"/>
      <w:szCs w:val="18"/>
    </w:rPr>
  </w:style>
  <w:style w:type="character" w:customStyle="1" w:styleId="45">
    <w:name w:val="页脚 Char"/>
    <w:basedOn w:val="33"/>
    <w:link w:val="21"/>
    <w:qFormat/>
    <w:uiPriority w:val="99"/>
    <w:rPr>
      <w:rFonts w:ascii="宋体" w:hAnsi="Calibri" w:cs="黑体"/>
      <w:sz w:val="18"/>
    </w:rPr>
  </w:style>
  <w:style w:type="character" w:customStyle="1" w:styleId="46">
    <w:name w:val="页眉 Char"/>
    <w:basedOn w:val="33"/>
    <w:link w:val="22"/>
    <w:qFormat/>
    <w:uiPriority w:val="99"/>
    <w:rPr>
      <w:rFonts w:ascii="宋体" w:hAnsi="Calibri" w:cs="黑体"/>
      <w:sz w:val="18"/>
    </w:rPr>
  </w:style>
  <w:style w:type="paragraph" w:customStyle="1" w:styleId="47">
    <w:name w:val="标题 5（有编号）（绿盟科技）"/>
    <w:basedOn w:val="1"/>
    <w:next w:val="48"/>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48">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9">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character" w:customStyle="1" w:styleId="50">
    <w:name w:val="font21"/>
    <w:basedOn w:val="33"/>
    <w:qFormat/>
    <w:uiPriority w:val="0"/>
    <w:rPr>
      <w:rFonts w:hint="eastAsia" w:ascii="宋体" w:hAnsi="宋体" w:eastAsia="宋体" w:cs="宋体"/>
      <w:color w:val="000000"/>
      <w:sz w:val="24"/>
      <w:szCs w:val="24"/>
      <w:u w:val="none"/>
    </w:rPr>
  </w:style>
  <w:style w:type="character" w:customStyle="1" w:styleId="51">
    <w:name w:val="标题 2 Char"/>
    <w:basedOn w:val="33"/>
    <w:link w:val="52"/>
    <w:qFormat/>
    <w:uiPriority w:val="99"/>
    <w:rPr>
      <w:rFonts w:ascii="Cambria" w:hAnsi="Cambria" w:eastAsia="宋体" w:cs="Times New Roman"/>
      <w:b/>
      <w:bCs/>
      <w:sz w:val="32"/>
      <w:szCs w:val="32"/>
    </w:rPr>
  </w:style>
  <w:style w:type="paragraph" w:customStyle="1" w:styleId="52">
    <w:name w:val="Heading 2_0"/>
    <w:basedOn w:val="28"/>
    <w:link w:val="51"/>
    <w:qFormat/>
    <w:uiPriority w:val="99"/>
    <w:pPr>
      <w:widowControl/>
      <w:jc w:val="left"/>
      <w:outlineLvl w:val="1"/>
    </w:pPr>
    <w:rPr>
      <w:rFonts w:ascii="Cambria" w:hAnsi="Cambria"/>
      <w:b/>
      <w:bCs/>
      <w:kern w:val="0"/>
      <w:sz w:val="32"/>
      <w:szCs w:val="32"/>
    </w:rPr>
  </w:style>
  <w:style w:type="character" w:customStyle="1" w:styleId="53">
    <w:name w:val="font41"/>
    <w:basedOn w:val="33"/>
    <w:qFormat/>
    <w:uiPriority w:val="0"/>
    <w:rPr>
      <w:rFonts w:hint="eastAsia" w:ascii="宋体" w:hAnsi="宋体" w:eastAsia="宋体" w:cs="宋体"/>
      <w:color w:val="000000"/>
      <w:sz w:val="24"/>
      <w:szCs w:val="24"/>
      <w:u w:val="none"/>
    </w:rPr>
  </w:style>
  <w:style w:type="character" w:customStyle="1" w:styleId="54">
    <w:name w:val="font11"/>
    <w:basedOn w:val="33"/>
    <w:qFormat/>
    <w:uiPriority w:val="0"/>
    <w:rPr>
      <w:rFonts w:hint="eastAsia" w:ascii="宋体" w:hAnsi="宋体" w:eastAsia="宋体" w:cs="宋体"/>
      <w:color w:val="000000"/>
      <w:sz w:val="24"/>
      <w:szCs w:val="24"/>
      <w:u w:val="none"/>
    </w:rPr>
  </w:style>
  <w:style w:type="character" w:customStyle="1" w:styleId="55">
    <w:name w:val="font71"/>
    <w:basedOn w:val="33"/>
    <w:qFormat/>
    <w:uiPriority w:val="0"/>
    <w:rPr>
      <w:rFonts w:hint="eastAsia" w:ascii="宋体" w:hAnsi="宋体" w:eastAsia="宋体" w:cs="宋体"/>
      <w:color w:val="000000"/>
      <w:sz w:val="24"/>
      <w:szCs w:val="24"/>
      <w:u w:val="none"/>
    </w:rPr>
  </w:style>
  <w:style w:type="character" w:customStyle="1" w:styleId="56">
    <w:name w:val="long_text"/>
    <w:qFormat/>
    <w:uiPriority w:val="99"/>
    <w:rPr>
      <w:rFonts w:ascii="Calibri" w:hAnsi="Calibri" w:eastAsia="宋体" w:cs="Times New Roman"/>
    </w:rPr>
  </w:style>
  <w:style w:type="character" w:customStyle="1" w:styleId="57">
    <w:name w:val="font91"/>
    <w:basedOn w:val="33"/>
    <w:qFormat/>
    <w:uiPriority w:val="0"/>
    <w:rPr>
      <w:rFonts w:hint="default" w:ascii="Times New Roman" w:hAnsi="Times New Roman" w:cs="Times New Roman"/>
      <w:color w:val="000000"/>
      <w:sz w:val="24"/>
      <w:szCs w:val="24"/>
      <w:u w:val="none"/>
    </w:rPr>
  </w:style>
  <w:style w:type="character" w:customStyle="1" w:styleId="58">
    <w:name w:val="font31"/>
    <w:basedOn w:val="33"/>
    <w:qFormat/>
    <w:uiPriority w:val="0"/>
    <w:rPr>
      <w:rFonts w:hint="default" w:ascii="Times New Roman" w:hAnsi="Times New Roman" w:cs="Times New Roman"/>
      <w:color w:val="000000"/>
      <w:sz w:val="24"/>
      <w:szCs w:val="24"/>
      <w:u w:val="none"/>
    </w:rPr>
  </w:style>
  <w:style w:type="paragraph" w:customStyle="1" w:styleId="59">
    <w:name w:val="段"/>
    <w:qFormat/>
    <w:uiPriority w:val="99"/>
    <w:pPr>
      <w:ind w:firstLine="200"/>
      <w:jc w:val="both"/>
    </w:pPr>
    <w:rPr>
      <w:rFonts w:ascii="宋体" w:hAnsi="宋体" w:eastAsia="宋体" w:cs="Times New Roman"/>
      <w:color w:val="000000"/>
      <w:sz w:val="21"/>
      <w:szCs w:val="22"/>
      <w:lang w:val="en-US" w:eastAsia="zh-CN" w:bidi="ar-SA"/>
    </w:rPr>
  </w:style>
  <w:style w:type="paragraph" w:customStyle="1" w:styleId="60">
    <w:name w:val="样式 样式 正文首行缩进 2 + 首行缩进:  2 字符 + 首行缩进:  2 字符"/>
    <w:basedOn w:val="1"/>
    <w:qFormat/>
    <w:uiPriority w:val="0"/>
    <w:pPr>
      <w:spacing w:line="576" w:lineRule="exact"/>
      <w:ind w:firstLine="200" w:firstLineChars="200"/>
    </w:pPr>
    <w:rPr>
      <w:rFonts w:ascii="MS PMincho" w:hAnsi="MS PMincho" w:eastAsia="楷体_GB2312" w:cs="宋体"/>
      <w:bCs/>
      <w:sz w:val="24"/>
      <w:szCs w:val="20"/>
    </w:rPr>
  </w:style>
  <w:style w:type="paragraph" w:customStyle="1" w:styleId="61">
    <w:name w:val="一级条标题"/>
    <w:basedOn w:val="62"/>
    <w:next w:val="59"/>
    <w:qFormat/>
    <w:uiPriority w:val="99"/>
    <w:pPr>
      <w:numPr>
        <w:ilvl w:val="2"/>
      </w:numPr>
      <w:outlineLvl w:val="2"/>
    </w:pPr>
  </w:style>
  <w:style w:type="paragraph" w:customStyle="1" w:styleId="62">
    <w:name w:val="章标题"/>
    <w:next w:val="59"/>
    <w:qFormat/>
    <w:uiPriority w:val="99"/>
    <w:pPr>
      <w:numPr>
        <w:ilvl w:val="1"/>
        <w:numId w:val="2"/>
      </w:numPr>
      <w:jc w:val="both"/>
      <w:outlineLvl w:val="1"/>
    </w:pPr>
    <w:rPr>
      <w:rFonts w:ascii="黑体" w:hAnsi="黑体" w:eastAsia="黑体" w:cs="Times New Roman"/>
      <w:color w:val="000000"/>
      <w:sz w:val="21"/>
      <w:szCs w:val="22"/>
      <w:lang w:val="en-US" w:eastAsia="zh-CN" w:bidi="ar-SA"/>
    </w:rPr>
  </w:style>
  <w:style w:type="paragraph" w:customStyle="1" w:styleId="63">
    <w:name w:val="表格"/>
    <w:basedOn w:val="1"/>
    <w:qFormat/>
    <w:uiPriority w:val="0"/>
    <w:pPr>
      <w:spacing w:line="400" w:lineRule="exact"/>
    </w:pPr>
    <w:rPr>
      <w:rFonts w:ascii="Times New Roman" w:hAnsi="Times New Roman" w:cs="Times New Roman"/>
      <w:sz w:val="24"/>
    </w:rPr>
  </w:style>
  <w:style w:type="paragraph" w:customStyle="1" w:styleId="64">
    <w:name w:val="列出段落2"/>
    <w:basedOn w:val="1"/>
    <w:qFormat/>
    <w:uiPriority w:val="34"/>
    <w:pPr>
      <w:ind w:firstLine="420" w:firstLineChars="200"/>
    </w:pPr>
  </w:style>
  <w:style w:type="paragraph" w:customStyle="1" w:styleId="65">
    <w:name w:val="二级条标题"/>
    <w:basedOn w:val="61"/>
    <w:next w:val="59"/>
    <w:qFormat/>
    <w:uiPriority w:val="99"/>
    <w:pPr>
      <w:numPr>
        <w:ilvl w:val="3"/>
      </w:numPr>
      <w:tabs>
        <w:tab w:val="left" w:pos="360"/>
      </w:tabs>
      <w:outlineLvl w:val="3"/>
    </w:pPr>
  </w:style>
  <w:style w:type="paragraph" w:customStyle="1" w:styleId="66">
    <w:name w:val="GW-正文"/>
    <w:basedOn w:val="1"/>
    <w:qFormat/>
    <w:uiPriority w:val="0"/>
    <w:pPr>
      <w:spacing w:line="360" w:lineRule="auto"/>
      <w:ind w:firstLine="200" w:firstLineChars="200"/>
    </w:pPr>
    <w:rPr>
      <w:rFonts w:eastAsia="仿宋_GB2312"/>
      <w:sz w:val="24"/>
    </w:rPr>
  </w:style>
  <w:style w:type="paragraph" w:styleId="67">
    <w:name w:val="List Paragraph"/>
    <w:basedOn w:val="1"/>
    <w:qFormat/>
    <w:uiPriority w:val="99"/>
    <w:pPr>
      <w:ind w:firstLine="420" w:firstLineChars="200"/>
    </w:pPr>
    <w:rPr>
      <w:lang w:eastAsia="en-US"/>
    </w:rPr>
  </w:style>
  <w:style w:type="paragraph" w:customStyle="1" w:styleId="68">
    <w:name w:val="三级无标题条"/>
    <w:basedOn w:val="1"/>
    <w:qFormat/>
    <w:uiPriority w:val="0"/>
    <w:pPr>
      <w:tabs>
        <w:tab w:val="left" w:pos="360"/>
      </w:tabs>
    </w:pPr>
  </w:style>
  <w:style w:type="paragraph" w:customStyle="1" w:styleId="69">
    <w:name w:val="_Style 2"/>
    <w:basedOn w:val="28"/>
    <w:qFormat/>
    <w:uiPriority w:val="99"/>
    <w:pPr>
      <w:ind w:firstLine="420" w:firstLineChars="200"/>
    </w:pPr>
  </w:style>
  <w:style w:type="paragraph" w:customStyle="1" w:styleId="70">
    <w:name w:val="_Style 1"/>
    <w:basedOn w:val="1"/>
    <w:qFormat/>
    <w:uiPriority w:val="0"/>
    <w:pPr>
      <w:ind w:firstLine="420" w:firstLineChars="200"/>
    </w:pPr>
    <w:rPr>
      <w:sz w:val="18"/>
      <w:szCs w:val="18"/>
    </w:rPr>
  </w:style>
  <w:style w:type="paragraph" w:customStyle="1" w:styleId="71">
    <w:name w:val="列出段落3"/>
    <w:basedOn w:val="28"/>
    <w:qFormat/>
    <w:uiPriority w:val="99"/>
    <w:pPr>
      <w:ind w:firstLine="420" w:firstLineChars="200"/>
    </w:pPr>
    <w:rPr>
      <w:rFonts w:ascii="Times New Roman" w:hAnsi="Times New Roman"/>
      <w:szCs w:val="24"/>
    </w:rPr>
  </w:style>
  <w:style w:type="paragraph" w:customStyle="1" w:styleId="72">
    <w:name w:val="正文首行缩进两字符"/>
    <w:basedOn w:val="1"/>
    <w:qFormat/>
    <w:uiPriority w:val="0"/>
    <w:pPr>
      <w:spacing w:line="360" w:lineRule="auto"/>
      <w:ind w:firstLine="200" w:firstLineChars="200"/>
    </w:pPr>
  </w:style>
  <w:style w:type="paragraph" w:customStyle="1" w:styleId="7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4">
    <w:name w:val="U_编号2"/>
    <w:basedOn w:val="1"/>
    <w:qFormat/>
    <w:uiPriority w:val="0"/>
    <w:pPr>
      <w:numPr>
        <w:ilvl w:val="0"/>
        <w:numId w:val="3"/>
      </w:numPr>
      <w:spacing w:beforeLines="10" w:afterLines="10" w:line="300" w:lineRule="auto"/>
    </w:pPr>
    <w:rPr>
      <w:sz w:val="24"/>
      <w:szCs w:val="20"/>
    </w:rPr>
  </w:style>
  <w:style w:type="paragraph" w:customStyle="1" w:styleId="75">
    <w:name w:val="reader-word-layer reader-word-s2-7"/>
    <w:basedOn w:val="1"/>
    <w:qFormat/>
    <w:uiPriority w:val="0"/>
    <w:pPr>
      <w:widowControl/>
      <w:spacing w:before="100" w:beforeAutospacing="1" w:after="100" w:afterAutospacing="1"/>
      <w:jc w:val="left"/>
    </w:pPr>
    <w:rPr>
      <w:rFonts w:hAnsi="宋体" w:cs="宋体"/>
      <w:sz w:val="24"/>
    </w:rPr>
  </w:style>
  <w:style w:type="paragraph" w:customStyle="1" w:styleId="76">
    <w:name w:val="列出段落1"/>
    <w:basedOn w:val="1"/>
    <w:qFormat/>
    <w:uiPriority w:val="99"/>
    <w:pPr>
      <w:ind w:firstLine="420" w:firstLineChars="200"/>
    </w:pPr>
    <w:rPr>
      <w:sz w:val="18"/>
      <w:szCs w:val="18"/>
    </w:rPr>
  </w:style>
  <w:style w:type="paragraph" w:customStyle="1" w:styleId="77">
    <w:name w:val="_Style 10"/>
    <w:basedOn w:val="1"/>
    <w:next w:val="67"/>
    <w:qFormat/>
    <w:uiPriority w:val="34"/>
    <w:pPr>
      <w:ind w:firstLine="420" w:firstLineChars="200"/>
    </w:pPr>
    <w:rPr>
      <w:lang w:eastAsia="en-US"/>
    </w:rPr>
  </w:style>
  <w:style w:type="paragraph" w:customStyle="1" w:styleId="78">
    <w:name w:val="列表段落1"/>
    <w:basedOn w:val="1"/>
    <w:qFormat/>
    <w:uiPriority w:val="34"/>
    <w:pPr>
      <w:spacing w:line="576" w:lineRule="exact"/>
      <w:ind w:firstLine="420" w:firstLineChars="200"/>
    </w:pPr>
    <w:rPr>
      <w:rFonts w:ascii="仿宋" w:hAnsi="仿宋" w:eastAsia="仿宋" w:cs="仿宋"/>
      <w:bCs/>
      <w:sz w:val="28"/>
      <w:szCs w:val="28"/>
    </w:rPr>
  </w:style>
  <w:style w:type="paragraph" w:customStyle="1" w:styleId="79">
    <w:name w:val="正文1"/>
    <w:qFormat/>
    <w:uiPriority w:val="0"/>
    <w:pPr>
      <w:widowControl w:val="0"/>
      <w:adjustRightInd w:val="0"/>
      <w:spacing w:line="312" w:lineRule="atLeast"/>
      <w:jc w:val="both"/>
      <w:textAlignment w:val="baseline"/>
    </w:pPr>
    <w:rPr>
      <w:rFonts w:ascii="宋体" w:hAnsi="Calibri" w:eastAsia="宋体" w:cs="黑体"/>
      <w:sz w:val="34"/>
      <w:szCs w:val="22"/>
      <w:lang w:val="en-US" w:eastAsia="zh-CN" w:bidi="ar-SA"/>
    </w:rPr>
  </w:style>
  <w:style w:type="paragraph" w:customStyle="1" w:styleId="80">
    <w:name w:val="Normal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
    <w:name w:val="U_正文"/>
    <w:basedOn w:val="1"/>
    <w:qFormat/>
    <w:uiPriority w:val="0"/>
    <w:pPr>
      <w:spacing w:beforeLines="20" w:afterLines="20" w:line="300" w:lineRule="auto"/>
      <w:ind w:firstLine="200" w:firstLineChars="200"/>
    </w:pPr>
    <w:rPr>
      <w:sz w:val="24"/>
      <w:szCs w:val="20"/>
    </w:rPr>
  </w:style>
  <w:style w:type="paragraph" w:customStyle="1" w:styleId="82">
    <w:name w:val="封面标准文稿编辑信息"/>
    <w:qFormat/>
    <w:uiPriority w:val="0"/>
    <w:pPr>
      <w:spacing w:before="180" w:line="180" w:lineRule="exact"/>
      <w:jc w:val="center"/>
    </w:pPr>
    <w:rPr>
      <w:rFonts w:ascii="宋体" w:hAnsi="Calibri" w:eastAsia="宋体" w:cs="Times New Roman"/>
      <w:sz w:val="21"/>
      <w:szCs w:val="22"/>
      <w:lang w:val="en-US" w:eastAsia="zh-CN" w:bidi="ar-SA"/>
    </w:rPr>
  </w:style>
  <w:style w:type="paragraph" w:customStyle="1" w:styleId="83">
    <w:name w:val="U_正文2"/>
    <w:basedOn w:val="1"/>
    <w:qFormat/>
    <w:uiPriority w:val="0"/>
    <w:pPr>
      <w:spacing w:beforeLines="10" w:afterLines="10" w:line="300" w:lineRule="auto"/>
    </w:pPr>
    <w:rPr>
      <w:sz w:val="24"/>
      <w:szCs w:val="20"/>
    </w:rPr>
  </w:style>
  <w:style w:type="paragraph" w:customStyle="1" w:styleId="84">
    <w:name w:val="正文表标题"/>
    <w:next w:val="59"/>
    <w:qFormat/>
    <w:uiPriority w:val="99"/>
    <w:pPr>
      <w:numPr>
        <w:ilvl w:val="0"/>
        <w:numId w:val="4"/>
      </w:numPr>
      <w:ind w:left="3990"/>
      <w:jc w:val="center"/>
    </w:pPr>
    <w:rPr>
      <w:rFonts w:ascii="黑体" w:hAnsi="黑体" w:eastAsia="黑体" w:cs="Times New Roman"/>
      <w:color w:val="000000"/>
      <w:sz w:val="21"/>
      <w:szCs w:val="22"/>
      <w:lang w:val="en-US" w:eastAsia="zh-CN" w:bidi="ar-SA"/>
    </w:rPr>
  </w:style>
  <w:style w:type="paragraph" w:customStyle="1" w:styleId="85">
    <w:name w:val="样式 首行缩进:  2 字符"/>
    <w:basedOn w:val="1"/>
    <w:qFormat/>
    <w:uiPriority w:val="0"/>
    <w:pPr>
      <w:spacing w:line="400" w:lineRule="exact"/>
      <w:ind w:firstLine="200" w:firstLineChars="200"/>
    </w:pPr>
    <w:rPr>
      <w:rFonts w:cs="宋体"/>
      <w:sz w:val="24"/>
      <w:szCs w:val="24"/>
    </w:rPr>
  </w:style>
  <w:style w:type="paragraph" w:customStyle="1" w:styleId="86">
    <w:name w:val="页脚1"/>
    <w:basedOn w:val="79"/>
    <w:qFormat/>
    <w:uiPriority w:val="0"/>
    <w:pPr>
      <w:tabs>
        <w:tab w:val="center" w:pos="4153"/>
        <w:tab w:val="right" w:pos="8306"/>
      </w:tabs>
      <w:snapToGrid w:val="0"/>
      <w:jc w:val="left"/>
    </w:pPr>
    <w:rPr>
      <w:sz w:val="18"/>
    </w:rPr>
  </w:style>
  <w:style w:type="table" w:customStyle="1" w:styleId="87">
    <w:name w:val="Table Normal"/>
    <w:semiHidden/>
    <w:unhideWhenUsed/>
    <w:qFormat/>
    <w:uiPriority w:val="0"/>
    <w:tblPr>
      <w:tblCellMar>
        <w:top w:w="0" w:type="dxa"/>
        <w:left w:w="0" w:type="dxa"/>
        <w:bottom w:w="0" w:type="dxa"/>
        <w:right w:w="0" w:type="dxa"/>
      </w:tblCellMar>
    </w:tblPr>
  </w:style>
  <w:style w:type="paragraph" w:customStyle="1" w:styleId="88">
    <w:name w:val="正文 A"/>
    <w:next w:val="2"/>
    <w:qFormat/>
    <w:uiPriority w:val="0"/>
    <w:rPr>
      <w:rFonts w:hint="eastAsia" w:ascii="Arial Unicode MS" w:hAnsi="Arial Unicode MS" w:eastAsia="Times New Roman" w:cs="Arial Unicode MS"/>
      <w:color w:val="000000"/>
      <w:sz w:val="24"/>
      <w:szCs w:val="24"/>
      <w:lang w:val="en-US" w:eastAsia="zh-CN" w:bidi="ar-SA"/>
    </w:rPr>
  </w:style>
  <w:style w:type="character" w:customStyle="1" w:styleId="89">
    <w:name w:val="文档结构图 Char"/>
    <w:basedOn w:val="33"/>
    <w:link w:val="13"/>
    <w:qFormat/>
    <w:uiPriority w:val="0"/>
    <w:rPr>
      <w:rFonts w:ascii="宋体" w:hAnsi="Calibri"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34972</Words>
  <Characters>36473</Characters>
  <Lines>288</Lines>
  <Paragraphs>81</Paragraphs>
  <TotalTime>2</TotalTime>
  <ScaleCrop>false</ScaleCrop>
  <LinksUpToDate>false</LinksUpToDate>
  <CharactersWithSpaces>37963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2019-01-03T06:37:00Z</dcterms:created>
  <dc:creator>Administrator</dc:creator>
  <cp:lastModifiedBy>家有仙妻，</cp:lastModifiedBy>
  <cp:lastPrinted>2023-02-27T06:36:00Z</cp:lastPrinted>
  <dcterms:modified xsi:type="dcterms:W3CDTF">2023-03-07T08:47:44Z</dcterms:modified>
  <dc:title>请您检查 (本磋商文件共69页)</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D4240B3EE3624A8A8360AB6D54AD084E</vt:lpwstr>
  </property>
</Properties>
</file>