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5FB" w:rsidRDefault="003C25FB">
      <w:pPr>
        <w:spacing w:line="600" w:lineRule="exact"/>
        <w:jc w:val="center"/>
        <w:outlineLvl w:val="0"/>
        <w:rPr>
          <w:rFonts w:ascii="方正小标宋简体" w:eastAsia="方正小标宋简体" w:hAnsi="宋体"/>
          <w:color w:val="000000"/>
          <w:sz w:val="72"/>
          <w:szCs w:val="72"/>
        </w:rPr>
      </w:pPr>
      <w:bookmarkStart w:id="0" w:name="_Toc15306267"/>
    </w:p>
    <w:p w:rsidR="003C25FB" w:rsidRDefault="003C25FB">
      <w:pPr>
        <w:spacing w:line="600" w:lineRule="exact"/>
        <w:jc w:val="center"/>
        <w:outlineLvl w:val="0"/>
        <w:rPr>
          <w:rFonts w:ascii="方正小标宋简体" w:eastAsia="方正小标宋简体" w:hAnsi="宋体"/>
          <w:color w:val="000000"/>
          <w:sz w:val="72"/>
          <w:szCs w:val="72"/>
        </w:rPr>
      </w:pPr>
    </w:p>
    <w:p w:rsidR="003C25FB" w:rsidRDefault="003C25FB">
      <w:pPr>
        <w:spacing w:line="600" w:lineRule="exact"/>
        <w:jc w:val="center"/>
        <w:outlineLvl w:val="0"/>
        <w:rPr>
          <w:rFonts w:ascii="方正小标宋简体" w:eastAsia="方正小标宋简体" w:hAnsi="宋体"/>
          <w:color w:val="000000"/>
          <w:sz w:val="72"/>
          <w:szCs w:val="72"/>
        </w:rPr>
      </w:pPr>
    </w:p>
    <w:p w:rsidR="003C25FB" w:rsidRDefault="00F21A6D">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78441"/>
      <w:bookmarkStart w:id="3" w:name="_Toc15377425"/>
      <w:bookmarkStart w:id="4" w:name="_Toc15396475"/>
      <w:bookmarkStart w:id="5" w:name="_Toc15396597"/>
      <w:r>
        <w:rPr>
          <w:rFonts w:ascii="方正小标宋简体" w:eastAsia="方正小标宋简体" w:hAnsi="宋体" w:hint="eastAsia"/>
          <w:color w:val="000000"/>
          <w:sz w:val="72"/>
          <w:szCs w:val="72"/>
        </w:rPr>
        <w:t>2020年度</w:t>
      </w:r>
      <w:bookmarkEnd w:id="1"/>
      <w:bookmarkEnd w:id="2"/>
      <w:bookmarkEnd w:id="3"/>
      <w:bookmarkEnd w:id="4"/>
      <w:bookmarkEnd w:id="5"/>
    </w:p>
    <w:p w:rsidR="003C25FB" w:rsidRDefault="00F21A6D">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7194"/>
      <w:bookmarkStart w:id="8" w:name="_Toc15377426"/>
      <w:bookmarkStart w:id="9" w:name="_Toc15396476"/>
      <w:bookmarkStart w:id="10" w:name="_Toc15378442"/>
      <w:r>
        <w:rPr>
          <w:rFonts w:ascii="方正小标宋简体" w:eastAsia="方正小标宋简体" w:hAnsi="宋体" w:hint="eastAsia"/>
          <w:color w:val="000000"/>
          <w:sz w:val="72"/>
          <w:szCs w:val="72"/>
        </w:rPr>
        <w:t>广元市</w:t>
      </w:r>
      <w:bookmarkStart w:id="11" w:name="_Toc15306268"/>
      <w:bookmarkEnd w:id="0"/>
      <w:r>
        <w:rPr>
          <w:rFonts w:ascii="方正小标宋简体" w:eastAsia="方正小标宋简体" w:hAnsi="宋体" w:hint="eastAsia"/>
          <w:color w:val="000000"/>
          <w:sz w:val="72"/>
          <w:szCs w:val="72"/>
        </w:rPr>
        <w:t>地籍地政事务中心</w:t>
      </w:r>
    </w:p>
    <w:p w:rsidR="003C25FB" w:rsidRDefault="00F21A6D">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6"/>
      <w:bookmarkEnd w:id="7"/>
      <w:bookmarkEnd w:id="8"/>
      <w:bookmarkEnd w:id="9"/>
      <w:bookmarkEnd w:id="10"/>
      <w:bookmarkEnd w:id="11"/>
    </w:p>
    <w:p w:rsidR="003C25FB" w:rsidRDefault="00F21A6D">
      <w:pPr>
        <w:widowControl/>
        <w:jc w:val="center"/>
        <w:rPr>
          <w:rFonts w:ascii="方正小标宋简体" w:eastAsia="方正小标宋简体" w:hAnsi="黑体" w:cs="黑体"/>
          <w:color w:val="000000"/>
          <w:sz w:val="72"/>
          <w:szCs w:val="72"/>
        </w:rPr>
      </w:pPr>
      <w:r>
        <w:rPr>
          <w:rFonts w:ascii="方正小标宋简体" w:eastAsia="方正小标宋简体" w:hAnsi="黑体" w:cs="黑体" w:hint="eastAsia"/>
          <w:color w:val="000000"/>
          <w:sz w:val="72"/>
          <w:szCs w:val="72"/>
        </w:rPr>
        <w:t>编</w:t>
      </w:r>
    </w:p>
    <w:p w:rsidR="003C25FB" w:rsidRDefault="00F21A6D">
      <w:pPr>
        <w:widowControl/>
        <w:jc w:val="center"/>
        <w:rPr>
          <w:rFonts w:ascii="方正小标宋简体" w:eastAsia="方正小标宋简体" w:hAnsi="黑体" w:cs="黑体"/>
          <w:color w:val="000000"/>
          <w:sz w:val="72"/>
          <w:szCs w:val="72"/>
        </w:rPr>
      </w:pPr>
      <w:r>
        <w:rPr>
          <w:rFonts w:ascii="方正小标宋简体" w:eastAsia="方正小标宋简体" w:hAnsi="黑体" w:cs="黑体" w:hint="eastAsia"/>
          <w:color w:val="000000"/>
          <w:sz w:val="72"/>
          <w:szCs w:val="72"/>
        </w:rPr>
        <w:t>制</w:t>
      </w:r>
    </w:p>
    <w:p w:rsidR="003C25FB" w:rsidRDefault="00F21A6D">
      <w:pPr>
        <w:widowControl/>
        <w:jc w:val="center"/>
        <w:rPr>
          <w:rFonts w:ascii="方正小标宋简体" w:eastAsia="方正小标宋简体" w:hAnsi="黑体" w:cs="黑体"/>
          <w:color w:val="000000"/>
          <w:sz w:val="72"/>
          <w:szCs w:val="72"/>
        </w:rPr>
      </w:pPr>
      <w:r>
        <w:rPr>
          <w:rFonts w:ascii="方正小标宋简体" w:eastAsia="方正小标宋简体" w:hAnsi="黑体" w:cs="黑体" w:hint="eastAsia"/>
          <w:color w:val="000000"/>
          <w:sz w:val="72"/>
          <w:szCs w:val="72"/>
        </w:rPr>
        <w:t>说</w:t>
      </w:r>
    </w:p>
    <w:p w:rsidR="003C25FB" w:rsidRDefault="00F21A6D">
      <w:pPr>
        <w:widowControl/>
        <w:jc w:val="center"/>
        <w:rPr>
          <w:rFonts w:ascii="方正小标宋简体" w:eastAsia="方正小标宋简体" w:hAnsi="黑体" w:cs="黑体"/>
          <w:color w:val="000000"/>
          <w:sz w:val="72"/>
          <w:szCs w:val="72"/>
        </w:rPr>
        <w:sectPr w:rsidR="003C25FB">
          <w:headerReference w:type="even" r:id="rId8"/>
          <w:headerReference w:type="default" r:id="rId9"/>
          <w:footerReference w:type="even" r:id="rId10"/>
          <w:footerReference w:type="default" r:id="rId11"/>
          <w:headerReference w:type="first" r:id="rId12"/>
          <w:footerReference w:type="first" r:id="rId13"/>
          <w:pgSz w:w="11906" w:h="16838"/>
          <w:pgMar w:top="1701" w:right="1474" w:bottom="1417" w:left="1587" w:header="851" w:footer="737" w:gutter="0"/>
          <w:pgNumType w:start="1"/>
          <w:cols w:space="425"/>
          <w:titlePg/>
          <w:docGrid w:type="lines" w:linePitch="312"/>
        </w:sectPr>
      </w:pPr>
      <w:r>
        <w:rPr>
          <w:rFonts w:ascii="方正小标宋简体" w:eastAsia="方正小标宋简体" w:hAnsi="黑体" w:cs="黑体" w:hint="eastAsia"/>
          <w:color w:val="000000"/>
          <w:sz w:val="72"/>
          <w:szCs w:val="72"/>
        </w:rPr>
        <w:t>明</w:t>
      </w:r>
    </w:p>
    <w:p w:rsidR="003C25FB" w:rsidRDefault="00F21A6D">
      <w:pPr>
        <w:widowControl/>
        <w:jc w:val="center"/>
        <w:rPr>
          <w:rFonts w:ascii="黑体" w:eastAsia="黑体" w:hAnsi="黑体"/>
          <w:color w:val="000000"/>
          <w:sz w:val="48"/>
          <w:szCs w:val="48"/>
        </w:rPr>
      </w:pPr>
      <w:r>
        <w:rPr>
          <w:rFonts w:ascii="黑体" w:eastAsia="黑体" w:hAnsi="黑体" w:cs="黑体" w:hint="eastAsia"/>
          <w:color w:val="000000"/>
          <w:sz w:val="48"/>
          <w:szCs w:val="48"/>
        </w:rPr>
        <w:lastRenderedPageBreak/>
        <w:t>目  录</w:t>
      </w:r>
    </w:p>
    <w:p w:rsidR="003C25FB" w:rsidRDefault="003C25FB">
      <w:pPr>
        <w:widowControl/>
        <w:jc w:val="center"/>
        <w:rPr>
          <w:rFonts w:ascii="黑体" w:eastAsia="黑体" w:hAnsi="黑体"/>
          <w:sz w:val="28"/>
          <w:szCs w:val="28"/>
        </w:rPr>
      </w:pPr>
    </w:p>
    <w:p w:rsidR="003C25FB" w:rsidRDefault="00F21A6D">
      <w:pPr>
        <w:pStyle w:val="10"/>
      </w:pPr>
      <w:r>
        <w:rPr>
          <w:rFonts w:hint="eastAsia"/>
        </w:rPr>
        <w:t>公开时间：</w:t>
      </w:r>
      <w:r>
        <w:t>2021</w:t>
      </w:r>
      <w:r>
        <w:rPr>
          <w:rFonts w:hint="eastAsia"/>
        </w:rPr>
        <w:t>年9月27日</w:t>
      </w:r>
    </w:p>
    <w:p w:rsidR="003C25FB" w:rsidRDefault="003C25FB"/>
    <w:p w:rsidR="003C25FB" w:rsidRDefault="00F21A6D">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第一部分 部门概况</w:t>
      </w:r>
      <w:r>
        <w:rPr>
          <w:rFonts w:ascii="方正黑体简体" w:eastAsia="方正黑体简体" w:hAnsi="方正黑体简体" w:cs="方正黑体简体" w:hint="eastAsia"/>
          <w:sz w:val="32"/>
          <w:szCs w:val="32"/>
        </w:rPr>
        <w:tab/>
        <w:t>1</w:t>
      </w:r>
    </w:p>
    <w:p w:rsidR="003C25FB" w:rsidRDefault="00F21A6D">
      <w:pPr>
        <w:pStyle w:val="20"/>
        <w:adjustRightInd w:val="0"/>
        <w:snapToGrid w:val="0"/>
        <w:spacing w:line="560" w:lineRule="exact"/>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一、基本职能及主要工作</w:t>
      </w:r>
      <w:r>
        <w:rPr>
          <w:rFonts w:ascii="方正楷体简体" w:eastAsia="方正楷体简体" w:hAnsi="方正楷体简体" w:cs="方正楷体简体" w:hint="eastAsia"/>
          <w:sz w:val="32"/>
          <w:szCs w:val="32"/>
        </w:rPr>
        <w:tab/>
        <w:t>1</w:t>
      </w:r>
    </w:p>
    <w:p w:rsidR="003C25FB" w:rsidRDefault="00F21A6D">
      <w:pPr>
        <w:pStyle w:val="20"/>
        <w:adjustRightInd w:val="0"/>
        <w:snapToGrid w:val="0"/>
        <w:spacing w:line="560" w:lineRule="exact"/>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二、机构设置</w:t>
      </w:r>
      <w:r>
        <w:rPr>
          <w:rFonts w:ascii="方正楷体简体" w:eastAsia="方正楷体简体" w:hAnsi="方正楷体简体" w:cs="方正楷体简体" w:hint="eastAsia"/>
          <w:sz w:val="32"/>
          <w:szCs w:val="32"/>
        </w:rPr>
        <w:tab/>
        <w:t>3</w:t>
      </w:r>
    </w:p>
    <w:p w:rsidR="003C25FB" w:rsidRDefault="00F21A6D">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第二部分 2020年度部门决算情况说明</w:t>
      </w:r>
      <w:r>
        <w:rPr>
          <w:rFonts w:ascii="方正黑体简体" w:eastAsia="方正黑体简体" w:hAnsi="方正黑体简体" w:cs="方正黑体简体" w:hint="eastAsia"/>
          <w:sz w:val="32"/>
          <w:szCs w:val="32"/>
        </w:rPr>
        <w:tab/>
        <w:t>5</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一、收入支出决算总体情况说明</w:t>
      </w:r>
      <w:r>
        <w:rPr>
          <w:rFonts w:ascii="方正楷体简体" w:eastAsia="方正楷体简体" w:hAnsi="方正楷体简体" w:cs="方正楷体简体" w:hint="eastAsia"/>
          <w:sz w:val="32"/>
          <w:szCs w:val="32"/>
        </w:rPr>
        <w:tab/>
        <w:t>3</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二、收入决算情况说明</w:t>
      </w:r>
      <w:r>
        <w:rPr>
          <w:rFonts w:ascii="方正楷体简体" w:eastAsia="方正楷体简体" w:hAnsi="方正楷体简体" w:cs="方正楷体简体" w:hint="eastAsia"/>
          <w:sz w:val="32"/>
          <w:szCs w:val="32"/>
        </w:rPr>
        <w:tab/>
        <w:t>3</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三、支出决算情况说明</w:t>
      </w:r>
      <w:r>
        <w:rPr>
          <w:rFonts w:ascii="方正楷体简体" w:eastAsia="方正楷体简体" w:hAnsi="方正楷体简体" w:cs="方正楷体简体" w:hint="eastAsia"/>
          <w:sz w:val="32"/>
          <w:szCs w:val="32"/>
        </w:rPr>
        <w:tab/>
        <w:t>3</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四、财政拨款收入支出决算总体情况说明</w:t>
      </w:r>
      <w:r>
        <w:rPr>
          <w:rFonts w:ascii="方正楷体简体" w:eastAsia="方正楷体简体" w:hAnsi="方正楷体简体" w:cs="方正楷体简体" w:hint="eastAsia"/>
          <w:sz w:val="32"/>
          <w:szCs w:val="32"/>
        </w:rPr>
        <w:tab/>
        <w:t>4</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五、一般公共预算财政拨款支出决算情况说明</w:t>
      </w:r>
      <w:r>
        <w:rPr>
          <w:rFonts w:ascii="方正楷体简体" w:eastAsia="方正楷体简体" w:hAnsi="方正楷体简体" w:cs="方正楷体简体" w:hint="eastAsia"/>
          <w:sz w:val="32"/>
          <w:szCs w:val="32"/>
        </w:rPr>
        <w:tab/>
        <w:t>4</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六、一般公共预算财政拨款基本支出决算情况说明</w:t>
      </w:r>
      <w:r>
        <w:rPr>
          <w:rFonts w:ascii="方正楷体简体" w:eastAsia="方正楷体简体" w:hAnsi="方正楷体简体" w:cs="方正楷体简体" w:hint="eastAsia"/>
          <w:sz w:val="32"/>
          <w:szCs w:val="32"/>
        </w:rPr>
        <w:tab/>
        <w:t>7</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七、“三公”经费财政拨款支出决算情况说明</w:t>
      </w:r>
      <w:r>
        <w:rPr>
          <w:rFonts w:ascii="方正楷体简体" w:eastAsia="方正楷体简体" w:hAnsi="方正楷体简体" w:cs="方正楷体简体" w:hint="eastAsia"/>
          <w:sz w:val="32"/>
          <w:szCs w:val="32"/>
        </w:rPr>
        <w:tab/>
        <w:t>5</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八、政府性基金预算支出决算情况说明</w:t>
      </w:r>
      <w:r>
        <w:rPr>
          <w:rFonts w:ascii="方正楷体简体" w:eastAsia="方正楷体简体" w:hAnsi="方正楷体简体" w:cs="方正楷体简体" w:hint="eastAsia"/>
          <w:sz w:val="32"/>
          <w:szCs w:val="32"/>
        </w:rPr>
        <w:tab/>
        <w:t>7</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九、国有资本经营预算支出决算情况说明</w:t>
      </w:r>
      <w:r>
        <w:rPr>
          <w:rFonts w:ascii="方正楷体简体" w:eastAsia="方正楷体简体" w:hAnsi="方正楷体简体" w:cs="方正楷体简体" w:hint="eastAsia"/>
          <w:sz w:val="32"/>
          <w:szCs w:val="32"/>
        </w:rPr>
        <w:tab/>
        <w:t>7</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十、其他重要事项的情况说明</w:t>
      </w:r>
      <w:r>
        <w:rPr>
          <w:rFonts w:ascii="方正楷体简体" w:eastAsia="方正楷体简体" w:hAnsi="方正楷体简体" w:cs="方正楷体简体" w:hint="eastAsia"/>
          <w:sz w:val="32"/>
          <w:szCs w:val="32"/>
        </w:rPr>
        <w:tab/>
        <w:t>7</w:t>
      </w:r>
    </w:p>
    <w:p w:rsidR="003C25FB" w:rsidRDefault="00F21A6D">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第三部分 名词解释</w:t>
      </w:r>
      <w:r>
        <w:rPr>
          <w:rFonts w:ascii="方正黑体简体" w:eastAsia="方正黑体简体" w:hAnsi="方正黑体简体" w:cs="方正黑体简体" w:hint="eastAsia"/>
          <w:sz w:val="32"/>
          <w:szCs w:val="32"/>
        </w:rPr>
        <w:tab/>
        <w:t>15</w:t>
      </w:r>
    </w:p>
    <w:p w:rsidR="003C25FB" w:rsidRDefault="00F21A6D">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第四部分 附件</w:t>
      </w:r>
      <w:r>
        <w:rPr>
          <w:rFonts w:ascii="方正黑体简体" w:eastAsia="方正黑体简体" w:hAnsi="方正黑体简体" w:cs="方正黑体简体" w:hint="eastAsia"/>
          <w:sz w:val="32"/>
          <w:szCs w:val="32"/>
        </w:rPr>
        <w:tab/>
        <w:t>17</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附件1</w:t>
      </w:r>
      <w:r>
        <w:rPr>
          <w:rFonts w:ascii="方正楷体简体" w:eastAsia="方正楷体简体" w:hAnsi="方正楷体简体" w:cs="方正楷体简体" w:hint="eastAsia"/>
          <w:sz w:val="32"/>
          <w:szCs w:val="32"/>
        </w:rPr>
        <w:tab/>
        <w:t>17</w:t>
      </w:r>
    </w:p>
    <w:p w:rsidR="003C25FB" w:rsidRDefault="00F21A6D">
      <w:pPr>
        <w:pStyle w:val="10"/>
        <w:adjustRightInd w:val="0"/>
        <w:snapToGrid w:val="0"/>
        <w:spacing w:before="0" w:line="560" w:lineRule="exact"/>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第五部分 附表</w:t>
      </w:r>
      <w:r>
        <w:rPr>
          <w:rFonts w:ascii="方正黑体简体" w:eastAsia="方正黑体简体" w:hAnsi="方正黑体简体" w:cs="方正黑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一、收入支出决算总表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二、收入决算表</w:t>
      </w:r>
      <w:r>
        <w:rPr>
          <w:rFonts w:ascii="方正楷体简体" w:eastAsia="方正楷体简体" w:hAnsi="方正楷体简体" w:cs="方正楷体简体" w:hint="eastAsia"/>
          <w:sz w:val="32"/>
          <w:szCs w:val="32"/>
        </w:rPr>
        <w:tab/>
        <w:t>21</w:t>
      </w:r>
    </w:p>
    <w:p w:rsidR="003C25FB" w:rsidRDefault="003C25FB">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sectPr w:rsidR="003C25FB">
          <w:footerReference w:type="default" r:id="rId14"/>
          <w:footerReference w:type="first" r:id="rId15"/>
          <w:pgSz w:w="11906" w:h="16838"/>
          <w:pgMar w:top="1701" w:right="1474" w:bottom="1417" w:left="1587" w:header="851" w:footer="737" w:gutter="0"/>
          <w:pgNumType w:start="1"/>
          <w:cols w:space="425"/>
          <w:titlePg/>
          <w:docGrid w:type="lines" w:linePitch="312"/>
        </w:sectPr>
      </w:pP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三、支出决算表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四、财政拨款收入支出决算总表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五、财政拨款支出决算明细表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六、一般公共预算财政拨款支出决算表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七、一般公共预算财政拨款支出决算明细表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八、一般公共预算财政拨款基本支出决算表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九、一般公共预算财政拨款项目支出决算表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十、一般公共预算财政拨款“三公”经费支出决算表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十一、政府性基金预算财政拨款收入支出决算表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十二、</w:t>
      </w:r>
      <w:r>
        <w:rPr>
          <w:rFonts w:ascii="方正楷体简体" w:eastAsia="方正楷体简体" w:hAnsi="方正楷体简体" w:cs="方正楷体简体" w:hint="eastAsia"/>
          <w:spacing w:val="-9"/>
          <w:sz w:val="32"/>
          <w:szCs w:val="32"/>
        </w:rPr>
        <w:t>政府性基金预算财政拨款“三公”经费支出决算表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十三、国有资本经营预算财政拨款收入支出决算表</w:t>
      </w:r>
      <w:r>
        <w:rPr>
          <w:rFonts w:ascii="方正楷体简体" w:eastAsia="方正楷体简体" w:hAnsi="方正楷体简体" w:cs="方正楷体简体" w:hint="eastAsia"/>
          <w:sz w:val="32"/>
          <w:szCs w:val="32"/>
        </w:rPr>
        <w:tab/>
        <w:t>21</w:t>
      </w:r>
    </w:p>
    <w:p w:rsidR="003C25FB" w:rsidRDefault="00F21A6D">
      <w:pPr>
        <w:pStyle w:val="20"/>
        <w:adjustRightInd w:val="0"/>
        <w:snapToGrid w:val="0"/>
        <w:spacing w:line="560" w:lineRule="exact"/>
        <w:ind w:leftChars="0" w:left="0" w:firstLineChars="100" w:firstLine="32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十四、国有资本经营预算财政拨款支出决算表</w:t>
      </w:r>
      <w:r>
        <w:rPr>
          <w:rFonts w:ascii="方正楷体简体" w:eastAsia="方正楷体简体" w:hAnsi="方正楷体简体" w:cs="方正楷体简体" w:hint="eastAsia"/>
          <w:sz w:val="32"/>
          <w:szCs w:val="32"/>
        </w:rPr>
        <w:tab/>
        <w:t>21</w:t>
      </w:r>
    </w:p>
    <w:p w:rsidR="003C25FB" w:rsidRDefault="003C25FB">
      <w:pPr>
        <w:spacing w:line="700" w:lineRule="exact"/>
        <w:jc w:val="center"/>
        <w:rPr>
          <w:rFonts w:ascii="方正小标宋简体" w:eastAsia="方正小标宋简体" w:hAnsi="方正小标宋简体" w:cs="方正小标宋简体"/>
          <w:sz w:val="44"/>
          <w:szCs w:val="44"/>
        </w:rPr>
        <w:sectPr w:rsidR="003C25FB">
          <w:footerReference w:type="default" r:id="rId16"/>
          <w:footerReference w:type="first" r:id="rId17"/>
          <w:pgSz w:w="11906" w:h="16838"/>
          <w:pgMar w:top="1701" w:right="1474" w:bottom="1417" w:left="1587" w:header="851" w:footer="737" w:gutter="0"/>
          <w:pgNumType w:start="1"/>
          <w:cols w:space="425"/>
          <w:docGrid w:type="lines" w:linePitch="312"/>
        </w:sectPr>
      </w:pPr>
      <w:bookmarkStart w:id="12" w:name="_Toc15377196"/>
      <w:bookmarkStart w:id="13" w:name="_Toc15396599"/>
    </w:p>
    <w:p w:rsidR="003C25FB" w:rsidRDefault="003C25FB">
      <w:pPr>
        <w:spacing w:line="700" w:lineRule="exact"/>
        <w:jc w:val="center"/>
        <w:rPr>
          <w:rFonts w:ascii="方正小标宋简体" w:eastAsia="方正小标宋简体" w:hAnsi="方正小标宋简体" w:cs="方正小标宋简体"/>
          <w:sz w:val="44"/>
          <w:szCs w:val="44"/>
        </w:rPr>
      </w:pPr>
    </w:p>
    <w:p w:rsidR="003C25FB" w:rsidRDefault="00F21A6D">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第一部分  部门概况</w:t>
      </w:r>
      <w:bookmarkEnd w:id="12"/>
      <w:bookmarkEnd w:id="13"/>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14" w:name="_Toc15396600"/>
      <w:bookmarkStart w:id="15" w:name="_Toc15377197"/>
      <w:r>
        <w:rPr>
          <w:rFonts w:ascii="方正黑体简体" w:eastAsia="方正黑体简体" w:hAnsi="方正黑体简体" w:cs="方正黑体简体" w:hint="eastAsia"/>
          <w:sz w:val="32"/>
          <w:szCs w:val="32"/>
        </w:rPr>
        <w:t>一、基本职能及主要工作</w:t>
      </w:r>
      <w:bookmarkEnd w:id="14"/>
      <w:bookmarkEnd w:id="15"/>
    </w:p>
    <w:p w:rsidR="003C25FB" w:rsidRDefault="00F21A6D">
      <w:pPr>
        <w:spacing w:line="560" w:lineRule="exact"/>
        <w:ind w:firstLineChars="200" w:firstLine="640"/>
        <w:rPr>
          <w:rFonts w:ascii="方正楷体简体" w:eastAsia="方正楷体简体" w:hAnsi="方正楷体简体" w:cs="方正楷体简体"/>
          <w:sz w:val="32"/>
          <w:szCs w:val="32"/>
        </w:rPr>
      </w:pPr>
      <w:bookmarkStart w:id="16" w:name="_Toc15377198"/>
      <w:bookmarkStart w:id="17" w:name="_Toc15378445"/>
      <w:r>
        <w:rPr>
          <w:rFonts w:ascii="方正楷体简体" w:eastAsia="方正楷体简体" w:hAnsi="方正楷体简体" w:cs="方正楷体简体" w:hint="eastAsia"/>
          <w:sz w:val="32"/>
          <w:szCs w:val="32"/>
        </w:rPr>
        <w:t>（一）主要职能</w:t>
      </w:r>
      <w:bookmarkEnd w:id="16"/>
      <w:bookmarkEnd w:id="17"/>
    </w:p>
    <w:p w:rsidR="003C25FB" w:rsidRDefault="00F21A6D">
      <w:pPr>
        <w:widowControl/>
        <w:ind w:firstLineChars="200" w:firstLine="640"/>
        <w:rPr>
          <w:rFonts w:asciiTheme="minorEastAsia" w:hAnsiTheme="minorEastAsia"/>
          <w:color w:val="333333"/>
          <w:sz w:val="32"/>
          <w:szCs w:val="32"/>
          <w:shd w:val="clear" w:color="auto" w:fill="FFFFFF"/>
        </w:rPr>
      </w:pPr>
      <w:bookmarkStart w:id="18" w:name="_Toc15377199"/>
      <w:bookmarkStart w:id="19" w:name="_Toc15378446"/>
      <w:r>
        <w:rPr>
          <w:rFonts w:ascii="仿宋_GB2312" w:eastAsia="仿宋_GB2312" w:hAnsi="仿宋_GB2312" w:cs="仿宋_GB2312"/>
          <w:sz w:val="32"/>
          <w:szCs w:val="32"/>
        </w:rPr>
        <w:t>负责地籍、地形、宗地测量 用地范围勘测定界及出具勘测技术报告书。</w:t>
      </w:r>
    </w:p>
    <w:p w:rsidR="003C25FB" w:rsidRDefault="00F21A6D">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（二）2020年重点工作完成情况</w:t>
      </w:r>
      <w:bookmarkEnd w:id="18"/>
      <w:bookmarkEnd w:id="19"/>
    </w:p>
    <w:p w:rsidR="003C25FB" w:rsidRDefault="00F21A6D">
      <w:pPr>
        <w:spacing w:line="576" w:lineRule="exact"/>
        <w:ind w:firstLineChars="200" w:firstLine="640"/>
        <w:rPr>
          <w:rFonts w:ascii="仿宋_GB2312" w:eastAsia="仿宋_GB2312" w:hAnsi="仿宋_GB2312" w:cs="仿宋_GB2312"/>
          <w:sz w:val="32"/>
          <w:szCs w:val="32"/>
        </w:rPr>
      </w:pPr>
      <w:bookmarkStart w:id="20" w:name="_Toc15377200"/>
      <w:bookmarkStart w:id="21" w:name="_Toc15396601"/>
      <w:r>
        <w:rPr>
          <w:rFonts w:ascii="仿宋_GB2312" w:eastAsia="仿宋_GB2312" w:hAnsi="仿宋_GB2312" w:cs="仿宋_GB2312" w:hint="eastAsia"/>
          <w:sz w:val="32"/>
          <w:szCs w:val="32"/>
        </w:rPr>
        <w:t>1.提供用地保障，做好勘测定界。全年完成西二环延伸段、黑石坡森林公园等43个勘测定界项目，勘测定界面积合计4202.37亩，超年初目标完成比例19%。</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2.心系民生，做好宗地测量。完成宗地测量及权属调查318宗，面积达6016.69亩,其中经营性用地444.80亩，超年初既定目标任务118宗；不动产分户测量14351户，超年初目标任务6351户；竣工验收 35宗。 </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3.基础测绘，开展航空摄影测量。全年完成金洞乡增减挂钩、西成高铁等项目航空摄影测量，并出具正摄影像成果581平方公里。</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保护耕地，做好增减挂钩项目核查。积极配合省整治中心，在市局的安排下核查了昭化区柏林沟镇、朝天区曾家镇等30个项目的省市联合核查工作，并完成整改后现场认定工作；受朝天分局委托完成曾家镇两个项目的内业核查工作，核查面积558.4亩；完成苍溪、利州增减挂钩项目县级技术核查9个，核查面积</w:t>
      </w:r>
      <w:r>
        <w:rPr>
          <w:rFonts w:ascii="仿宋_GB2312" w:eastAsia="仿宋_GB2312" w:hAnsi="仿宋_GB2312" w:cs="仿宋_GB2312" w:hint="eastAsia"/>
          <w:sz w:val="32"/>
          <w:szCs w:val="32"/>
        </w:rPr>
        <w:lastRenderedPageBreak/>
        <w:t>2342.65亩。</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5.服务规划，做好地形图测量。完成邦泰挪威森林南侧、莲花B地块、广元市心血管医院等8宗地形图测绘工作，测量面积达2912.10亩。</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6.开展了广元市农村乱占耕地修建房屋清理内业审查和上报工作，审核各县区上报问题图斑40691个，目前已按时按质完成第一阶段上报工作和各县区应纳入而未纳入问题图斑外业抽查工作。</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7.配合市整治中心完成土地整理项目验收32个。</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8.配合土地储备交易中心编制对未来3年国有土地储备计划，摸排储备地块36宗。</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9.配合完成2012年-2018年批而未用闲置土地的清理工作，市本级出具供地资料15宗，面积850.93亩，拟撤回批文地块3个，面积343.88亩。</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10.配合执法支队完成了全年四个季度卫片执法的审核工作及6个下发违法图斑的调查和用地情况核实工作。</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11.遗留问题处置。积极做好与四川图源科技有限公司劳务合同纠纷一案的仲裁、上诉、应诉、资金拨付等相关事宜工作。</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12.配合市土地储备中心完成2011年以来土地成交合同坐标补录达904宗。</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13.配合参与了全市房地一体验收督导工作，积极探索验收标准，总结经验，为下一步房地一体项目市级验收打下坚实基础。</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14.配合局信访督查科、调查登记科完成权属纠纷调处3项。</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15.配合市局开展了公共停车场的清理和权属调查251个，出具宗地资料75宗，防止政府性资产收益流失作出贡献。</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16.配合不动产登记中心完成青城花园、西江月、凌江尚品等5个问题楼盘的清理工作。</w:t>
      </w: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17.配合市纪委开展案件查处2件</w:t>
      </w:r>
    </w:p>
    <w:p w:rsidR="003C25FB" w:rsidRDefault="00F21A6D">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二、机构设置</w:t>
      </w:r>
      <w:bookmarkEnd w:id="20"/>
      <w:bookmarkEnd w:id="21"/>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广元市地籍地政事务中心属于广元市自然资源局</w:t>
      </w:r>
      <w:bookmarkStart w:id="22" w:name="_Toc15377204"/>
      <w:bookmarkStart w:id="23" w:name="_Toc15396602"/>
      <w:r>
        <w:rPr>
          <w:rFonts w:ascii="仿宋_GB2312" w:eastAsia="仿宋_GB2312" w:hAnsi="仿宋_GB2312" w:cs="仿宋_GB2312" w:hint="eastAsia"/>
          <w:sz w:val="32"/>
          <w:szCs w:val="32"/>
        </w:rPr>
        <w:t>二级预算单位。</w:t>
      </w:r>
    </w:p>
    <w:p w:rsidR="003C25FB" w:rsidRDefault="00F21A6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第二部分  2020年度部门决算情况说明</w:t>
      </w:r>
      <w:bookmarkEnd w:id="22"/>
      <w:bookmarkEnd w:id="23"/>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24" w:name="_Toc15377205"/>
      <w:bookmarkStart w:id="25" w:name="_Toc15396603"/>
      <w:r>
        <w:rPr>
          <w:rFonts w:ascii="方正黑体简体" w:eastAsia="方正黑体简体" w:hAnsi="方正黑体简体" w:cs="方正黑体简体" w:hint="eastAsia"/>
          <w:sz w:val="32"/>
          <w:szCs w:val="32"/>
        </w:rPr>
        <w:t>一、收入支出决算总体情况说明</w:t>
      </w:r>
      <w:bookmarkEnd w:id="24"/>
      <w:bookmarkEnd w:id="25"/>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2020年度收、支总计511.84万元。与2019年相比，收、支总计各减少</w:t>
      </w:r>
      <w:r>
        <w:rPr>
          <w:rFonts w:ascii="仿宋_GB2312" w:eastAsia="仿宋_GB2312" w:hAnsi="仿宋_GB2312" w:cs="仿宋_GB2312"/>
          <w:sz w:val="32"/>
          <w:szCs w:val="32"/>
        </w:rPr>
        <w:t>96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485987</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15.86</w:t>
      </w:r>
      <w:r>
        <w:rPr>
          <w:rFonts w:ascii="仿宋_GB2312" w:eastAsia="仿宋_GB2312" w:hAnsi="仿宋_GB2312" w:cs="仿宋_GB2312" w:hint="eastAsia"/>
          <w:sz w:val="32"/>
          <w:szCs w:val="32"/>
        </w:rPr>
        <w:t>%。主要变动原因是年初预算拨款收入减少，引进研究生1人。</w:t>
      </w: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26" w:name="_Toc15396604"/>
      <w:bookmarkStart w:id="27" w:name="_Toc15377206"/>
      <w:r>
        <w:rPr>
          <w:rFonts w:ascii="方正黑体简体" w:eastAsia="方正黑体简体" w:hAnsi="方正黑体简体" w:cs="方正黑体简体" w:hint="eastAsia"/>
          <w:sz w:val="32"/>
          <w:szCs w:val="32"/>
        </w:rPr>
        <w:t>二、收入决算情况说明</w:t>
      </w:r>
      <w:bookmarkEnd w:id="26"/>
      <w:bookmarkEnd w:id="27"/>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本年收入合计473.43万元，其中：一般公共预算财政拨款收入473.36万元，占99.99%；政府性基金预算财政拨款收入0万元，占0%；上级补助收入0万元，占0%；事业收入0万元，占0%；经营收入0万元，占0%；附属单位上缴收入0万元，占0%；其他收入0.07万元，占0.01%。</w:t>
      </w: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28" w:name="_Toc15396605"/>
      <w:bookmarkStart w:id="29" w:name="_Toc15377207"/>
      <w:r>
        <w:rPr>
          <w:rFonts w:ascii="方正黑体简体" w:eastAsia="方正黑体简体" w:hAnsi="方正黑体简体" w:cs="方正黑体简体" w:hint="eastAsia"/>
          <w:sz w:val="32"/>
          <w:szCs w:val="32"/>
        </w:rPr>
        <w:t>三、支出决算情况说明</w:t>
      </w:r>
      <w:bookmarkEnd w:id="28"/>
      <w:bookmarkEnd w:id="29"/>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2020年本年支出合计510.91万元，其中：基本支出97.18万元，占19%；项目支出413.73万元，占81%；上缴上级支出0万元，占0%；经营支出0万元，占0%；对附属单位补助支出0</w:t>
      </w:r>
      <w:r>
        <w:rPr>
          <w:rFonts w:ascii="仿宋_GB2312" w:eastAsia="仿宋_GB2312" w:hAnsi="仿宋_GB2312" w:cs="仿宋_GB2312" w:hint="eastAsia"/>
          <w:sz w:val="32"/>
          <w:szCs w:val="32"/>
        </w:rPr>
        <w:lastRenderedPageBreak/>
        <w:t>万元，占0%。</w:t>
      </w: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30" w:name="_Toc15396606"/>
      <w:bookmarkStart w:id="31" w:name="_Toc15377208"/>
      <w:r>
        <w:rPr>
          <w:rFonts w:ascii="方正黑体简体" w:eastAsia="方正黑体简体" w:hAnsi="方正黑体简体" w:cs="方正黑体简体" w:hint="eastAsia"/>
          <w:sz w:val="32"/>
          <w:szCs w:val="32"/>
        </w:rPr>
        <w:t>四、财政拨款收入支出决算总体情况说明</w:t>
      </w:r>
      <w:bookmarkEnd w:id="30"/>
      <w:bookmarkEnd w:id="31"/>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2020年财政拨款收、支总计511.77万元。与2019年相比，财政拨款收、支总计减少96.45万元，减少15.86%。主要变动原因是项目预算拨款收入大幅减少。</w:t>
      </w: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32" w:name="_Toc15396607"/>
      <w:bookmarkStart w:id="33" w:name="_Toc15377209"/>
      <w:r>
        <w:rPr>
          <w:rFonts w:ascii="方正黑体简体" w:eastAsia="方正黑体简体" w:hAnsi="方正黑体简体" w:cs="方正黑体简体" w:hint="eastAsia"/>
          <w:sz w:val="32"/>
          <w:szCs w:val="32"/>
        </w:rPr>
        <w:t>五、一般公共预算财政拨款支出决算情况说明</w:t>
      </w:r>
      <w:bookmarkEnd w:id="32"/>
      <w:bookmarkEnd w:id="33"/>
    </w:p>
    <w:p w:rsidR="003C25FB" w:rsidRDefault="00F21A6D">
      <w:pPr>
        <w:spacing w:line="560" w:lineRule="exact"/>
        <w:ind w:firstLineChars="200" w:firstLine="640"/>
        <w:rPr>
          <w:rFonts w:ascii="方正楷体简体" w:eastAsia="方正楷体简体" w:hAnsi="方正楷体简体" w:cs="方正楷体简体"/>
          <w:sz w:val="32"/>
          <w:szCs w:val="32"/>
        </w:rPr>
      </w:pPr>
      <w:bookmarkStart w:id="34" w:name="_Toc15377210"/>
      <w:r>
        <w:rPr>
          <w:rFonts w:ascii="方正楷体简体" w:eastAsia="方正楷体简体" w:hAnsi="方正楷体简体" w:cs="方正楷体简体" w:hint="eastAsia"/>
          <w:sz w:val="32"/>
          <w:szCs w:val="32"/>
        </w:rPr>
        <w:t>（一）一般公共预算财政拨款支出决算总体情况</w:t>
      </w:r>
      <w:bookmarkEnd w:id="34"/>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2020年一般公共预算财政拨款支出510.84万元，占本年支出合计的100%。与2019年相比，一般公共预算财政拨款减少33.86万元，下降6.23%。主要变动原因是项目经费支出减少。</w:t>
      </w:r>
    </w:p>
    <w:p w:rsidR="003C25FB" w:rsidRDefault="00F21A6D">
      <w:pPr>
        <w:spacing w:line="560" w:lineRule="exact"/>
        <w:ind w:firstLineChars="200" w:firstLine="640"/>
        <w:rPr>
          <w:rFonts w:ascii="方正楷体简体" w:eastAsia="方正楷体简体" w:hAnsi="方正楷体简体" w:cs="方正楷体简体"/>
          <w:sz w:val="32"/>
          <w:szCs w:val="32"/>
        </w:rPr>
      </w:pPr>
      <w:bookmarkStart w:id="35" w:name="_Toc15377211"/>
      <w:r>
        <w:rPr>
          <w:rFonts w:ascii="方正楷体简体" w:eastAsia="方正楷体简体" w:hAnsi="方正楷体简体" w:cs="方正楷体简体" w:hint="eastAsia"/>
          <w:sz w:val="32"/>
          <w:szCs w:val="32"/>
        </w:rPr>
        <w:t>（二）一般公共预算财政拨款支出决算结构情况</w:t>
      </w:r>
      <w:bookmarkEnd w:id="35"/>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一般公共预算财政拨款支出510.84万元，主要用于以下方面:社会保障和就业支出（类）9.24万元，占1.81%；卫生健康支出（类）4.33万元，占0.84%；自然资源海洋气象等（类）支出487.95万元，占95.52%；城乡社区支出（类）0万元，占0%；农林水支出（类）0万元，占0%；住房保障支出（类）9.32万元，占1.83%。除以上数据外其余科目类支出的数据均为零。</w:t>
      </w:r>
    </w:p>
    <w:p w:rsidR="003C25FB" w:rsidRDefault="00F21A6D">
      <w:pPr>
        <w:spacing w:line="560" w:lineRule="exact"/>
        <w:ind w:firstLineChars="200" w:firstLine="640"/>
        <w:rPr>
          <w:rFonts w:ascii="方正楷体简体" w:eastAsia="方正楷体简体" w:hAnsi="方正楷体简体" w:cs="方正楷体简体"/>
          <w:sz w:val="32"/>
          <w:szCs w:val="32"/>
        </w:rPr>
      </w:pPr>
      <w:bookmarkStart w:id="36" w:name="_Toc15377212"/>
      <w:r>
        <w:rPr>
          <w:rFonts w:ascii="方正楷体简体" w:eastAsia="方正楷体简体" w:hAnsi="方正楷体简体" w:cs="方正楷体简体" w:hint="eastAsia"/>
          <w:sz w:val="32"/>
          <w:szCs w:val="32"/>
        </w:rPr>
        <w:t>（三）一般公共预算财政拨款支出决算具体情况</w:t>
      </w:r>
      <w:bookmarkEnd w:id="36"/>
    </w:p>
    <w:p w:rsidR="003C25FB" w:rsidRDefault="00F21A6D">
      <w:pPr>
        <w:spacing w:line="560" w:lineRule="exact"/>
        <w:ind w:firstLineChars="200" w:firstLine="640"/>
        <w:rPr>
          <w:rFonts w:ascii="仿宋_GB2312" w:eastAsia="仿宋_GB2312" w:hAnsi="仿宋_GB2312" w:cs="仿宋_GB2312"/>
          <w:sz w:val="32"/>
          <w:szCs w:val="32"/>
        </w:rPr>
      </w:pPr>
      <w:bookmarkStart w:id="37" w:name="_Toc15377213"/>
      <w:bookmarkStart w:id="38" w:name="_Toc15378460"/>
      <w:bookmarkStart w:id="39" w:name="_Toc15377444"/>
      <w:r>
        <w:rPr>
          <w:rFonts w:ascii="仿宋_GB2312" w:eastAsia="仿宋_GB2312" w:hAnsi="仿宋_GB2312" w:cs="仿宋_GB2312" w:hint="eastAsia"/>
          <w:sz w:val="32"/>
          <w:szCs w:val="32"/>
        </w:rPr>
        <w:t>2020年一般公共预算支出决算数为510.84万元，完成预算100%。其中：</w:t>
      </w:r>
      <w:bookmarkEnd w:id="37"/>
      <w:bookmarkEnd w:id="38"/>
      <w:bookmarkEnd w:id="39"/>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社会保障和就业支出（类）行政事业单位养老支出（款）机关事业单位基本养老保险缴费支出（项）:支出决算为9.24万元，完成预算100%，决算数与预算数基本持平。</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卫生健康支出（类）行政事业单位医疗（款）事业单位</w:t>
      </w:r>
      <w:r>
        <w:rPr>
          <w:rFonts w:ascii="仿宋_GB2312" w:eastAsia="仿宋_GB2312" w:hAnsi="仿宋_GB2312" w:cs="仿宋_GB2312" w:hint="eastAsia"/>
          <w:sz w:val="32"/>
          <w:szCs w:val="32"/>
        </w:rPr>
        <w:lastRenderedPageBreak/>
        <w:t>医疗（项）:支出决算为4.33万元，完成预算100%，决算数与预算数基本持平。</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3.自然资源海洋气象等（类）支出487.95万元，完成预算100%，决算数与预算数基本持平；</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 城乡社区支出（类）:支出决算为0万元，完成预算0%，决算数与预算数基本持平。</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农林水支出（类）林业和草原（款）森林资源培育（项）:支出决算为0万元，完成预算0%，决算数与预算数基本持平。</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 住房保障支出（类）住房改革支出（款）住房公积金（项）:支出决算为9.32万元，完成预算100%，决算数与预算数基本持平。 </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除以上数据外其余的（类）（款）（项）科目支出的数据均为零。</w:t>
      </w: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40" w:name="_Toc15377214"/>
      <w:bookmarkStart w:id="41" w:name="_Toc15396608"/>
      <w:r>
        <w:rPr>
          <w:rFonts w:ascii="方正黑体简体" w:eastAsia="方正黑体简体" w:hAnsi="方正黑体简体" w:cs="方正黑体简体" w:hint="eastAsia"/>
          <w:sz w:val="32"/>
          <w:szCs w:val="32"/>
        </w:rPr>
        <w:t>六、一般公共预算财政拨款基本支出决算情况说明</w:t>
      </w:r>
      <w:bookmarkEnd w:id="40"/>
      <w:bookmarkEnd w:id="41"/>
      <w:r>
        <w:rPr>
          <w:rFonts w:ascii="方正黑体简体" w:eastAsia="方正黑体简体" w:hAnsi="方正黑体简体" w:cs="方正黑体简体" w:hint="eastAsia"/>
          <w:sz w:val="32"/>
          <w:szCs w:val="32"/>
        </w:rPr>
        <w:tab/>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2020年一般公共预算财政拨款基本支出97.14万元，其中：</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人员经费85.90万元，主要包括：基本工资、津贴补贴、奖金、绩效工资、机关事业单位基本养老保险缴费、职工基本医疗保险缴费、其他社会保障缴费、其他工资福利支出、奖励金、住房公积金。</w:t>
      </w:r>
      <w:r>
        <w:rPr>
          <w:rFonts w:ascii="仿宋_GB2312" w:eastAsia="仿宋_GB2312" w:hAnsi="仿宋_GB2312" w:cs="仿宋_GB2312" w:hint="eastAsia"/>
          <w:sz w:val="32"/>
          <w:szCs w:val="32"/>
        </w:rPr>
        <w:br/>
        <w:t xml:space="preserve">　　日常公用经费11.24万元，主要包括：办公费、咨询费、手续费、水费、电费、邮电费、差旅费、租赁费、培训费、专用材料费、工会经费、福利费、公务用车运行维护费、其他交通费、其他商品和服务支出。</w:t>
      </w: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42" w:name="_Toc15396609"/>
      <w:bookmarkStart w:id="43" w:name="_Toc15377215"/>
      <w:r>
        <w:rPr>
          <w:rFonts w:ascii="方正黑体简体" w:eastAsia="方正黑体简体" w:hAnsi="方正黑体简体" w:cs="方正黑体简体" w:hint="eastAsia"/>
          <w:sz w:val="32"/>
          <w:szCs w:val="32"/>
        </w:rPr>
        <w:t>七、“三公”经费财政拨款支出决算情况说明</w:t>
      </w:r>
      <w:bookmarkEnd w:id="42"/>
      <w:bookmarkEnd w:id="43"/>
    </w:p>
    <w:p w:rsidR="003C25FB" w:rsidRDefault="00F21A6D">
      <w:pPr>
        <w:spacing w:line="560" w:lineRule="exact"/>
        <w:ind w:firstLineChars="200" w:firstLine="640"/>
        <w:rPr>
          <w:rFonts w:ascii="方正楷体简体" w:eastAsia="方正楷体简体" w:hAnsi="方正楷体简体" w:cs="方正楷体简体"/>
          <w:sz w:val="32"/>
          <w:szCs w:val="32"/>
        </w:rPr>
      </w:pPr>
      <w:bookmarkStart w:id="44" w:name="_Toc15377216"/>
      <w:r>
        <w:rPr>
          <w:rFonts w:ascii="方正楷体简体" w:eastAsia="方正楷体简体" w:hAnsi="方正楷体简体" w:cs="方正楷体简体" w:hint="eastAsia"/>
          <w:sz w:val="32"/>
          <w:szCs w:val="32"/>
        </w:rPr>
        <w:lastRenderedPageBreak/>
        <w:t>（一）“三公”经费财政拨款支出决算总体情况说明</w:t>
      </w:r>
      <w:bookmarkEnd w:id="44"/>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2020年“三公”经费财政拨款支出决算为50.12万元，完成预算92.58%，决算数与预算数基本持平。</w:t>
      </w:r>
    </w:p>
    <w:p w:rsidR="003C25FB" w:rsidRDefault="00F21A6D">
      <w:pPr>
        <w:spacing w:line="560" w:lineRule="exact"/>
        <w:ind w:firstLineChars="200" w:firstLine="640"/>
        <w:rPr>
          <w:rFonts w:ascii="方正楷体简体" w:eastAsia="方正楷体简体" w:hAnsi="方正楷体简体" w:cs="方正楷体简体"/>
          <w:sz w:val="32"/>
          <w:szCs w:val="32"/>
        </w:rPr>
      </w:pPr>
      <w:bookmarkStart w:id="45" w:name="_Toc15377217"/>
      <w:r>
        <w:rPr>
          <w:rFonts w:ascii="方正楷体简体" w:eastAsia="方正楷体简体" w:hAnsi="方正楷体简体" w:cs="方正楷体简体" w:hint="eastAsia"/>
          <w:sz w:val="32"/>
          <w:szCs w:val="32"/>
        </w:rPr>
        <w:t>（二）“三公”经费财政拨款支出决算具体情况说明</w:t>
      </w:r>
      <w:bookmarkEnd w:id="45"/>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2020年“三公”经费财政拨款支出决算中，因公出国（境）费支出决算0万元，</w:t>
      </w:r>
      <w:r w:rsidR="00B05253" w:rsidRPr="00B05253">
        <w:rPr>
          <w:rFonts w:ascii="仿宋_GB2312" w:eastAsia="仿宋_GB2312" w:hAnsi="仿宋_GB2312" w:cs="仿宋_GB2312" w:hint="eastAsia"/>
          <w:sz w:val="32"/>
          <w:szCs w:val="32"/>
        </w:rPr>
        <w:t>年初未安排预算</w:t>
      </w:r>
      <w:r>
        <w:rPr>
          <w:rFonts w:ascii="仿宋_GB2312" w:eastAsia="仿宋_GB2312" w:hAnsi="仿宋_GB2312" w:cs="仿宋_GB2312" w:hint="eastAsia"/>
          <w:sz w:val="32"/>
          <w:szCs w:val="32"/>
        </w:rPr>
        <w:t>；公务用车购置及运行维护费支出决算48.46万元，占96.69%；公务接待费支出决算1.66万元，占3.31%。具体情况如下：</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 </w:t>
      </w:r>
      <w:r w:rsidR="00B05253" w:rsidRPr="00B05253">
        <w:rPr>
          <w:rFonts w:ascii="仿宋_GB2312" w:eastAsia="仿宋_GB2312" w:hAnsi="仿宋_GB2312" w:cs="仿宋_GB2312" w:hint="eastAsia"/>
          <w:sz w:val="32"/>
          <w:szCs w:val="32"/>
        </w:rPr>
        <w:t>因公出国（境）经费支出0万元，年初未安排预算，较2019年度无变化。主要原因是我单位无因公出国（境）事宜。</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公务用车购置及运行维护费支出50.12万元,完成预算95.51%。公务用车购置及运行维护费支出决算比2019年增加</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1万元，增长</w:t>
      </w:r>
      <w:r>
        <w:rPr>
          <w:rFonts w:ascii="仿宋_GB2312" w:eastAsia="仿宋_GB2312" w:hAnsi="仿宋_GB2312" w:cs="仿宋_GB2312"/>
          <w:sz w:val="32"/>
          <w:szCs w:val="32"/>
        </w:rPr>
        <w:t>187.54</w:t>
      </w:r>
      <w:r>
        <w:rPr>
          <w:rFonts w:ascii="仿宋_GB2312" w:eastAsia="仿宋_GB2312" w:hAnsi="仿宋_GB2312" w:cs="仿宋_GB2312" w:hint="eastAsia"/>
          <w:sz w:val="32"/>
          <w:szCs w:val="32"/>
        </w:rPr>
        <w:t>%。主要原因是更新业务车辆1辆。</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其中：公务用车购置支出45.98万元。全年按规定更新公务用车1辆，其中：越野车1辆、金额</w:t>
      </w:r>
      <w:r w:rsidR="001C7B29">
        <w:rPr>
          <w:rFonts w:ascii="仿宋_GB2312" w:eastAsia="仿宋_GB2312" w:hAnsi="仿宋_GB2312" w:cs="仿宋_GB2312" w:hint="eastAsia"/>
          <w:sz w:val="32"/>
          <w:szCs w:val="32"/>
        </w:rPr>
        <w:t>45.98万元</w:t>
      </w:r>
      <w:r>
        <w:rPr>
          <w:rFonts w:ascii="仿宋_GB2312" w:eastAsia="仿宋_GB2312" w:hAnsi="仿宋_GB2312" w:cs="仿宋_GB2312" w:hint="eastAsia"/>
          <w:sz w:val="32"/>
          <w:szCs w:val="32"/>
        </w:rPr>
        <w:t>。截至2020年12月底，单位共有公务用车3辆，其中：轿车0辆、越野车3辆（含待处置1辆）、载客汽车0辆</w:t>
      </w:r>
      <w:r w:rsidR="00F179AD">
        <w:rPr>
          <w:rFonts w:ascii="仿宋_GB2312" w:eastAsia="仿宋_GB2312" w:hAnsi="仿宋_GB2312" w:cs="仿宋_GB2312" w:hint="eastAsia"/>
          <w:sz w:val="32"/>
          <w:szCs w:val="32"/>
        </w:rPr>
        <w:t>，特种车1辆</w:t>
      </w:r>
      <w:r>
        <w:rPr>
          <w:rFonts w:ascii="仿宋_GB2312" w:eastAsia="仿宋_GB2312" w:hAnsi="仿宋_GB2312" w:cs="仿宋_GB2312" w:hint="eastAsia"/>
          <w:sz w:val="32"/>
          <w:szCs w:val="32"/>
        </w:rPr>
        <w:t>。</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公务用车运行维护费支出2.48万元。主要用于地</w:t>
      </w:r>
      <w:r>
        <w:rPr>
          <w:rFonts w:ascii="仿宋_GB2312" w:eastAsia="仿宋_GB2312" w:hAnsi="仿宋_GB2312" w:cs="仿宋_GB2312"/>
          <w:sz w:val="32"/>
          <w:szCs w:val="32"/>
        </w:rPr>
        <w:t>籍、地形、宗地测量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用地范围勘测定界</w:t>
      </w:r>
      <w:r>
        <w:rPr>
          <w:rFonts w:ascii="仿宋_GB2312" w:eastAsia="仿宋_GB2312" w:hAnsi="仿宋_GB2312" w:cs="仿宋_GB2312" w:hint="eastAsia"/>
          <w:sz w:val="32"/>
          <w:szCs w:val="32"/>
        </w:rPr>
        <w:t>日常等所需的公务用车燃料费、维修费、过路过桥费、保险费等支出。涉及项目的费用在项目预算的工作经费开支。</w:t>
      </w:r>
    </w:p>
    <w:p w:rsidR="003C25FB" w:rsidRPr="007639D9" w:rsidRDefault="00F21A6D" w:rsidP="007639D9">
      <w:pPr>
        <w:widowControl/>
        <w:spacing w:line="546"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3. 公务接待费支出1.66万元</w:t>
      </w:r>
      <w:bookmarkStart w:id="46" w:name="_Toc15396610"/>
      <w:bookmarkStart w:id="47" w:name="_Toc15377218"/>
      <w:r>
        <w:rPr>
          <w:rFonts w:ascii="仿宋_GB2312" w:eastAsia="仿宋_GB2312" w:hAnsi="仿宋_GB2312" w:cs="仿宋_GB2312" w:hint="eastAsia"/>
          <w:sz w:val="32"/>
          <w:szCs w:val="32"/>
        </w:rPr>
        <w:t>，完成预算1.66%。公务接待费支出决算比2019年增加/减少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65</w:t>
      </w:r>
      <w:r>
        <w:rPr>
          <w:rFonts w:ascii="仿宋_GB2312" w:eastAsia="仿宋_GB2312" w:hAnsi="仿宋_GB2312" w:cs="仿宋_GB2312" w:hint="eastAsia"/>
          <w:sz w:val="32"/>
          <w:szCs w:val="32"/>
        </w:rPr>
        <w:t>万元，增长/下降</w:t>
      </w:r>
      <w:r>
        <w:rPr>
          <w:rFonts w:ascii="仿宋_GB2312" w:eastAsia="仿宋_GB2312" w:hAnsi="仿宋_GB2312" w:cs="仿宋_GB2312"/>
          <w:sz w:val="32"/>
          <w:szCs w:val="32"/>
        </w:rPr>
        <w:t>-49.95</w:t>
      </w:r>
      <w:r>
        <w:rPr>
          <w:rFonts w:ascii="仿宋_GB2312" w:eastAsia="仿宋_GB2312" w:hAnsi="仿宋_GB2312" w:cs="仿宋_GB2312" w:hint="eastAsia"/>
          <w:sz w:val="32"/>
          <w:szCs w:val="32"/>
        </w:rPr>
        <w:t>%。主要原因是我单位执行过紧日子思想。其中：国内公务接待支出</w:t>
      </w:r>
      <w:r>
        <w:rPr>
          <w:rFonts w:ascii="仿宋_GB2312" w:eastAsia="仿宋_GB2312" w:hAnsi="仿宋_GB2312" w:cs="仿宋_GB2312" w:hint="eastAsia"/>
          <w:sz w:val="32"/>
          <w:szCs w:val="32"/>
        </w:rPr>
        <w:lastRenderedPageBreak/>
        <w:t>1.66万元。国内公务接待</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批次，167人次（包括陪同人员），共计支出1.66万元。</w:t>
      </w:r>
      <w:r w:rsidR="007639D9">
        <w:rPr>
          <w:rFonts w:ascii="仿宋_GB2312" w:eastAsia="仿宋_GB2312" w:hAnsi="仿宋_GB2312" w:cs="仿宋_GB2312" w:hint="eastAsia"/>
          <w:sz w:val="32"/>
          <w:szCs w:val="32"/>
        </w:rPr>
        <w:t>具</w:t>
      </w:r>
      <w:r w:rsidR="007639D9" w:rsidRPr="007639D9">
        <w:rPr>
          <w:rFonts w:ascii="仿宋_GB2312" w:eastAsia="仿宋_GB2312" w:hAnsi="仿宋_GB2312" w:cs="仿宋_GB2312" w:hint="eastAsia"/>
          <w:sz w:val="32"/>
          <w:szCs w:val="32"/>
        </w:rPr>
        <w:t>体内容包括：</w:t>
      </w:r>
      <w:r w:rsidR="00991AE8" w:rsidRPr="007639D9">
        <w:rPr>
          <w:rFonts w:ascii="仿宋_GB2312" w:eastAsia="仿宋_GB2312" w:hAnsi="仿宋_GB2312" w:cs="仿宋_GB2312" w:hint="eastAsia"/>
          <w:sz w:val="32"/>
          <w:szCs w:val="32"/>
        </w:rPr>
        <w:t>县区自然资源局</w:t>
      </w:r>
      <w:r w:rsidR="00991AE8">
        <w:rPr>
          <w:rFonts w:ascii="仿宋_GB2312" w:eastAsia="仿宋_GB2312" w:hAnsi="仿宋_GB2312" w:cs="仿宋_GB2312" w:hint="eastAsia"/>
          <w:sz w:val="32"/>
          <w:szCs w:val="32"/>
        </w:rPr>
        <w:t>以及其他单位</w:t>
      </w:r>
      <w:r w:rsidR="00991AE8" w:rsidRPr="007639D9">
        <w:rPr>
          <w:rFonts w:ascii="仿宋_GB2312" w:eastAsia="仿宋_GB2312" w:hAnsi="仿宋_GB2312" w:cs="仿宋_GB2312" w:hint="eastAsia"/>
          <w:sz w:val="32"/>
          <w:szCs w:val="32"/>
        </w:rPr>
        <w:t>来我</w:t>
      </w:r>
      <w:r w:rsidR="00991AE8">
        <w:rPr>
          <w:rFonts w:ascii="仿宋_GB2312" w:eastAsia="仿宋_GB2312" w:hAnsi="仿宋_GB2312" w:cs="仿宋_GB2312" w:hint="eastAsia"/>
          <w:sz w:val="32"/>
          <w:szCs w:val="32"/>
        </w:rPr>
        <w:t>单位</w:t>
      </w:r>
      <w:r w:rsidR="001D5046">
        <w:rPr>
          <w:rFonts w:ascii="仿宋_GB2312" w:eastAsia="仿宋_GB2312" w:hAnsi="仿宋_GB2312" w:cs="仿宋_GB2312" w:hint="eastAsia"/>
          <w:sz w:val="32"/>
          <w:szCs w:val="32"/>
        </w:rPr>
        <w:t>办理测绘相关</w:t>
      </w:r>
      <w:r w:rsidR="00991AE8">
        <w:rPr>
          <w:rFonts w:ascii="仿宋_GB2312" w:eastAsia="仿宋_GB2312" w:hAnsi="仿宋_GB2312" w:cs="仿宋_GB2312" w:hint="eastAsia"/>
          <w:sz w:val="32"/>
          <w:szCs w:val="32"/>
        </w:rPr>
        <w:t>业</w:t>
      </w:r>
      <w:r w:rsidR="007639D9" w:rsidRPr="007639D9">
        <w:rPr>
          <w:rFonts w:ascii="仿宋_GB2312" w:eastAsia="仿宋_GB2312" w:hAnsi="仿宋_GB2312" w:cs="仿宋_GB2312" w:hint="eastAsia"/>
          <w:sz w:val="32"/>
          <w:szCs w:val="32"/>
        </w:rPr>
        <w:t>务</w:t>
      </w:r>
      <w:r w:rsidR="004A4862">
        <w:rPr>
          <w:rFonts w:ascii="仿宋_GB2312" w:eastAsia="仿宋_GB2312" w:hAnsi="仿宋_GB2312" w:cs="仿宋_GB2312" w:hint="eastAsia"/>
          <w:sz w:val="32"/>
          <w:szCs w:val="32"/>
        </w:rPr>
        <w:t>的</w:t>
      </w:r>
      <w:r w:rsidR="007639D9" w:rsidRPr="007639D9">
        <w:rPr>
          <w:rFonts w:ascii="仿宋_GB2312" w:eastAsia="仿宋_GB2312" w:hAnsi="仿宋_GB2312" w:cs="仿宋_GB2312" w:hint="eastAsia"/>
          <w:sz w:val="32"/>
          <w:szCs w:val="32"/>
        </w:rPr>
        <w:t>工作用餐。</w:t>
      </w:r>
      <w:r>
        <w:rPr>
          <w:rFonts w:ascii="仿宋_GB2312" w:eastAsia="仿宋_GB2312" w:hAnsi="仿宋_GB2312" w:cs="仿宋_GB2312" w:hint="eastAsia"/>
          <w:sz w:val="32"/>
          <w:szCs w:val="32"/>
        </w:rPr>
        <w:t>外事接待支出0万元，</w:t>
      </w:r>
      <w:r w:rsidR="007639D9">
        <w:rPr>
          <w:rFonts w:ascii="仿宋_GB2312" w:eastAsia="仿宋_GB2312" w:hAnsi="仿宋_GB2312" w:cs="仿宋_GB2312" w:hint="eastAsia"/>
          <w:color w:val="000000"/>
          <w:sz w:val="32"/>
          <w:szCs w:val="32"/>
        </w:rPr>
        <w:t>本单位无外事接待。</w:t>
      </w:r>
    </w:p>
    <w:p w:rsidR="003C25FB" w:rsidRDefault="00F21A6D">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八、政府性基金预算支出决算情况说明</w:t>
      </w:r>
      <w:bookmarkEnd w:id="46"/>
      <w:bookmarkEnd w:id="47"/>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2020年政府性基金预算拨款支出0万元。</w:t>
      </w:r>
      <w:r w:rsidR="00AB530D" w:rsidRPr="00AB530D">
        <w:rPr>
          <w:rFonts w:ascii="仿宋_GB2312" w:eastAsia="仿宋_GB2312" w:hAnsi="仿宋_GB2312" w:cs="仿宋_GB2312" w:hint="eastAsia"/>
          <w:sz w:val="32"/>
          <w:szCs w:val="32"/>
        </w:rPr>
        <w:t>2020年本单位未在政府性基金预算拨款安排“三公经费”支出。</w:t>
      </w: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48" w:name="_Toc15377219"/>
      <w:bookmarkStart w:id="49" w:name="_Toc15396611"/>
      <w:r>
        <w:rPr>
          <w:rFonts w:ascii="方正黑体简体" w:eastAsia="方正黑体简体" w:hAnsi="方正黑体简体" w:cs="方正黑体简体" w:hint="eastAsia"/>
          <w:sz w:val="32"/>
          <w:szCs w:val="32"/>
        </w:rPr>
        <w:t>九、国有资本经营预算支出决算情况说明</w:t>
      </w:r>
      <w:bookmarkEnd w:id="48"/>
      <w:bookmarkEnd w:id="49"/>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2020年国有资本经营预算拨款支出0万元。</w:t>
      </w:r>
    </w:p>
    <w:p w:rsidR="003C25FB" w:rsidRDefault="00F21A6D">
      <w:pPr>
        <w:spacing w:line="560" w:lineRule="exact"/>
        <w:ind w:firstLineChars="200" w:firstLine="640"/>
        <w:rPr>
          <w:rFonts w:ascii="方正黑体简体" w:eastAsia="方正黑体简体" w:hAnsi="方正黑体简体" w:cs="方正黑体简体"/>
          <w:sz w:val="32"/>
          <w:szCs w:val="32"/>
        </w:rPr>
      </w:pPr>
      <w:bookmarkStart w:id="50" w:name="_Toc15396612"/>
      <w:bookmarkStart w:id="51" w:name="_Toc15377221"/>
      <w:r>
        <w:rPr>
          <w:rFonts w:ascii="方正黑体简体" w:eastAsia="方正黑体简体" w:hAnsi="方正黑体简体" w:cs="方正黑体简体" w:hint="eastAsia"/>
          <w:sz w:val="32"/>
          <w:szCs w:val="32"/>
        </w:rPr>
        <w:t>十、其他重要事项的情况说明</w:t>
      </w:r>
      <w:bookmarkEnd w:id="50"/>
      <w:bookmarkEnd w:id="51"/>
    </w:p>
    <w:p w:rsidR="003C25FB" w:rsidRDefault="00F21A6D">
      <w:pPr>
        <w:spacing w:line="560" w:lineRule="exact"/>
        <w:ind w:firstLineChars="200" w:firstLine="640"/>
        <w:rPr>
          <w:rFonts w:ascii="方正楷体简体" w:eastAsia="方正楷体简体" w:hAnsi="方正楷体简体" w:cs="方正楷体简体"/>
          <w:sz w:val="32"/>
          <w:szCs w:val="32"/>
        </w:rPr>
      </w:pPr>
      <w:bookmarkStart w:id="52" w:name="_Toc15377222"/>
      <w:r>
        <w:rPr>
          <w:rFonts w:ascii="方正楷体简体" w:eastAsia="方正楷体简体" w:hAnsi="方正楷体简体" w:cs="方正楷体简体" w:hint="eastAsia"/>
          <w:sz w:val="32"/>
          <w:szCs w:val="32"/>
        </w:rPr>
        <w:t>（一）机关运行经费支出情况</w:t>
      </w:r>
      <w:bookmarkEnd w:id="52"/>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2020年，广元市地籍地政事务中心</w:t>
      </w:r>
      <w:r w:rsidR="003942D4">
        <w:rPr>
          <w:rFonts w:ascii="仿宋_GB2312" w:eastAsia="仿宋_GB2312" w:hAnsi="仿宋_GB2312" w:cs="仿宋_GB2312" w:hint="eastAsia"/>
          <w:sz w:val="32"/>
          <w:szCs w:val="32"/>
        </w:rPr>
        <w:t>未</w:t>
      </w:r>
      <w:r w:rsidR="00DF4825">
        <w:rPr>
          <w:rFonts w:ascii="仿宋_GB2312" w:eastAsia="仿宋_GB2312" w:hAnsi="仿宋_GB2312" w:cs="仿宋_GB2312" w:hint="eastAsia"/>
          <w:sz w:val="32"/>
          <w:szCs w:val="32"/>
        </w:rPr>
        <w:t>发生</w:t>
      </w:r>
      <w:r>
        <w:rPr>
          <w:rFonts w:ascii="仿宋_GB2312" w:eastAsia="仿宋_GB2312" w:hAnsi="仿宋_GB2312" w:cs="仿宋_GB2312" w:hint="eastAsia"/>
          <w:sz w:val="32"/>
          <w:szCs w:val="32"/>
        </w:rPr>
        <w:t>机关运行经费支出</w:t>
      </w:r>
      <w:r w:rsidR="00DF4825">
        <w:rPr>
          <w:rFonts w:ascii="仿宋_GB2312" w:eastAsia="仿宋_GB2312" w:hAnsi="仿宋_GB2312" w:cs="仿宋_GB2312" w:hint="eastAsia"/>
          <w:sz w:val="32"/>
          <w:szCs w:val="32"/>
        </w:rPr>
        <w:t>。</w:t>
      </w:r>
    </w:p>
    <w:p w:rsidR="003C25FB" w:rsidRDefault="00F21A6D">
      <w:pPr>
        <w:spacing w:line="560" w:lineRule="exact"/>
        <w:ind w:firstLineChars="200" w:firstLine="640"/>
        <w:rPr>
          <w:rFonts w:ascii="方正楷体简体" w:eastAsia="方正楷体简体" w:hAnsi="方正楷体简体" w:cs="方正楷体简体"/>
          <w:sz w:val="32"/>
          <w:szCs w:val="32"/>
        </w:rPr>
      </w:pPr>
      <w:bookmarkStart w:id="53" w:name="_Toc15377223"/>
      <w:r>
        <w:rPr>
          <w:rFonts w:ascii="方正楷体简体" w:eastAsia="方正楷体简体" w:hAnsi="方正楷体简体" w:cs="方正楷体简体" w:hint="eastAsia"/>
          <w:sz w:val="32"/>
          <w:szCs w:val="32"/>
        </w:rPr>
        <w:t>（二）政府采购支出情况</w:t>
      </w:r>
      <w:bookmarkEnd w:id="53"/>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2020年，广元市地籍地政事务中心政府采购支出总额</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万元、政府采购工程支出0万元、政府采购服务支出0万元。授予中小企业合同金额</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万元，占政府采购支出总额的100%，其中：授予小微企业合同金额</w:t>
      </w:r>
      <w:r>
        <w:rPr>
          <w:rFonts w:ascii="仿宋_GB2312" w:eastAsia="仿宋_GB2312" w:hAnsi="仿宋_GB2312" w:cs="仿宋_GB2312"/>
          <w:sz w:val="32"/>
          <w:szCs w:val="32"/>
        </w:rPr>
        <w:t>104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09</w:t>
      </w:r>
      <w:r>
        <w:rPr>
          <w:rFonts w:ascii="仿宋_GB2312" w:eastAsia="仿宋_GB2312" w:hAnsi="仿宋_GB2312" w:cs="仿宋_GB2312" w:hint="eastAsia"/>
          <w:sz w:val="32"/>
          <w:szCs w:val="32"/>
        </w:rPr>
        <w:t>万元，占政府采购支出总额的100%。</w:t>
      </w:r>
    </w:p>
    <w:p w:rsidR="003C25FB" w:rsidRDefault="00F21A6D">
      <w:pPr>
        <w:spacing w:line="560" w:lineRule="exact"/>
        <w:ind w:firstLineChars="200" w:firstLine="640"/>
        <w:rPr>
          <w:rFonts w:ascii="方正楷体简体" w:eastAsia="方正楷体简体" w:hAnsi="方正楷体简体" w:cs="方正楷体简体"/>
          <w:sz w:val="32"/>
          <w:szCs w:val="32"/>
        </w:rPr>
      </w:pPr>
      <w:bookmarkStart w:id="54" w:name="_Toc15377224"/>
      <w:r>
        <w:rPr>
          <w:rFonts w:ascii="方正楷体简体" w:eastAsia="方正楷体简体" w:hAnsi="方正楷体简体" w:cs="方正楷体简体" w:hint="eastAsia"/>
          <w:sz w:val="32"/>
          <w:szCs w:val="32"/>
        </w:rPr>
        <w:t>（三）国有资产占有使用情况</w:t>
      </w:r>
      <w:bookmarkEnd w:id="54"/>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截至2020年12月31日，广元市地籍地政事务中心共有车辆3辆，其中：主要领导干部用车0辆、机要通信用车0辆、应急保障用车0辆、其他用车4辆。其他用车主要是用于</w:t>
      </w:r>
      <w:r>
        <w:rPr>
          <w:rFonts w:ascii="仿宋_GB2312" w:eastAsia="仿宋_GB2312" w:hAnsi="仿宋_GB2312" w:cs="仿宋_GB2312"/>
          <w:sz w:val="32"/>
          <w:szCs w:val="32"/>
        </w:rPr>
        <w:t>负责地籍、地形、宗地测量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用地范围勘测定界</w:t>
      </w:r>
      <w:r>
        <w:rPr>
          <w:rFonts w:ascii="仿宋_GB2312" w:eastAsia="仿宋_GB2312" w:hAnsi="仿宋_GB2312" w:cs="仿宋_GB2312" w:hint="eastAsia"/>
          <w:sz w:val="32"/>
          <w:szCs w:val="32"/>
        </w:rPr>
        <w:t>管理日常方面业务用车3台</w:t>
      </w:r>
      <w:r>
        <w:rPr>
          <w:rFonts w:ascii="仿宋_GB2312" w:eastAsia="仿宋_GB2312" w:hAnsi="仿宋_GB2312" w:cs="仿宋_GB2312" w:hint="eastAsia"/>
          <w:sz w:val="32"/>
          <w:szCs w:val="32"/>
        </w:rPr>
        <w:lastRenderedPageBreak/>
        <w:t>及搭载无人机航摄系统设备特种专业技术车辆1台。单价50万元以上通用设备0台（套），单价100万元以上专用设备0台（套）。</w:t>
      </w:r>
    </w:p>
    <w:p w:rsidR="003C25FB" w:rsidRDefault="00F21A6D">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（四）预算绩效管理情况</w:t>
      </w:r>
    </w:p>
    <w:p w:rsidR="003C25FB" w:rsidRDefault="00F21A6D">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组织对聘用人员费用、工作经费、土地勘界等维护更新费项目开展了预算事前绩效评估，对1个项目编制了绩效目标，预算执行过程中，选取1个项目开展绩效监控，年终执行完毕，开展绩效目标完成情况自评。</w:t>
      </w:r>
    </w:p>
    <w:p w:rsidR="003C25FB" w:rsidRDefault="003C25FB">
      <w:pPr>
        <w:spacing w:line="560" w:lineRule="exact"/>
        <w:rPr>
          <w:rFonts w:ascii="仿宋_GB2312" w:eastAsia="仿宋_GB2312" w:hAnsi="仿宋_GB2312" w:cs="仿宋_GB2312"/>
          <w:sz w:val="32"/>
          <w:szCs w:val="32"/>
        </w:rPr>
        <w:sectPr w:rsidR="003C25FB">
          <w:footerReference w:type="default" r:id="rId18"/>
          <w:footerReference w:type="first" r:id="rId19"/>
          <w:pgSz w:w="11906" w:h="16838"/>
          <w:pgMar w:top="1701" w:right="1474" w:bottom="1417" w:left="1587" w:header="851" w:footer="992" w:gutter="0"/>
          <w:pgNumType w:start="1"/>
          <w:cols w:space="0"/>
          <w:docGrid w:type="lines" w:linePitch="312"/>
        </w:sectPr>
      </w:pPr>
    </w:p>
    <w:tbl>
      <w:tblPr>
        <w:tblW w:w="12420" w:type="dxa"/>
        <w:tblInd w:w="94" w:type="dxa"/>
        <w:tblLook w:val="04A0"/>
      </w:tblPr>
      <w:tblGrid>
        <w:gridCol w:w="2814"/>
        <w:gridCol w:w="1834"/>
        <w:gridCol w:w="1426"/>
        <w:gridCol w:w="884"/>
        <w:gridCol w:w="830"/>
        <w:gridCol w:w="2193"/>
        <w:gridCol w:w="2439"/>
      </w:tblGrid>
      <w:tr w:rsidR="003C25FB">
        <w:trPr>
          <w:trHeight w:val="285"/>
        </w:trPr>
        <w:tc>
          <w:tcPr>
            <w:tcW w:w="2814" w:type="dxa"/>
            <w:tcBorders>
              <w:top w:val="nil"/>
              <w:left w:val="nil"/>
              <w:bottom w:val="nil"/>
              <w:right w:val="nil"/>
            </w:tcBorders>
            <w:shd w:val="clear" w:color="auto" w:fill="auto"/>
            <w:noWrap/>
            <w:vAlign w:val="center"/>
          </w:tcPr>
          <w:p w:rsidR="003C25FB" w:rsidRDefault="003C25FB">
            <w:pPr>
              <w:widowControl/>
              <w:jc w:val="left"/>
              <w:rPr>
                <w:rFonts w:ascii="黑体" w:eastAsia="黑体" w:hAnsi="宋体" w:cs="宋体"/>
                <w:kern w:val="0"/>
                <w:sz w:val="24"/>
              </w:rPr>
            </w:pPr>
          </w:p>
        </w:tc>
        <w:tc>
          <w:tcPr>
            <w:tcW w:w="1834" w:type="dxa"/>
            <w:tcBorders>
              <w:top w:val="nil"/>
              <w:left w:val="nil"/>
              <w:bottom w:val="nil"/>
              <w:right w:val="nil"/>
            </w:tcBorders>
            <w:shd w:val="clear" w:color="auto" w:fill="auto"/>
            <w:vAlign w:val="center"/>
          </w:tcPr>
          <w:p w:rsidR="003C25FB" w:rsidRDefault="003C25FB">
            <w:pPr>
              <w:widowControl/>
              <w:jc w:val="left"/>
              <w:rPr>
                <w:rFonts w:ascii="黑体" w:eastAsia="黑体" w:hAnsi="宋体" w:cs="宋体"/>
                <w:kern w:val="0"/>
                <w:sz w:val="24"/>
              </w:rPr>
            </w:pPr>
          </w:p>
        </w:tc>
        <w:tc>
          <w:tcPr>
            <w:tcW w:w="1426" w:type="dxa"/>
            <w:tcBorders>
              <w:top w:val="nil"/>
              <w:left w:val="nil"/>
              <w:bottom w:val="nil"/>
              <w:right w:val="nil"/>
            </w:tcBorders>
            <w:shd w:val="clear" w:color="auto" w:fill="auto"/>
            <w:vAlign w:val="center"/>
          </w:tcPr>
          <w:p w:rsidR="003C25FB" w:rsidRDefault="003C25FB">
            <w:pPr>
              <w:widowControl/>
              <w:jc w:val="left"/>
              <w:rPr>
                <w:rFonts w:ascii="黑体" w:eastAsia="黑体" w:hAnsi="宋体" w:cs="宋体"/>
                <w:kern w:val="0"/>
                <w:sz w:val="24"/>
              </w:rPr>
            </w:pPr>
          </w:p>
        </w:tc>
        <w:tc>
          <w:tcPr>
            <w:tcW w:w="884" w:type="dxa"/>
            <w:tcBorders>
              <w:top w:val="nil"/>
              <w:left w:val="nil"/>
              <w:bottom w:val="nil"/>
              <w:right w:val="nil"/>
            </w:tcBorders>
            <w:shd w:val="clear" w:color="auto" w:fill="auto"/>
            <w:vAlign w:val="center"/>
          </w:tcPr>
          <w:p w:rsidR="003C25FB" w:rsidRDefault="003C25FB">
            <w:pPr>
              <w:widowControl/>
              <w:jc w:val="left"/>
              <w:rPr>
                <w:rFonts w:ascii="黑体" w:eastAsia="黑体" w:hAnsi="宋体" w:cs="宋体"/>
                <w:kern w:val="0"/>
                <w:sz w:val="24"/>
              </w:rPr>
            </w:pPr>
          </w:p>
        </w:tc>
        <w:tc>
          <w:tcPr>
            <w:tcW w:w="830"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4"/>
              </w:rPr>
            </w:pPr>
          </w:p>
        </w:tc>
        <w:tc>
          <w:tcPr>
            <w:tcW w:w="2193"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4"/>
              </w:rPr>
            </w:pPr>
          </w:p>
        </w:tc>
        <w:tc>
          <w:tcPr>
            <w:tcW w:w="2439"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4"/>
              </w:rPr>
            </w:pPr>
          </w:p>
        </w:tc>
      </w:tr>
      <w:tr w:rsidR="003C25FB">
        <w:trPr>
          <w:trHeight w:val="405"/>
        </w:trPr>
        <w:tc>
          <w:tcPr>
            <w:tcW w:w="12420" w:type="dxa"/>
            <w:gridSpan w:val="7"/>
            <w:tcBorders>
              <w:top w:val="nil"/>
              <w:left w:val="nil"/>
              <w:bottom w:val="nil"/>
              <w:right w:val="nil"/>
            </w:tcBorders>
            <w:shd w:val="clear" w:color="auto" w:fill="auto"/>
            <w:vAlign w:val="center"/>
          </w:tcPr>
          <w:p w:rsidR="003C25FB" w:rsidRDefault="00F21A6D">
            <w:pPr>
              <w:widowControl/>
              <w:jc w:val="center"/>
              <w:rPr>
                <w:rFonts w:ascii="宋体" w:hAnsi="宋体" w:cs="宋体"/>
                <w:b/>
                <w:bCs/>
                <w:kern w:val="0"/>
                <w:sz w:val="32"/>
                <w:szCs w:val="32"/>
              </w:rPr>
            </w:pPr>
            <w:r>
              <w:rPr>
                <w:rFonts w:ascii="宋体" w:hAnsi="宋体" w:cs="宋体" w:hint="eastAsia"/>
                <w:b/>
                <w:bCs/>
                <w:kern w:val="0"/>
                <w:sz w:val="32"/>
                <w:szCs w:val="32"/>
              </w:rPr>
              <w:t>项目支出绩效目标自评表</w:t>
            </w:r>
          </w:p>
        </w:tc>
      </w:tr>
      <w:tr w:rsidR="003C25FB">
        <w:trPr>
          <w:trHeight w:val="285"/>
        </w:trPr>
        <w:tc>
          <w:tcPr>
            <w:tcW w:w="12420" w:type="dxa"/>
            <w:gridSpan w:val="7"/>
            <w:tcBorders>
              <w:top w:val="nil"/>
              <w:left w:val="nil"/>
              <w:bottom w:val="nil"/>
              <w:right w:val="nil"/>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w:t>
            </w:r>
            <w:r>
              <w:rPr>
                <w:kern w:val="0"/>
                <w:sz w:val="24"/>
              </w:rPr>
              <w:t xml:space="preserve">        2020  </w:t>
            </w:r>
            <w:r>
              <w:rPr>
                <w:rFonts w:ascii="宋体" w:hAnsi="宋体" w:cs="宋体" w:hint="eastAsia"/>
                <w:kern w:val="0"/>
                <w:sz w:val="24"/>
              </w:rPr>
              <w:t>年度）</w:t>
            </w:r>
          </w:p>
        </w:tc>
      </w:tr>
      <w:tr w:rsidR="003C25FB">
        <w:trPr>
          <w:trHeight w:val="285"/>
        </w:trPr>
        <w:tc>
          <w:tcPr>
            <w:tcW w:w="2814" w:type="dxa"/>
            <w:tcBorders>
              <w:top w:val="nil"/>
              <w:left w:val="nil"/>
              <w:bottom w:val="nil"/>
              <w:right w:val="nil"/>
            </w:tcBorders>
            <w:shd w:val="clear" w:color="auto" w:fill="auto"/>
            <w:vAlign w:val="center"/>
          </w:tcPr>
          <w:p w:rsidR="003C25FB" w:rsidRDefault="003C25FB">
            <w:pPr>
              <w:widowControl/>
              <w:jc w:val="center"/>
              <w:rPr>
                <w:rFonts w:ascii="宋体" w:hAnsi="宋体" w:cs="宋体"/>
                <w:kern w:val="0"/>
                <w:sz w:val="24"/>
              </w:rPr>
            </w:pPr>
          </w:p>
        </w:tc>
        <w:tc>
          <w:tcPr>
            <w:tcW w:w="1834" w:type="dxa"/>
            <w:tcBorders>
              <w:top w:val="nil"/>
              <w:left w:val="nil"/>
              <w:bottom w:val="nil"/>
              <w:right w:val="nil"/>
            </w:tcBorders>
            <w:shd w:val="clear" w:color="auto" w:fill="auto"/>
            <w:vAlign w:val="center"/>
          </w:tcPr>
          <w:p w:rsidR="003C25FB" w:rsidRDefault="003C25FB">
            <w:pPr>
              <w:widowControl/>
              <w:jc w:val="center"/>
              <w:rPr>
                <w:rFonts w:ascii="宋体" w:hAnsi="宋体" w:cs="宋体"/>
                <w:kern w:val="0"/>
                <w:sz w:val="24"/>
              </w:rPr>
            </w:pPr>
          </w:p>
        </w:tc>
        <w:tc>
          <w:tcPr>
            <w:tcW w:w="1426" w:type="dxa"/>
            <w:tcBorders>
              <w:top w:val="nil"/>
              <w:left w:val="nil"/>
              <w:bottom w:val="nil"/>
              <w:right w:val="nil"/>
            </w:tcBorders>
            <w:shd w:val="clear" w:color="auto" w:fill="auto"/>
            <w:vAlign w:val="center"/>
          </w:tcPr>
          <w:p w:rsidR="003C25FB" w:rsidRDefault="003C25FB">
            <w:pPr>
              <w:widowControl/>
              <w:jc w:val="center"/>
              <w:rPr>
                <w:rFonts w:ascii="宋体" w:hAnsi="宋体" w:cs="宋体"/>
                <w:kern w:val="0"/>
                <w:sz w:val="24"/>
              </w:rPr>
            </w:pPr>
          </w:p>
        </w:tc>
        <w:tc>
          <w:tcPr>
            <w:tcW w:w="884" w:type="dxa"/>
            <w:tcBorders>
              <w:top w:val="nil"/>
              <w:left w:val="nil"/>
              <w:bottom w:val="nil"/>
              <w:right w:val="nil"/>
            </w:tcBorders>
            <w:shd w:val="clear" w:color="auto" w:fill="auto"/>
            <w:vAlign w:val="center"/>
          </w:tcPr>
          <w:p w:rsidR="003C25FB" w:rsidRDefault="003C25FB">
            <w:pPr>
              <w:widowControl/>
              <w:jc w:val="center"/>
              <w:rPr>
                <w:rFonts w:ascii="宋体" w:hAnsi="宋体" w:cs="宋体"/>
                <w:kern w:val="0"/>
                <w:sz w:val="24"/>
              </w:rPr>
            </w:pPr>
          </w:p>
        </w:tc>
        <w:tc>
          <w:tcPr>
            <w:tcW w:w="830" w:type="dxa"/>
            <w:tcBorders>
              <w:top w:val="nil"/>
              <w:left w:val="nil"/>
              <w:bottom w:val="nil"/>
              <w:right w:val="nil"/>
            </w:tcBorders>
            <w:shd w:val="clear" w:color="auto" w:fill="auto"/>
            <w:vAlign w:val="center"/>
          </w:tcPr>
          <w:p w:rsidR="003C25FB" w:rsidRDefault="003C25FB">
            <w:pPr>
              <w:widowControl/>
              <w:jc w:val="center"/>
              <w:rPr>
                <w:rFonts w:ascii="宋体" w:hAnsi="宋体" w:cs="宋体"/>
                <w:kern w:val="0"/>
                <w:sz w:val="24"/>
              </w:rPr>
            </w:pPr>
          </w:p>
        </w:tc>
        <w:tc>
          <w:tcPr>
            <w:tcW w:w="2193" w:type="dxa"/>
            <w:tcBorders>
              <w:top w:val="nil"/>
              <w:left w:val="nil"/>
              <w:bottom w:val="nil"/>
              <w:right w:val="nil"/>
            </w:tcBorders>
            <w:shd w:val="clear" w:color="auto" w:fill="auto"/>
            <w:vAlign w:val="center"/>
          </w:tcPr>
          <w:p w:rsidR="003C25FB" w:rsidRDefault="003C25FB">
            <w:pPr>
              <w:widowControl/>
              <w:jc w:val="center"/>
              <w:rPr>
                <w:rFonts w:ascii="宋体" w:hAnsi="宋体" w:cs="宋体"/>
                <w:kern w:val="0"/>
                <w:sz w:val="24"/>
              </w:rPr>
            </w:pPr>
          </w:p>
        </w:tc>
        <w:tc>
          <w:tcPr>
            <w:tcW w:w="2439" w:type="dxa"/>
            <w:tcBorders>
              <w:top w:val="nil"/>
              <w:left w:val="nil"/>
              <w:bottom w:val="nil"/>
              <w:right w:val="nil"/>
            </w:tcBorders>
            <w:shd w:val="clear" w:color="auto" w:fill="auto"/>
            <w:vAlign w:val="center"/>
          </w:tcPr>
          <w:p w:rsidR="003C25FB" w:rsidRDefault="003C25FB">
            <w:pPr>
              <w:widowControl/>
              <w:jc w:val="center"/>
              <w:rPr>
                <w:rFonts w:ascii="宋体" w:hAnsi="宋体" w:cs="宋体"/>
                <w:kern w:val="0"/>
                <w:sz w:val="24"/>
              </w:rPr>
            </w:pPr>
          </w:p>
        </w:tc>
      </w:tr>
      <w:tr w:rsidR="003C25FB">
        <w:trPr>
          <w:trHeight w:val="270"/>
        </w:trPr>
        <w:tc>
          <w:tcPr>
            <w:tcW w:w="4648" w:type="dxa"/>
            <w:gridSpan w:val="2"/>
            <w:tcBorders>
              <w:top w:val="nil"/>
              <w:left w:val="nil"/>
              <w:bottom w:val="single" w:sz="4" w:space="0" w:color="auto"/>
              <w:right w:val="nil"/>
            </w:tcBorders>
            <w:shd w:val="clear" w:color="auto" w:fill="auto"/>
            <w:noWrap/>
            <w:vAlign w:val="center"/>
          </w:tcPr>
          <w:p w:rsidR="003C25FB" w:rsidRDefault="00DF4825">
            <w:pPr>
              <w:widowControl/>
              <w:jc w:val="left"/>
              <w:rPr>
                <w:rFonts w:ascii="宋体" w:hAnsi="宋体" w:cs="宋体"/>
                <w:kern w:val="0"/>
                <w:sz w:val="22"/>
                <w:szCs w:val="22"/>
              </w:rPr>
            </w:pPr>
            <w:r>
              <w:rPr>
                <w:rFonts w:ascii="宋体" w:hAnsi="宋体" w:cs="宋体" w:hint="eastAsia"/>
                <w:kern w:val="0"/>
                <w:sz w:val="22"/>
                <w:szCs w:val="22"/>
              </w:rPr>
              <w:t>注：项目支出包括部门预算支出和专项预算</w:t>
            </w:r>
            <w:r w:rsidR="00F21A6D">
              <w:rPr>
                <w:rFonts w:ascii="宋体" w:hAnsi="宋体" w:cs="宋体" w:hint="eastAsia"/>
                <w:kern w:val="0"/>
                <w:sz w:val="22"/>
                <w:szCs w:val="22"/>
              </w:rPr>
              <w:t>出</w:t>
            </w:r>
          </w:p>
        </w:tc>
        <w:tc>
          <w:tcPr>
            <w:tcW w:w="1426"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2"/>
                <w:szCs w:val="22"/>
              </w:rPr>
            </w:pPr>
          </w:p>
        </w:tc>
        <w:tc>
          <w:tcPr>
            <w:tcW w:w="884"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2"/>
                <w:szCs w:val="22"/>
              </w:rPr>
            </w:pPr>
          </w:p>
        </w:tc>
        <w:tc>
          <w:tcPr>
            <w:tcW w:w="830"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2"/>
                <w:szCs w:val="22"/>
              </w:rPr>
            </w:pPr>
          </w:p>
        </w:tc>
        <w:tc>
          <w:tcPr>
            <w:tcW w:w="2193"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2"/>
                <w:szCs w:val="22"/>
              </w:rPr>
            </w:pPr>
          </w:p>
        </w:tc>
        <w:tc>
          <w:tcPr>
            <w:tcW w:w="2439" w:type="dxa"/>
            <w:tcBorders>
              <w:top w:val="nil"/>
              <w:left w:val="nil"/>
              <w:bottom w:val="nil"/>
              <w:right w:val="nil"/>
            </w:tcBorders>
            <w:shd w:val="clear" w:color="auto" w:fill="auto"/>
            <w:noWrap/>
            <w:vAlign w:val="center"/>
          </w:tcPr>
          <w:p w:rsidR="003C25FB" w:rsidRDefault="003C25FB">
            <w:pPr>
              <w:widowControl/>
              <w:jc w:val="right"/>
              <w:rPr>
                <w:rFonts w:ascii="宋体" w:hAnsi="宋体" w:cs="宋体"/>
                <w:kern w:val="0"/>
                <w:sz w:val="22"/>
                <w:szCs w:val="22"/>
              </w:rPr>
            </w:pPr>
          </w:p>
        </w:tc>
      </w:tr>
      <w:tr w:rsidR="003C25FB">
        <w:trPr>
          <w:trHeight w:val="285"/>
        </w:trPr>
        <w:tc>
          <w:tcPr>
            <w:tcW w:w="6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项目名称</w:t>
            </w:r>
          </w:p>
        </w:tc>
        <w:tc>
          <w:tcPr>
            <w:tcW w:w="6346" w:type="dxa"/>
            <w:gridSpan w:val="4"/>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 xml:space="preserve">  聘用人员费用、地籍中心测绘工作经费、自然资源土地勘界、宗地入库、日常地籍维护更新费</w:t>
            </w:r>
          </w:p>
        </w:tc>
      </w:tr>
      <w:tr w:rsidR="003C25FB">
        <w:trPr>
          <w:trHeight w:val="285"/>
        </w:trPr>
        <w:tc>
          <w:tcPr>
            <w:tcW w:w="6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预算单位</w:t>
            </w:r>
          </w:p>
        </w:tc>
        <w:tc>
          <w:tcPr>
            <w:tcW w:w="6346" w:type="dxa"/>
            <w:gridSpan w:val="4"/>
            <w:tcBorders>
              <w:top w:val="single" w:sz="4" w:space="0" w:color="auto"/>
              <w:left w:val="nil"/>
              <w:bottom w:val="single" w:sz="4" w:space="0" w:color="auto"/>
              <w:right w:val="single" w:sz="4" w:space="0" w:color="000000"/>
            </w:tcBorders>
            <w:shd w:val="clear" w:color="auto" w:fill="auto"/>
            <w:vAlign w:val="center"/>
          </w:tcPr>
          <w:p w:rsidR="003C25FB" w:rsidRDefault="00F21A6D">
            <w:pPr>
              <w:widowControl/>
              <w:jc w:val="center"/>
              <w:rPr>
                <w:rFonts w:ascii="宋体" w:hAnsi="宋体" w:cs="宋体"/>
                <w:kern w:val="0"/>
                <w:sz w:val="22"/>
                <w:szCs w:val="22"/>
              </w:rPr>
            </w:pPr>
            <w:r>
              <w:rPr>
                <w:rFonts w:ascii="宋体" w:hAnsi="宋体" w:cs="宋体" w:hint="eastAsia"/>
                <w:kern w:val="0"/>
                <w:sz w:val="22"/>
                <w:szCs w:val="22"/>
              </w:rPr>
              <w:t>广元市地籍地政事务中心</w:t>
            </w:r>
          </w:p>
        </w:tc>
      </w:tr>
      <w:tr w:rsidR="003C25FB">
        <w:trPr>
          <w:trHeight w:val="285"/>
        </w:trPr>
        <w:tc>
          <w:tcPr>
            <w:tcW w:w="2814" w:type="dxa"/>
            <w:vMerge w:val="restart"/>
            <w:tcBorders>
              <w:top w:val="nil"/>
              <w:left w:val="single" w:sz="4" w:space="0" w:color="auto"/>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预算</w:t>
            </w:r>
            <w:r>
              <w:rPr>
                <w:rFonts w:ascii="宋体" w:hAnsi="宋体" w:cs="宋体" w:hint="eastAsia"/>
                <w:kern w:val="0"/>
                <w:sz w:val="24"/>
              </w:rPr>
              <w:br/>
              <w:t>执行</w:t>
            </w:r>
            <w:r>
              <w:rPr>
                <w:rFonts w:ascii="宋体" w:hAnsi="宋体" w:cs="宋体" w:hint="eastAsia"/>
                <w:kern w:val="0"/>
                <w:sz w:val="24"/>
              </w:rPr>
              <w:br/>
              <w:t>情况</w:t>
            </w:r>
            <w:r>
              <w:rPr>
                <w:rFonts w:ascii="宋体" w:hAnsi="宋体" w:cs="宋体" w:hint="eastAsia"/>
                <w:kern w:val="0"/>
                <w:sz w:val="24"/>
              </w:rPr>
              <w:br/>
            </w:r>
            <w:r>
              <w:rPr>
                <w:rFonts w:ascii="宋体" w:hAnsi="宋体" w:cs="宋体" w:hint="eastAsia"/>
                <w:kern w:val="0"/>
                <w:sz w:val="16"/>
                <w:szCs w:val="16"/>
              </w:rPr>
              <w:t>（万元）</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预算数：</w:t>
            </w:r>
          </w:p>
        </w:tc>
        <w:tc>
          <w:tcPr>
            <w:tcW w:w="1714" w:type="dxa"/>
            <w:gridSpan w:val="2"/>
            <w:tcBorders>
              <w:top w:val="single" w:sz="4" w:space="0" w:color="auto"/>
              <w:left w:val="nil"/>
              <w:bottom w:val="single" w:sz="4" w:space="0" w:color="auto"/>
              <w:right w:val="single" w:sz="4" w:space="0" w:color="000000"/>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209.43万元</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rsidP="003F2ABB">
            <w:pPr>
              <w:widowControl/>
              <w:jc w:val="left"/>
              <w:rPr>
                <w:rFonts w:ascii="宋体" w:hAnsi="宋体" w:cs="宋体"/>
                <w:kern w:val="0"/>
                <w:sz w:val="24"/>
              </w:rPr>
            </w:pPr>
            <w:r>
              <w:rPr>
                <w:rFonts w:ascii="宋体" w:hAnsi="宋体" w:cs="宋体" w:hint="eastAsia"/>
                <w:kern w:val="0"/>
                <w:sz w:val="24"/>
              </w:rPr>
              <w:t xml:space="preserve"> 执行数：</w:t>
            </w:r>
            <w:r w:rsidR="00915D16">
              <w:rPr>
                <w:rFonts w:ascii="宋体" w:hAnsi="宋体" w:cs="宋体"/>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915D16" w:rsidP="003F2ABB">
            <w:pPr>
              <w:widowControl/>
              <w:jc w:val="left"/>
              <w:rPr>
                <w:rFonts w:ascii="宋体" w:hAnsi="宋体" w:cs="宋体"/>
                <w:kern w:val="0"/>
                <w:sz w:val="24"/>
              </w:rPr>
            </w:pPr>
            <w:r>
              <w:rPr>
                <w:rFonts w:ascii="宋体" w:hAnsi="宋体" w:cs="宋体" w:hint="eastAsia"/>
                <w:kern w:val="0"/>
                <w:sz w:val="24"/>
              </w:rPr>
              <w:t>209.43万元</w:t>
            </w:r>
            <w:r w:rsidR="00F21A6D">
              <w:rPr>
                <w:rFonts w:ascii="宋体" w:hAnsi="宋体" w:cs="宋体" w:hint="eastAsia"/>
                <w:kern w:val="0"/>
                <w:sz w:val="24"/>
              </w:rPr>
              <w:t xml:space="preserve">　</w:t>
            </w:r>
          </w:p>
        </w:tc>
      </w:tr>
      <w:tr w:rsidR="003C25FB">
        <w:trPr>
          <w:trHeight w:val="780"/>
        </w:trPr>
        <w:tc>
          <w:tcPr>
            <w:tcW w:w="281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right"/>
              <w:rPr>
                <w:rFonts w:ascii="宋体" w:hAnsi="宋体" w:cs="宋体"/>
                <w:kern w:val="0"/>
                <w:sz w:val="22"/>
                <w:szCs w:val="22"/>
              </w:rPr>
            </w:pPr>
            <w:r>
              <w:rPr>
                <w:rFonts w:ascii="宋体" w:hAnsi="宋体" w:cs="宋体" w:hint="eastAsia"/>
                <w:kern w:val="0"/>
                <w:sz w:val="22"/>
                <w:szCs w:val="22"/>
              </w:rPr>
              <w:t>其中：财政拨款</w:t>
            </w:r>
          </w:p>
        </w:tc>
        <w:tc>
          <w:tcPr>
            <w:tcW w:w="1714" w:type="dxa"/>
            <w:gridSpan w:val="2"/>
            <w:tcBorders>
              <w:top w:val="single" w:sz="4" w:space="0" w:color="auto"/>
              <w:left w:val="nil"/>
              <w:bottom w:val="single" w:sz="4" w:space="0" w:color="auto"/>
              <w:right w:val="single" w:sz="4" w:space="0" w:color="000000"/>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209.43万元</w:t>
            </w:r>
          </w:p>
        </w:tc>
        <w:tc>
          <w:tcPr>
            <w:tcW w:w="2193" w:type="dxa"/>
            <w:tcBorders>
              <w:top w:val="nil"/>
              <w:left w:val="nil"/>
              <w:bottom w:val="nil"/>
              <w:right w:val="single" w:sz="4" w:space="0" w:color="auto"/>
            </w:tcBorders>
            <w:shd w:val="clear" w:color="auto" w:fill="auto"/>
            <w:vAlign w:val="center"/>
          </w:tcPr>
          <w:p w:rsidR="003C25FB" w:rsidRDefault="00F21A6D">
            <w:pPr>
              <w:widowControl/>
              <w:jc w:val="right"/>
              <w:rPr>
                <w:rFonts w:ascii="宋体" w:hAnsi="宋体" w:cs="宋体"/>
                <w:kern w:val="0"/>
                <w:sz w:val="22"/>
                <w:szCs w:val="22"/>
              </w:rPr>
            </w:pPr>
            <w:r>
              <w:rPr>
                <w:rFonts w:ascii="宋体" w:hAnsi="宋体" w:cs="宋体" w:hint="eastAsia"/>
                <w:kern w:val="0"/>
                <w:sz w:val="22"/>
                <w:szCs w:val="22"/>
              </w:rPr>
              <w:t>其中：财政拨款</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209.43万元</w:t>
            </w:r>
          </w:p>
        </w:tc>
      </w:tr>
      <w:tr w:rsidR="003C25FB">
        <w:trPr>
          <w:trHeight w:val="780"/>
        </w:trPr>
        <w:tc>
          <w:tcPr>
            <w:tcW w:w="281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right"/>
              <w:rPr>
                <w:rFonts w:ascii="宋体" w:hAnsi="宋体" w:cs="宋体"/>
                <w:kern w:val="0"/>
                <w:sz w:val="22"/>
                <w:szCs w:val="22"/>
              </w:rPr>
            </w:pPr>
            <w:r>
              <w:rPr>
                <w:rFonts w:ascii="宋体" w:hAnsi="宋体" w:cs="宋体" w:hint="eastAsia"/>
                <w:kern w:val="0"/>
                <w:sz w:val="22"/>
                <w:szCs w:val="22"/>
              </w:rPr>
              <w:t>其他资金</w:t>
            </w:r>
          </w:p>
        </w:tc>
        <w:tc>
          <w:tcPr>
            <w:tcW w:w="1714" w:type="dxa"/>
            <w:gridSpan w:val="2"/>
            <w:tcBorders>
              <w:top w:val="single" w:sz="4" w:space="0" w:color="auto"/>
              <w:left w:val="nil"/>
              <w:bottom w:val="single" w:sz="4" w:space="0" w:color="auto"/>
              <w:right w:val="single" w:sz="4" w:space="0" w:color="000000"/>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 xml:space="preserve">　</w:t>
            </w:r>
          </w:p>
        </w:tc>
        <w:tc>
          <w:tcPr>
            <w:tcW w:w="2193" w:type="dxa"/>
            <w:tcBorders>
              <w:top w:val="single" w:sz="4" w:space="0" w:color="auto"/>
              <w:left w:val="nil"/>
              <w:bottom w:val="nil"/>
              <w:right w:val="single" w:sz="4" w:space="0" w:color="auto"/>
            </w:tcBorders>
            <w:shd w:val="clear" w:color="auto" w:fill="auto"/>
            <w:vAlign w:val="center"/>
          </w:tcPr>
          <w:p w:rsidR="003C25FB" w:rsidRDefault="00F21A6D">
            <w:pPr>
              <w:widowControl/>
              <w:jc w:val="right"/>
              <w:rPr>
                <w:rFonts w:ascii="宋体" w:hAnsi="宋体" w:cs="宋体"/>
                <w:kern w:val="0"/>
                <w:sz w:val="22"/>
                <w:szCs w:val="22"/>
              </w:rPr>
            </w:pPr>
            <w:r>
              <w:rPr>
                <w:rFonts w:ascii="宋体" w:hAnsi="宋体" w:cs="宋体" w:hint="eastAsia"/>
                <w:kern w:val="0"/>
                <w:sz w:val="22"/>
                <w:szCs w:val="22"/>
              </w:rPr>
              <w:t>其他资金</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right"/>
              <w:rPr>
                <w:rFonts w:ascii="宋体" w:hAnsi="宋体" w:cs="宋体"/>
                <w:kern w:val="0"/>
                <w:sz w:val="24"/>
              </w:rPr>
            </w:pPr>
            <w:r>
              <w:rPr>
                <w:rFonts w:ascii="宋体" w:hAnsi="宋体" w:cs="宋体" w:hint="eastAsia"/>
                <w:kern w:val="0"/>
                <w:sz w:val="24"/>
              </w:rPr>
              <w:t xml:space="preserve">　</w:t>
            </w:r>
          </w:p>
        </w:tc>
      </w:tr>
      <w:tr w:rsidR="003C25FB">
        <w:trPr>
          <w:trHeight w:val="795"/>
        </w:trPr>
        <w:tc>
          <w:tcPr>
            <w:tcW w:w="2814" w:type="dxa"/>
            <w:vMerge w:val="restart"/>
            <w:tcBorders>
              <w:top w:val="nil"/>
              <w:left w:val="single" w:sz="4" w:space="0" w:color="auto"/>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年度</w:t>
            </w:r>
            <w:r>
              <w:rPr>
                <w:rFonts w:ascii="宋体" w:hAnsi="宋体" w:cs="宋体" w:hint="eastAsia"/>
                <w:kern w:val="0"/>
                <w:sz w:val="24"/>
              </w:rPr>
              <w:br/>
              <w:t>目标</w:t>
            </w:r>
            <w:r>
              <w:rPr>
                <w:rFonts w:ascii="宋体" w:hAnsi="宋体" w:cs="宋体" w:hint="eastAsia"/>
                <w:kern w:val="0"/>
                <w:sz w:val="24"/>
              </w:rPr>
              <w:br/>
              <w:t>完成</w:t>
            </w:r>
            <w:r>
              <w:rPr>
                <w:rFonts w:ascii="宋体" w:hAnsi="宋体" w:cs="宋体" w:hint="eastAsia"/>
                <w:kern w:val="0"/>
                <w:sz w:val="24"/>
              </w:rPr>
              <w:br/>
              <w:t>情况</w:t>
            </w:r>
          </w:p>
        </w:tc>
        <w:tc>
          <w:tcPr>
            <w:tcW w:w="4974" w:type="dxa"/>
            <w:gridSpan w:val="4"/>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预期目标</w:t>
            </w:r>
          </w:p>
        </w:tc>
        <w:tc>
          <w:tcPr>
            <w:tcW w:w="4632"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实际完成目标</w:t>
            </w:r>
          </w:p>
        </w:tc>
      </w:tr>
      <w:tr w:rsidR="003C25FB">
        <w:trPr>
          <w:trHeight w:val="1425"/>
        </w:trPr>
        <w:tc>
          <w:tcPr>
            <w:tcW w:w="281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4974" w:type="dxa"/>
            <w:gridSpan w:val="4"/>
            <w:tcBorders>
              <w:top w:val="single" w:sz="4" w:space="0" w:color="auto"/>
              <w:left w:val="nil"/>
              <w:bottom w:val="single" w:sz="4" w:space="0" w:color="auto"/>
              <w:right w:val="single" w:sz="4" w:space="0" w:color="000000"/>
            </w:tcBorders>
            <w:shd w:val="clear" w:color="auto" w:fill="auto"/>
          </w:tcPr>
          <w:p w:rsidR="003C25FB" w:rsidRDefault="00F21A6D">
            <w:pPr>
              <w:widowControl/>
              <w:jc w:val="left"/>
              <w:rPr>
                <w:rFonts w:ascii="宋体" w:hAnsi="宋体" w:cs="宋体"/>
                <w:kern w:val="0"/>
                <w:sz w:val="24"/>
              </w:rPr>
            </w:pPr>
            <w:r>
              <w:rPr>
                <w:rFonts w:ascii="宋体" w:hAnsi="宋体" w:cs="宋体" w:hint="eastAsia"/>
                <w:kern w:val="0"/>
                <w:sz w:val="24"/>
              </w:rPr>
              <w:t>2020年地籍中心预计完成600万元非税收入，涉及地籍所工作经费25万元，聘用人员费用约80万元，土地勘测定界、宗地入库、日常地籍维护更新费约104.43万元，共计209.43万元。</w:t>
            </w:r>
          </w:p>
        </w:tc>
        <w:tc>
          <w:tcPr>
            <w:tcW w:w="4632" w:type="dxa"/>
            <w:gridSpan w:val="2"/>
            <w:tcBorders>
              <w:top w:val="single" w:sz="4" w:space="0" w:color="auto"/>
              <w:left w:val="nil"/>
              <w:bottom w:val="single" w:sz="4" w:space="0" w:color="auto"/>
              <w:right w:val="single" w:sz="4" w:space="0" w:color="000000"/>
            </w:tcBorders>
            <w:shd w:val="clear" w:color="auto" w:fill="auto"/>
          </w:tcPr>
          <w:p w:rsidR="003C25FB" w:rsidRDefault="00F21A6D">
            <w:pPr>
              <w:widowControl/>
              <w:jc w:val="left"/>
              <w:rPr>
                <w:rFonts w:ascii="宋体" w:hAnsi="宋体" w:cs="宋体"/>
                <w:kern w:val="0"/>
                <w:sz w:val="24"/>
              </w:rPr>
            </w:pPr>
            <w:r>
              <w:rPr>
                <w:rFonts w:ascii="宋体" w:hAnsi="宋体" w:cs="宋体" w:hint="eastAsia"/>
                <w:kern w:val="0"/>
                <w:sz w:val="24"/>
              </w:rPr>
              <w:t>2020年地籍中心预计完成600万元非税收入，涉及地籍所工作经费25万元，聘用人员费用约80万元，土地勘测定界、宗地入库、日常地籍维护更新费约104.43万元，共计209.43万元。</w:t>
            </w:r>
          </w:p>
        </w:tc>
      </w:tr>
      <w:tr w:rsidR="003C25FB">
        <w:trPr>
          <w:trHeight w:val="570"/>
        </w:trPr>
        <w:tc>
          <w:tcPr>
            <w:tcW w:w="2814"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年度</w:t>
            </w:r>
            <w:r>
              <w:rPr>
                <w:rFonts w:ascii="宋体" w:hAnsi="宋体" w:cs="宋体" w:hint="eastAsia"/>
                <w:kern w:val="0"/>
                <w:sz w:val="24"/>
              </w:rPr>
              <w:br/>
              <w:t>绩效</w:t>
            </w:r>
            <w:r>
              <w:rPr>
                <w:rFonts w:ascii="宋体" w:hAnsi="宋体" w:cs="宋体" w:hint="eastAsia"/>
                <w:kern w:val="0"/>
                <w:sz w:val="24"/>
              </w:rPr>
              <w:br/>
            </w:r>
            <w:r>
              <w:rPr>
                <w:rFonts w:ascii="宋体" w:hAnsi="宋体" w:cs="宋体" w:hint="eastAsia"/>
                <w:kern w:val="0"/>
                <w:sz w:val="24"/>
              </w:rPr>
              <w:lastRenderedPageBreak/>
              <w:t>指标</w:t>
            </w:r>
            <w:r>
              <w:rPr>
                <w:rFonts w:ascii="宋体" w:hAnsi="宋体" w:cs="宋体" w:hint="eastAsia"/>
                <w:kern w:val="0"/>
                <w:sz w:val="24"/>
              </w:rPr>
              <w:br/>
              <w:t>完成</w:t>
            </w:r>
            <w:r>
              <w:rPr>
                <w:rFonts w:ascii="宋体" w:hAnsi="宋体" w:cs="宋体" w:hint="eastAsia"/>
                <w:kern w:val="0"/>
                <w:sz w:val="24"/>
              </w:rPr>
              <w:br/>
              <w:t>情况</w:t>
            </w:r>
          </w:p>
        </w:tc>
        <w:tc>
          <w:tcPr>
            <w:tcW w:w="1834" w:type="dxa"/>
            <w:tcBorders>
              <w:top w:val="nil"/>
              <w:left w:val="nil"/>
              <w:bottom w:val="nil"/>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lastRenderedPageBreak/>
              <w:t>一级指标</w:t>
            </w:r>
          </w:p>
        </w:tc>
        <w:tc>
          <w:tcPr>
            <w:tcW w:w="1426"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二级指标</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三级指标</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预期指标值（包含数字及文字描述）</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实际完成指标值（包含数字及文字描述）</w:t>
            </w:r>
          </w:p>
        </w:tc>
      </w:tr>
      <w:tr w:rsidR="003C25FB">
        <w:trPr>
          <w:trHeight w:val="1515"/>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项目完成指标</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数量指标</w:t>
            </w:r>
          </w:p>
        </w:tc>
        <w:tc>
          <w:tcPr>
            <w:tcW w:w="1714" w:type="dxa"/>
            <w:gridSpan w:val="2"/>
            <w:tcBorders>
              <w:top w:val="single" w:sz="4" w:space="0" w:color="auto"/>
              <w:left w:val="nil"/>
              <w:bottom w:val="single" w:sz="4" w:space="0" w:color="auto"/>
              <w:right w:val="single" w:sz="4" w:space="0" w:color="000000"/>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聘用人员费用</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聘用人员13名，全年工资、绩效、差旅68.82万元，应缴五项保险10.4万元，工会经费0.78万元，共计80万元。</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聘用人员13名，全年工资、绩效、差旅68.82万元，应缴五项保险10.4万元，工会经费0.78万元，共计80万元。</w:t>
            </w:r>
          </w:p>
        </w:tc>
      </w:tr>
      <w:tr w:rsidR="003C25FB">
        <w:trPr>
          <w:trHeight w:val="1305"/>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000000"/>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地籍所工作经费、土地勘测定界、宗地入库、日常地籍维护更新费</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市城区范围内宗地测量、地籍调查、宗地入库；全市辖区内新增建设用地的报批及项目征地补偿的勘测定界工作；土地测绘航拍，办理土地登记的事务性工作；协助处理土地权属纠纷、违法用地等。对外主要按甲、乙双方关系，承接全省范围内土地勘测定界、地籍测量、土地分户测量等业务工作。</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市城区范围内宗地测量、地籍调查、宗地入库；全市辖区内新增建设用地的报批及项目征地补偿的勘测定界工作；土地测绘航拍，办理土地登记的事务性工作；协助处理土地权属纠纷、违法用地等。对外主要按甲、乙双方关系，承接全省范围内土地勘测定界、地籍测量、土地分户测量等业务工作。</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质量指标</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国家标准</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执行国家标准</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执行国家标准</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时效指标</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完成时间</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2020年12月31日前</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2020年12月31日前</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成本指标</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聘用人员费用</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聘用人员13名，全年工资、绩效、差旅68.82万元，应缴五项保险10.4万元，工会经费0.78万元，共计80万元。</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聘用人员13名，全年工资、绩效、差旅68.82万元，应缴五项保险10.4万元，工会经费0.78万元，共计80万元。</w:t>
            </w:r>
          </w:p>
        </w:tc>
      </w:tr>
      <w:tr w:rsidR="003C25FB">
        <w:trPr>
          <w:trHeight w:val="1635"/>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地籍所工作经费、土地勘测定界、宗地入库、日常地籍维护更新费</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市城区范围内宗地测量、地籍调查、宗地入库；全市辖区内新增建设用地的报批及项目征地补偿的勘测定界工作；土地测绘航拍，办理土地登记的事务性工作；协助处理土地权属纠纷、违法用地等。对外主要按甲、乙双方</w:t>
            </w:r>
            <w:r>
              <w:rPr>
                <w:rFonts w:ascii="宋体" w:hAnsi="宋体" w:cs="宋体" w:hint="eastAsia"/>
                <w:kern w:val="0"/>
                <w:sz w:val="24"/>
              </w:rPr>
              <w:lastRenderedPageBreak/>
              <w:t>关系，承接全省范围内土地勘测定界、地籍测量、土地分户测量等业务工作。土地勘测定界、宗地入库、日常地籍维护更新费约129.43万元。</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lastRenderedPageBreak/>
              <w:t>市城区范围内宗地测量、地籍调查、宗地入库；全市辖区内新增建设用地的报批及项目征地补偿的勘测定界工作；土地测绘航拍，办理土地登记的事务性工作；协助处理土地权属纠纷、违法用地等。对外主要按甲、乙双方关系，承接全省范围内土地</w:t>
            </w:r>
            <w:r>
              <w:rPr>
                <w:rFonts w:ascii="宋体" w:hAnsi="宋体" w:cs="宋体" w:hint="eastAsia"/>
                <w:kern w:val="0"/>
                <w:sz w:val="24"/>
              </w:rPr>
              <w:lastRenderedPageBreak/>
              <w:t>勘测定界、地籍测量、土地分户测量等业务工作。土地勘测定界、宗地入库、日常地籍维护更新费约129.43万元。</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375"/>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single" w:sz="4" w:space="0" w:color="auto"/>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 xml:space="preserve">　</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117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val="restart"/>
            <w:tcBorders>
              <w:top w:val="nil"/>
              <w:left w:val="single" w:sz="4" w:space="0" w:color="auto"/>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项目效果指标</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经济效益</w:t>
            </w:r>
            <w:r>
              <w:rPr>
                <w:rFonts w:ascii="宋体" w:hAnsi="宋体" w:cs="宋体" w:hint="eastAsia"/>
                <w:kern w:val="0"/>
                <w:sz w:val="24"/>
              </w:rPr>
              <w:br/>
              <w:t>指标</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硬件设施建设</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加快广元测绘市场发展，为广元重点项目落户勘测打下坚实基础，增加非税收入。</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实现非税收入600余万元</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社会效益</w:t>
            </w:r>
            <w:r>
              <w:rPr>
                <w:rFonts w:ascii="宋体" w:hAnsi="宋体" w:cs="宋体" w:hint="eastAsia"/>
                <w:kern w:val="0"/>
                <w:sz w:val="24"/>
              </w:rPr>
              <w:br/>
              <w:t>指标</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指标1：</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指标2：</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生态效益</w:t>
            </w:r>
            <w:r>
              <w:rPr>
                <w:rFonts w:ascii="宋体" w:hAnsi="宋体" w:cs="宋体" w:hint="eastAsia"/>
                <w:kern w:val="0"/>
                <w:sz w:val="24"/>
              </w:rPr>
              <w:br/>
              <w:t>指标</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指标1：</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指标2：</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可持续影响</w:t>
            </w:r>
            <w:r>
              <w:rPr>
                <w:rFonts w:ascii="宋体" w:hAnsi="宋体" w:cs="宋体" w:hint="eastAsia"/>
                <w:kern w:val="0"/>
                <w:sz w:val="24"/>
              </w:rPr>
              <w:br/>
              <w:t>指标</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指标1：</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指标2：</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auto"/>
              <w:right w:val="single" w:sz="4" w:space="0" w:color="auto"/>
            </w:tcBorders>
            <w:vAlign w:val="center"/>
          </w:tcPr>
          <w:p w:rsidR="003C25FB" w:rsidRDefault="003C25FB">
            <w:pPr>
              <w:widowControl/>
              <w:jc w:val="left"/>
              <w:rPr>
                <w:rFonts w:ascii="宋体" w:hAnsi="宋体" w:cs="宋体"/>
                <w:kern w:val="0"/>
                <w:sz w:val="24"/>
              </w:rPr>
            </w:pPr>
          </w:p>
        </w:tc>
        <w:tc>
          <w:tcPr>
            <w:tcW w:w="1426"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 xml:space="preserve">　</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满意度</w:t>
            </w:r>
            <w:r>
              <w:rPr>
                <w:rFonts w:ascii="宋体" w:hAnsi="宋体" w:cs="宋体" w:hint="eastAsia"/>
                <w:kern w:val="0"/>
                <w:sz w:val="24"/>
              </w:rPr>
              <w:br/>
              <w:t>指标</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满意度指标</w:t>
            </w:r>
          </w:p>
        </w:tc>
        <w:tc>
          <w:tcPr>
            <w:tcW w:w="1714" w:type="dxa"/>
            <w:gridSpan w:val="2"/>
            <w:tcBorders>
              <w:top w:val="single" w:sz="4" w:space="0" w:color="auto"/>
              <w:left w:val="nil"/>
              <w:bottom w:val="single" w:sz="4" w:space="0" w:color="auto"/>
              <w:right w:val="single" w:sz="4" w:space="0" w:color="000000"/>
            </w:tcBorders>
            <w:shd w:val="clear" w:color="auto" w:fill="auto"/>
            <w:vAlign w:val="center"/>
          </w:tcPr>
          <w:p w:rsidR="003C25FB" w:rsidRDefault="00F21A6D">
            <w:pPr>
              <w:widowControl/>
              <w:jc w:val="left"/>
              <w:rPr>
                <w:rFonts w:ascii="宋体" w:hAnsi="宋体" w:cs="宋体"/>
                <w:kern w:val="0"/>
                <w:sz w:val="22"/>
                <w:szCs w:val="22"/>
              </w:rPr>
            </w:pPr>
            <w:r>
              <w:rPr>
                <w:rFonts w:ascii="宋体" w:hAnsi="宋体" w:cs="宋体" w:hint="eastAsia"/>
                <w:kern w:val="0"/>
                <w:sz w:val="22"/>
                <w:szCs w:val="22"/>
              </w:rPr>
              <w:t>人民群众</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≥95%</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单位考核优秀</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000000"/>
            </w:tcBorders>
            <w:shd w:val="clear" w:color="auto" w:fill="auto"/>
            <w:vAlign w:val="center"/>
          </w:tcPr>
          <w:p w:rsidR="003C25FB" w:rsidRDefault="00F21A6D">
            <w:pPr>
              <w:widowControl/>
              <w:jc w:val="left"/>
              <w:rPr>
                <w:rFonts w:ascii="宋体" w:hAnsi="宋体" w:cs="宋体"/>
                <w:kern w:val="0"/>
                <w:sz w:val="22"/>
                <w:szCs w:val="22"/>
              </w:rPr>
            </w:pPr>
            <w:r>
              <w:rPr>
                <w:rFonts w:ascii="宋体" w:hAnsi="宋体" w:cs="宋体" w:hint="eastAsia"/>
                <w:kern w:val="0"/>
                <w:sz w:val="22"/>
                <w:szCs w:val="22"/>
              </w:rPr>
              <w:t>政府和企事业团体</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≥95%</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单位考核优秀</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426"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480"/>
        </w:trPr>
        <w:tc>
          <w:tcPr>
            <w:tcW w:w="281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834" w:type="dxa"/>
            <w:vMerge/>
            <w:tcBorders>
              <w:top w:val="nil"/>
              <w:left w:val="single" w:sz="4" w:space="0" w:color="auto"/>
              <w:bottom w:val="single" w:sz="4" w:space="0" w:color="000000"/>
              <w:right w:val="single" w:sz="4" w:space="0" w:color="auto"/>
            </w:tcBorders>
            <w:vAlign w:val="center"/>
          </w:tcPr>
          <w:p w:rsidR="003C25FB" w:rsidRDefault="003C25FB">
            <w:pPr>
              <w:widowControl/>
              <w:jc w:val="left"/>
              <w:rPr>
                <w:rFonts w:ascii="宋体" w:hAnsi="宋体" w:cs="宋体"/>
                <w:kern w:val="0"/>
                <w:sz w:val="24"/>
              </w:rPr>
            </w:pPr>
          </w:p>
        </w:tc>
        <w:tc>
          <w:tcPr>
            <w:tcW w:w="1426"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 xml:space="preserve">　</w:t>
            </w:r>
          </w:p>
        </w:tc>
        <w:tc>
          <w:tcPr>
            <w:tcW w:w="1714" w:type="dxa"/>
            <w:gridSpan w:val="2"/>
            <w:tcBorders>
              <w:top w:val="single" w:sz="4" w:space="0" w:color="auto"/>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c>
          <w:tcPr>
            <w:tcW w:w="2193" w:type="dxa"/>
            <w:tcBorders>
              <w:top w:val="nil"/>
              <w:left w:val="nil"/>
              <w:bottom w:val="single" w:sz="4" w:space="0" w:color="auto"/>
              <w:right w:val="single" w:sz="4" w:space="0" w:color="auto"/>
            </w:tcBorders>
            <w:shd w:val="clear" w:color="auto" w:fill="auto"/>
            <w:vAlign w:val="center"/>
          </w:tcPr>
          <w:p w:rsidR="003C25FB" w:rsidRDefault="00F21A6D">
            <w:pPr>
              <w:widowControl/>
              <w:jc w:val="center"/>
              <w:rPr>
                <w:rFonts w:ascii="宋体" w:hAnsi="宋体" w:cs="宋体"/>
                <w:kern w:val="0"/>
                <w:sz w:val="24"/>
              </w:rPr>
            </w:pPr>
            <w:r>
              <w:rPr>
                <w:rFonts w:ascii="宋体" w:hAnsi="宋体" w:cs="宋体" w:hint="eastAsia"/>
                <w:kern w:val="0"/>
                <w:sz w:val="24"/>
              </w:rPr>
              <w:t xml:space="preserve">　</w:t>
            </w:r>
          </w:p>
        </w:tc>
        <w:tc>
          <w:tcPr>
            <w:tcW w:w="2439" w:type="dxa"/>
            <w:tcBorders>
              <w:top w:val="nil"/>
              <w:left w:val="nil"/>
              <w:bottom w:val="single" w:sz="4" w:space="0" w:color="auto"/>
              <w:right w:val="single" w:sz="4" w:space="0" w:color="auto"/>
            </w:tcBorders>
            <w:shd w:val="clear" w:color="auto" w:fill="auto"/>
            <w:vAlign w:val="center"/>
          </w:tcPr>
          <w:p w:rsidR="003C25FB" w:rsidRDefault="00F21A6D">
            <w:pPr>
              <w:widowControl/>
              <w:jc w:val="left"/>
              <w:rPr>
                <w:rFonts w:ascii="宋体" w:hAnsi="宋体" w:cs="宋体"/>
                <w:kern w:val="0"/>
                <w:sz w:val="24"/>
              </w:rPr>
            </w:pPr>
            <w:r>
              <w:rPr>
                <w:rFonts w:ascii="宋体" w:hAnsi="宋体" w:cs="宋体" w:hint="eastAsia"/>
                <w:kern w:val="0"/>
                <w:sz w:val="24"/>
              </w:rPr>
              <w:t xml:space="preserve">　</w:t>
            </w:r>
          </w:p>
        </w:tc>
      </w:tr>
      <w:tr w:rsidR="003C25FB">
        <w:trPr>
          <w:trHeight w:val="840"/>
        </w:trPr>
        <w:tc>
          <w:tcPr>
            <w:tcW w:w="12420" w:type="dxa"/>
            <w:gridSpan w:val="7"/>
            <w:tcBorders>
              <w:top w:val="single" w:sz="4" w:space="0" w:color="auto"/>
              <w:left w:val="nil"/>
              <w:bottom w:val="nil"/>
              <w:right w:val="nil"/>
            </w:tcBorders>
            <w:shd w:val="clear" w:color="auto" w:fill="auto"/>
            <w:vAlign w:val="center"/>
          </w:tcPr>
          <w:p w:rsidR="003C25FB" w:rsidRDefault="00F21A6D">
            <w:pPr>
              <w:widowControl/>
              <w:jc w:val="left"/>
              <w:rPr>
                <w:rFonts w:ascii="宋体" w:hAnsi="宋体" w:cs="宋体"/>
                <w:color w:val="000000"/>
                <w:kern w:val="0"/>
                <w:sz w:val="22"/>
                <w:szCs w:val="22"/>
              </w:rPr>
            </w:pPr>
            <w:r>
              <w:rPr>
                <w:rFonts w:ascii="宋体" w:hAnsi="宋体" w:cs="宋体" w:hint="eastAsia"/>
                <w:color w:val="000000"/>
                <w:kern w:val="0"/>
                <w:sz w:val="22"/>
                <w:szCs w:val="22"/>
              </w:rPr>
              <w:t>注：项目支出绩效目标自评表在项目执行完毕后填报。</w:t>
            </w:r>
          </w:p>
        </w:tc>
      </w:tr>
    </w:tbl>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sectPr w:rsidR="003C25FB">
          <w:footerReference w:type="default" r:id="rId20"/>
          <w:pgSz w:w="16838" w:h="11906" w:orient="landscape"/>
          <w:pgMar w:top="1474" w:right="1418" w:bottom="1588" w:left="1701" w:header="851" w:footer="992" w:gutter="0"/>
          <w:pgNumType w:start="9" w:chapSep="emDash"/>
          <w:cols w:space="0"/>
          <w:docGrid w:linePitch="312"/>
        </w:sectPr>
      </w:pP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本部门按要求对2020年部门整体支出开展绩效自评，从评价情况来看我中心2020年部门支出绩效整体执行较好，达到了预期目标，较好的完成了2020年</w:t>
      </w:r>
      <w:r>
        <w:rPr>
          <w:rFonts w:ascii="仿宋_GB2312" w:eastAsia="仿宋_GB2312" w:hAnsi="仿宋_GB2312" w:cs="仿宋_GB2312"/>
          <w:sz w:val="32"/>
          <w:szCs w:val="32"/>
        </w:rPr>
        <w:t>地籍、地形、宗地测量</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用地范围勘测定界及出具勘测技术报告书</w:t>
      </w:r>
      <w:r>
        <w:rPr>
          <w:rFonts w:ascii="仿宋_GB2312" w:eastAsia="仿宋_GB2312" w:hAnsi="仿宋_GB2312" w:cs="仿宋_GB2312" w:hint="eastAsia"/>
          <w:sz w:val="32"/>
          <w:szCs w:val="32"/>
        </w:rPr>
        <w:t>工作，为广元自然资源事务做出了基础性保障。</w:t>
      </w:r>
    </w:p>
    <w:p w:rsidR="003C25FB" w:rsidRDefault="00F21A6D">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 项目绩效目标完成情况。</w:t>
      </w:r>
      <w:r>
        <w:rPr>
          <w:rFonts w:ascii="仿宋_GB2312" w:eastAsia="仿宋_GB2312" w:hAnsi="仿宋_GB2312" w:cs="仿宋_GB2312" w:hint="eastAsia"/>
          <w:sz w:val="32"/>
          <w:szCs w:val="32"/>
        </w:rPr>
        <w:br/>
        <w:t xml:space="preserve">    本部门在2020年度部门决算中反映聘用人员费用、工作经费、土地勘界等维护更新费1个，项目绩效目标实际基本完成。</w:t>
      </w:r>
    </w:p>
    <w:p w:rsidR="003C25FB" w:rsidRDefault="00F21A6D">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2. 部门绩效评价结果。</w:t>
      </w:r>
    </w:p>
    <w:p w:rsidR="003C25FB" w:rsidRDefault="00F21A6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本部门按要求对2020年部门整体支出绩效评价情况开展自评，《广元市地籍地政事务中心2020年部门整体支出绩效评价报告》见附件（附件1）。</w:t>
      </w: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pPr>
    </w:p>
    <w:p w:rsidR="003C25FB" w:rsidRDefault="003C25FB">
      <w:pPr>
        <w:spacing w:line="560" w:lineRule="exact"/>
        <w:ind w:firstLineChars="200" w:firstLine="640"/>
        <w:rPr>
          <w:rFonts w:ascii="仿宋_GB2312" w:eastAsia="仿宋_GB2312" w:hAnsi="仿宋_GB2312" w:cs="仿宋_GB2312"/>
          <w:sz w:val="32"/>
          <w:szCs w:val="32"/>
        </w:rPr>
        <w:sectPr w:rsidR="003C25FB">
          <w:footerReference w:type="default" r:id="rId21"/>
          <w:pgSz w:w="11906" w:h="16838"/>
          <w:pgMar w:top="1701" w:right="1474" w:bottom="1418" w:left="1588" w:header="851" w:footer="992" w:gutter="0"/>
          <w:pgNumType w:start="14"/>
          <w:cols w:space="0"/>
          <w:docGrid w:linePitch="312"/>
        </w:sectPr>
      </w:pPr>
    </w:p>
    <w:tbl>
      <w:tblPr>
        <w:tblW w:w="12420" w:type="dxa"/>
        <w:tblInd w:w="94" w:type="dxa"/>
        <w:tblLook w:val="04A0"/>
      </w:tblPr>
      <w:tblGrid>
        <w:gridCol w:w="2814"/>
        <w:gridCol w:w="1834"/>
        <w:gridCol w:w="1426"/>
        <w:gridCol w:w="884"/>
        <w:gridCol w:w="830"/>
        <w:gridCol w:w="2193"/>
        <w:gridCol w:w="2439"/>
      </w:tblGrid>
      <w:tr w:rsidR="003C25FB">
        <w:trPr>
          <w:trHeight w:val="285"/>
        </w:trPr>
        <w:tc>
          <w:tcPr>
            <w:tcW w:w="2814" w:type="dxa"/>
            <w:tcBorders>
              <w:top w:val="nil"/>
              <w:left w:val="nil"/>
              <w:bottom w:val="nil"/>
              <w:right w:val="nil"/>
            </w:tcBorders>
            <w:shd w:val="clear" w:color="auto" w:fill="auto"/>
            <w:noWrap/>
            <w:vAlign w:val="center"/>
          </w:tcPr>
          <w:p w:rsidR="003C25FB" w:rsidRDefault="003C25FB">
            <w:pPr>
              <w:widowControl/>
              <w:jc w:val="left"/>
              <w:rPr>
                <w:rFonts w:ascii="黑体" w:eastAsia="黑体" w:hAnsi="宋体" w:cs="宋体"/>
                <w:kern w:val="0"/>
                <w:sz w:val="24"/>
              </w:rPr>
            </w:pPr>
          </w:p>
        </w:tc>
        <w:tc>
          <w:tcPr>
            <w:tcW w:w="1834" w:type="dxa"/>
            <w:tcBorders>
              <w:top w:val="nil"/>
              <w:left w:val="nil"/>
              <w:bottom w:val="nil"/>
              <w:right w:val="nil"/>
            </w:tcBorders>
            <w:shd w:val="clear" w:color="auto" w:fill="auto"/>
            <w:vAlign w:val="center"/>
          </w:tcPr>
          <w:p w:rsidR="003C25FB" w:rsidRDefault="003C25FB">
            <w:pPr>
              <w:widowControl/>
              <w:jc w:val="left"/>
              <w:rPr>
                <w:rFonts w:ascii="黑体" w:eastAsia="黑体" w:hAnsi="宋体" w:cs="宋体"/>
                <w:kern w:val="0"/>
                <w:sz w:val="24"/>
              </w:rPr>
            </w:pPr>
          </w:p>
        </w:tc>
        <w:tc>
          <w:tcPr>
            <w:tcW w:w="1426" w:type="dxa"/>
            <w:tcBorders>
              <w:top w:val="nil"/>
              <w:left w:val="nil"/>
              <w:bottom w:val="nil"/>
              <w:right w:val="nil"/>
            </w:tcBorders>
            <w:shd w:val="clear" w:color="auto" w:fill="auto"/>
            <w:vAlign w:val="center"/>
          </w:tcPr>
          <w:p w:rsidR="003C25FB" w:rsidRDefault="003C25FB">
            <w:pPr>
              <w:widowControl/>
              <w:jc w:val="left"/>
              <w:rPr>
                <w:rFonts w:ascii="黑体" w:eastAsia="黑体" w:hAnsi="宋体" w:cs="宋体"/>
                <w:kern w:val="0"/>
                <w:sz w:val="24"/>
              </w:rPr>
            </w:pPr>
          </w:p>
        </w:tc>
        <w:tc>
          <w:tcPr>
            <w:tcW w:w="884" w:type="dxa"/>
            <w:tcBorders>
              <w:top w:val="nil"/>
              <w:left w:val="nil"/>
              <w:bottom w:val="nil"/>
              <w:right w:val="nil"/>
            </w:tcBorders>
            <w:shd w:val="clear" w:color="auto" w:fill="auto"/>
            <w:vAlign w:val="center"/>
          </w:tcPr>
          <w:p w:rsidR="003C25FB" w:rsidRDefault="003C25FB">
            <w:pPr>
              <w:widowControl/>
              <w:jc w:val="left"/>
              <w:rPr>
                <w:rFonts w:ascii="黑体" w:eastAsia="黑体" w:hAnsi="宋体" w:cs="宋体"/>
                <w:kern w:val="0"/>
                <w:sz w:val="24"/>
              </w:rPr>
            </w:pPr>
          </w:p>
        </w:tc>
        <w:tc>
          <w:tcPr>
            <w:tcW w:w="830"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4"/>
              </w:rPr>
            </w:pPr>
          </w:p>
        </w:tc>
        <w:tc>
          <w:tcPr>
            <w:tcW w:w="2193"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4"/>
              </w:rPr>
            </w:pPr>
          </w:p>
        </w:tc>
        <w:tc>
          <w:tcPr>
            <w:tcW w:w="2439" w:type="dxa"/>
            <w:tcBorders>
              <w:top w:val="nil"/>
              <w:left w:val="nil"/>
              <w:bottom w:val="nil"/>
              <w:right w:val="nil"/>
            </w:tcBorders>
            <w:shd w:val="clear" w:color="auto" w:fill="auto"/>
            <w:vAlign w:val="center"/>
          </w:tcPr>
          <w:p w:rsidR="003C25FB" w:rsidRDefault="003C25FB">
            <w:pPr>
              <w:widowControl/>
              <w:jc w:val="left"/>
              <w:rPr>
                <w:rFonts w:ascii="宋体" w:hAnsi="宋体" w:cs="宋体"/>
                <w:kern w:val="0"/>
                <w:sz w:val="24"/>
              </w:rPr>
            </w:pPr>
          </w:p>
        </w:tc>
      </w:tr>
    </w:tbl>
    <w:p w:rsidR="003C25FB" w:rsidRDefault="00F21A6D">
      <w:pPr>
        <w:spacing w:line="560" w:lineRule="exact"/>
        <w:jc w:val="center"/>
        <w:rPr>
          <w:rFonts w:ascii="方正小标宋简体" w:eastAsia="方正小标宋简体" w:hAnsi="方正小标宋简体" w:cs="方正小标宋简体"/>
          <w:sz w:val="44"/>
          <w:szCs w:val="44"/>
        </w:rPr>
      </w:pPr>
      <w:bookmarkStart w:id="55" w:name="_Toc15377225"/>
      <w:bookmarkStart w:id="56" w:name="_Toc15396613"/>
      <w:r>
        <w:rPr>
          <w:rFonts w:ascii="方正小标宋简体" w:eastAsia="方正小标宋简体" w:hAnsi="方正小标宋简体" w:cs="方正小标宋简体" w:hint="eastAsia"/>
          <w:sz w:val="44"/>
          <w:szCs w:val="44"/>
        </w:rPr>
        <w:t>名词解释</w:t>
      </w:r>
      <w:bookmarkEnd w:id="55"/>
      <w:bookmarkEnd w:id="56"/>
    </w:p>
    <w:p w:rsidR="00505AD4" w:rsidRDefault="00505AD4" w:rsidP="00505AD4">
      <w:pPr>
        <w:spacing w:line="560" w:lineRule="exact"/>
        <w:rPr>
          <w:rFonts w:ascii="仿宋_GB2312" w:eastAsia="仿宋_GB2312" w:hAnsi="仿宋_GB2312" w:cs="仿宋_GB2312"/>
          <w:sz w:val="32"/>
          <w:szCs w:val="32"/>
        </w:rPr>
      </w:pPr>
      <w:bookmarkStart w:id="57" w:name="_Toc15377226"/>
    </w:p>
    <w:p w:rsidR="00505AD4" w:rsidRDefault="00505AD4" w:rsidP="00505AD4">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1.财政拨款收入：指单位从同级财政部门取得的财政预算资金。</w:t>
      </w:r>
    </w:p>
    <w:p w:rsidR="00505AD4" w:rsidRDefault="00505AD4" w:rsidP="00505AD4">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2.其他收入：指单位取得的除上述收入以外的各项收入。主要是单位银行存款利息和财政未通过大平台拨付的项目资金。</w:t>
      </w:r>
    </w:p>
    <w:p w:rsidR="00505AD4" w:rsidRDefault="00505AD4" w:rsidP="00505AD4">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3.年初结转和结余：指以前年度尚未完成、结转到本年按有关规定继续使用的资金。</w:t>
      </w:r>
    </w:p>
    <w:p w:rsidR="00505AD4" w:rsidRDefault="00505AD4" w:rsidP="00505AD4">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4.年末结转和结余：指单位按有关规定结转到下年或以后年度继续使用的资金。</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5.社会保障和就业（类）行政事业单位离退休（款）机关事业单位基本养老保险缴费支出（项）:指机关事业单位实施养老保险制度由单位缴纳的基本养老保险费支出。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6.社会保障和就业（类）行政事业单位离退休（款）机关事业单位职业年金缴费支出（项）:指机关事业单位实施养老保险制度由单位实际缴纳的职业年金支出。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7.社会保障和就业（类）抚恤（款）死亡抚恤（项）：指反映按规定用于烈士牺牲、病故人员家属的一次性和定期抚恤金以及丧葬补助费。</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8.卫生健康（类）行政事业单位医疗（款）行政单位医疗（项）：指局机关用于缴纳单位基本医疗保险支出。</w:t>
      </w:r>
    </w:p>
    <w:p w:rsidR="00505AD4" w:rsidRDefault="00505AD4" w:rsidP="00505AD4">
      <w:pPr>
        <w:spacing w:line="580" w:lineRule="exact"/>
        <w:ind w:firstLineChars="200" w:firstLine="640"/>
        <w:rPr>
          <w:color w:val="000000"/>
          <w:kern w:val="0"/>
        </w:rPr>
      </w:pPr>
      <w:r>
        <w:rPr>
          <w:rFonts w:ascii="仿宋_GB2312" w:eastAsia="仿宋_GB2312" w:hAnsi="仿宋_GB2312" w:cs="仿宋_GB2312" w:hint="eastAsia"/>
          <w:color w:val="000000"/>
          <w:kern w:val="0"/>
          <w:sz w:val="32"/>
          <w:szCs w:val="32"/>
        </w:rPr>
        <w:t>9.卫生健康（类）行政事业单位医疗（款）事业单位医疗（项）：指事业单位用于缴纳单位基本医疗保险支出。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10.城区社区（类）其他城区社区支出（款）土地开发及出让支出（项）：指土地开发及出让项目发生的业务支出、土地拆迁补偿支出、土地出让业务支出。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11.自然资源海洋气象等（类）自然资源事务（款）行政运行（项）：指局行政机关用于保障机构正常运行、开展日常工作的基本支出。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12.自然资源海洋气象等（类）自然资源事务（款)、事业运行（项）：指局事业单位用于保障机构正常运行、开展日常工作的基本支出。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13.自然资源海洋气象等（类）自然资源事务（款)一般行政管理事务行（项）：指局机关及事业单位开展自然资源综合业务专门性自然资源管理工作的项目支出。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14.自然资源海洋气象等支出（类）自然资源事务（款）自然资源利用与保护（项）：指地质环境治理和土地整治方面的支出。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15.自然资源海洋气象等支出（类）自然资源事务（款）地质勘察与矿产资源管理（项）：指矿业权管理、矿产资源合理利用和保护方面的支出。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16.自然资源海洋气象等支出（类）自然资源事务（款）其他自然资源事务（项）：指除财政一般公共预算安排的项目之外的项目支出。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17.灾害防治及应急管理（类）自然灾害防治（款）地质灾害防治（项）：指用于地质灾害防治方面的支出。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18.住房保障（类）住房改革支出（款）住房公积金（项）：指指局机关及事业单位按行政事业单位按人力资源部和社会保障部、财政部规定的基本工资和津贴补贴以及规定比例为职工缴纳的住房公积金。</w:t>
      </w:r>
    </w:p>
    <w:p w:rsidR="00505AD4" w:rsidRDefault="00505AD4" w:rsidP="00505AD4">
      <w:pPr>
        <w:spacing w:line="580" w:lineRule="exact"/>
        <w:ind w:leftChars="152" w:left="319" w:firstLineChars="100" w:firstLine="32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19.住房保障（类）住房改革支出（款）购房补贴（项）：印记的研究生和选调生的安家补助费。</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20.基本支出：指为保障机构正常运转、完成日常工作任务而发生的人员支出和公用支出。</w:t>
      </w:r>
    </w:p>
    <w:p w:rsidR="00505AD4" w:rsidRDefault="00505AD4" w:rsidP="00505AD4">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21.项目支出：指在基本支出之外为完成特定行政任务和事业发展目标所发生的支出。</w:t>
      </w:r>
    </w:p>
    <w:p w:rsidR="00505AD4" w:rsidRDefault="00505AD4" w:rsidP="00505AD4">
      <w:pPr>
        <w:pStyle w:val="Default"/>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505AD4" w:rsidRDefault="00505AD4" w:rsidP="00505AD4">
      <w:pPr>
        <w:pStyle w:val="Default"/>
        <w:spacing w:before="72"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C25FB" w:rsidRDefault="00F21A6D">
      <w:pPr>
        <w:spacing w:line="600" w:lineRule="exact"/>
        <w:jc w:val="center"/>
        <w:outlineLvl w:val="0"/>
        <w:rPr>
          <w:rStyle w:val="1Char"/>
          <w:rFonts w:ascii="方正小标宋简体" w:eastAsia="方正小标宋简体" w:hAnsi="方正小标宋简体" w:cs="方正小标宋简体"/>
          <w:b w:val="0"/>
        </w:rPr>
      </w:pPr>
      <w:r>
        <w:rPr>
          <w:rFonts w:ascii="宋体"/>
          <w:b/>
          <w:color w:val="000000"/>
          <w:sz w:val="44"/>
          <w:szCs w:val="44"/>
        </w:rPr>
        <w:br w:type="page"/>
      </w:r>
      <w:bookmarkStart w:id="58" w:name="_Toc15396614"/>
      <w:r>
        <w:rPr>
          <w:rFonts w:ascii="方正小标宋简体" w:eastAsia="方正小标宋简体" w:hAnsi="方正小标宋简体" w:cs="方正小标宋简体" w:hint="eastAsia"/>
          <w:color w:val="000000"/>
          <w:sz w:val="44"/>
          <w:szCs w:val="44"/>
        </w:rPr>
        <w:lastRenderedPageBreak/>
        <w:t>第</w:t>
      </w:r>
      <w:r>
        <w:rPr>
          <w:rStyle w:val="1Char"/>
          <w:rFonts w:ascii="方正小标宋简体" w:eastAsia="方正小标宋简体" w:hAnsi="方正小标宋简体" w:cs="方正小标宋简体" w:hint="eastAsia"/>
          <w:b w:val="0"/>
        </w:rPr>
        <w:t>四部分  附件</w:t>
      </w:r>
      <w:bookmarkEnd w:id="58"/>
    </w:p>
    <w:p w:rsidR="003C25FB" w:rsidRDefault="00F21A6D">
      <w:pPr>
        <w:spacing w:line="600" w:lineRule="exact"/>
        <w:jc w:val="left"/>
        <w:outlineLvl w:val="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附件1</w:t>
      </w:r>
    </w:p>
    <w:p w:rsidR="003C25FB" w:rsidRDefault="003C25FB">
      <w:pPr>
        <w:spacing w:line="580" w:lineRule="exact"/>
        <w:jc w:val="center"/>
        <w:rPr>
          <w:rFonts w:ascii="方正小标宋简体" w:eastAsia="方正小标宋简体" w:hAnsi="方正小标宋简体" w:cs="方正小标宋简体"/>
          <w:sz w:val="44"/>
          <w:szCs w:val="44"/>
        </w:rPr>
      </w:pPr>
    </w:p>
    <w:p w:rsidR="003C25FB" w:rsidRDefault="00F21A6D" w:rsidP="003C25FB">
      <w:pPr>
        <w:adjustRightInd w:val="0"/>
        <w:snapToGrid w:val="0"/>
        <w:spacing w:line="440" w:lineRule="exact"/>
        <w:ind w:firstLineChars="103" w:firstLine="371"/>
        <w:jc w:val="center"/>
        <w:rPr>
          <w:rFonts w:ascii="方正小标宋简体" w:eastAsia="方正小标宋简体" w:hAnsi="方正小标宋简体" w:cs="方正小标宋简体"/>
          <w:bCs/>
          <w:sz w:val="36"/>
          <w:szCs w:val="36"/>
        </w:rPr>
      </w:pPr>
      <w:bookmarkStart w:id="59" w:name="_Toc15396618"/>
      <w:bookmarkStart w:id="60" w:name="_Toc15396619"/>
      <w:bookmarkEnd w:id="57"/>
      <w:r>
        <w:rPr>
          <w:rFonts w:ascii="方正小标宋简体" w:eastAsia="方正小标宋简体" w:hAnsi="方正小标宋简体" w:cs="方正小标宋简体" w:hint="eastAsia"/>
          <w:bCs/>
          <w:sz w:val="36"/>
          <w:szCs w:val="36"/>
        </w:rPr>
        <w:t>广元市地籍地政事务中心</w:t>
      </w:r>
    </w:p>
    <w:p w:rsidR="003C25FB" w:rsidRDefault="00F21A6D" w:rsidP="003C25FB">
      <w:pPr>
        <w:adjustRightInd w:val="0"/>
        <w:snapToGrid w:val="0"/>
        <w:spacing w:line="440" w:lineRule="exact"/>
        <w:ind w:firstLineChars="103" w:firstLine="371"/>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部门支出绩效评价自评报告</w:t>
      </w:r>
    </w:p>
    <w:p w:rsidR="003C25FB" w:rsidRDefault="003C25FB">
      <w:pPr>
        <w:spacing w:line="440" w:lineRule="exact"/>
        <w:ind w:firstLineChars="200" w:firstLine="643"/>
        <w:rPr>
          <w:rFonts w:ascii="黑体" w:eastAsia="黑体" w:hAnsi="黑体"/>
          <w:b/>
          <w:sz w:val="32"/>
          <w:szCs w:val="32"/>
        </w:rPr>
      </w:pP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黑体" w:eastAsia="黑体" w:hAnsi="黑体" w:hint="eastAsia"/>
          <w:sz w:val="32"/>
          <w:szCs w:val="32"/>
        </w:rPr>
        <w:t>一、部门概况</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负责地籍、地形、宗地测量 用地范围勘测定界及出具勘测技术报告书</w:t>
      </w:r>
      <w:r>
        <w:rPr>
          <w:rFonts w:ascii="仿宋_GB2312" w:eastAsia="仿宋_GB2312" w:hAnsi="仿宋_GB2312" w:cs="仿宋_GB2312" w:hint="eastAsia"/>
          <w:sz w:val="32"/>
          <w:szCs w:val="32"/>
        </w:rPr>
        <w:t>。</w:t>
      </w:r>
    </w:p>
    <w:p w:rsidR="003C25FB" w:rsidRDefault="00F21A6D">
      <w:pPr>
        <w:spacing w:line="440" w:lineRule="exact"/>
        <w:ind w:firstLineChars="200" w:firstLine="640"/>
        <w:jc w:val="left"/>
        <w:rPr>
          <w:rFonts w:ascii="黑体" w:eastAsia="黑体" w:hAnsi="黑体"/>
          <w:sz w:val="32"/>
          <w:szCs w:val="32"/>
        </w:rPr>
      </w:pPr>
      <w:r>
        <w:rPr>
          <w:rFonts w:ascii="黑体" w:eastAsia="黑体" w:hAnsi="黑体" w:hint="eastAsia"/>
          <w:sz w:val="32"/>
          <w:szCs w:val="32"/>
        </w:rPr>
        <w:t xml:space="preserve">二、部门总体评价   </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部门整体支出绩效评价得分为99分，部门支出绩效评价扣分原因为：综合管理扣1分。项目支出绩效评价得100分，按30%权重计算,该部门总体绩效评价最终得分为99分（见附件1）。</w:t>
      </w:r>
    </w:p>
    <w:p w:rsidR="003C25FB" w:rsidRDefault="00F21A6D">
      <w:pPr>
        <w:spacing w:line="440" w:lineRule="exact"/>
        <w:ind w:firstLineChars="196" w:firstLine="627"/>
        <w:jc w:val="left"/>
        <w:rPr>
          <w:rFonts w:ascii="黑体" w:eastAsia="黑体" w:hAnsi="黑体"/>
          <w:sz w:val="32"/>
          <w:szCs w:val="32"/>
        </w:rPr>
      </w:pPr>
      <w:r>
        <w:rPr>
          <w:rFonts w:ascii="黑体" w:eastAsia="黑体" w:hAnsi="黑体" w:hint="eastAsia"/>
          <w:sz w:val="32"/>
          <w:szCs w:val="32"/>
        </w:rPr>
        <w:t>三、部门财政支出管理情况</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（一）预算编制</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1.报送时效。我中心严格按财政部门预算编制要求的时间及时报送了部门预算和项目绩效目标,并规范准确完整地填制和报送预算报表，合理反映了本部门年度职责履行情况。</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编制质量。我中心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（二）预算执行</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1.预算执行进度。本年度预算执行收支平衡，完成本部门经济和社会事业发展职能职责，人员支出部分按时间进度执行。</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2.预算平衡调整。我中心严格执行预算，执行中不调整项目。</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3.三公经费执行情况。</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20年“三公”经费预算54.14万</w:t>
      </w:r>
      <w:r>
        <w:rPr>
          <w:rFonts w:ascii="仿宋_GB2312" w:eastAsia="仿宋_GB2312" w:hAnsi="仿宋_GB2312" w:cs="仿宋_GB2312" w:hint="eastAsia"/>
          <w:sz w:val="32"/>
          <w:szCs w:val="32"/>
        </w:rPr>
        <w:lastRenderedPageBreak/>
        <w:t>元，其中:公务接待费1.66万元，车辆运行维护费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 xml:space="preserve">.48万元，业务车辆购置费50万元。全年支出 </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2万元，其中：公务接待费1.66万元，车辆运行维护费2.48万元，业务车辆购置费45.98万元。</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4.部门决算编制和审查。及时进行年终账务清算，核实各项预算收支，按规定时间报送决算报表，做到了帐表一致，决算数据真实准确，部门决算编制人员与供养人员系统数据相符。</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（三）财政资金综合管理情况</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非税收入征收、上缴情况。我中心严格执行非税收入预算管理，按规定项目和标准执行，无擅自设立项目、提高标准、扩大范围等情况；严格执行国家减税降费政策；编制和执行非税收入预算，应收尽收，非税收入无截留、推延行为；票据管理规范，领购、发放、使用、核销票据行为规范。全年非税收入和上缴金额为</w:t>
      </w:r>
      <w:r>
        <w:rPr>
          <w:rFonts w:ascii="仿宋_GB2312" w:eastAsia="仿宋_GB2312" w:hAnsi="仿宋_GB2312" w:cs="仿宋_GB2312"/>
          <w:sz w:val="32"/>
          <w:szCs w:val="32"/>
        </w:rPr>
        <w:t>601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340671</w:t>
      </w:r>
      <w:r>
        <w:rPr>
          <w:rFonts w:ascii="仿宋_GB2312" w:eastAsia="仿宋_GB2312" w:hAnsi="仿宋_GB2312" w:cs="仿宋_GB2312" w:hint="eastAsia"/>
          <w:sz w:val="32"/>
          <w:szCs w:val="32"/>
        </w:rPr>
        <w:t>万元。其中：其他预算收入</w:t>
      </w:r>
      <w:r>
        <w:rPr>
          <w:rFonts w:ascii="仿宋_GB2312" w:eastAsia="仿宋_GB2312" w:hAnsi="仿宋_GB2312" w:cs="仿宋_GB2312"/>
          <w:sz w:val="32"/>
          <w:szCs w:val="32"/>
        </w:rPr>
        <w:t>601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340671</w:t>
      </w:r>
      <w:r>
        <w:rPr>
          <w:rFonts w:ascii="仿宋_GB2312" w:eastAsia="仿宋_GB2312" w:hAnsi="仿宋_GB2312" w:cs="仿宋_GB2312" w:hint="eastAsia"/>
          <w:sz w:val="32"/>
          <w:szCs w:val="32"/>
        </w:rPr>
        <w:t>万元。</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2.政府采购实施计划编制执行情况。认真编制政府采购预算，做到应编尽编，不遗漏；规范采购行为，执行政府采购政策，做到应采尽采。全年一般公共预算采购预算为104.09万元，实际采购金额104.09万元。</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资产管理信息系统建设、资产清查上报情况。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部门内部控制制度健全情况。我中心按照广元市自然资源局内部管理制度，设置有《首问责任制度》，执行《广元市自然资源局“三重一大”集体决策制度》、《广元市国土资源系统内部审计管理办法》、《广元市自然资源局财务管理制度》等，具体内容包括经费审批制度、现金管理、票据管理、会计档案管理、资产管理等。</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5.预决算及绩效信息公开情况。我中心在严格按照财政要求，及时、准确、全面的在政府网站和局域内门户网站公开预决算和</w:t>
      </w:r>
      <w:r>
        <w:rPr>
          <w:rFonts w:ascii="仿宋_GB2312" w:eastAsia="仿宋_GB2312" w:hAnsi="仿宋_GB2312" w:cs="仿宋_GB2312" w:hint="eastAsia"/>
          <w:sz w:val="32"/>
          <w:szCs w:val="32"/>
        </w:rPr>
        <w:lastRenderedPageBreak/>
        <w:t>绩效信息。</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6.绩效评价开展、评价结果报告情况。我中心对部分项目开展了绩效评价，聘用人员费用、工作经费、土地勘界等维护更新费。通过对部分项目支出总体评价，自评得分98分。</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7.绩效管理工作开展情况。2020年市财政局下达市地籍地政事务中心聘用人员费用、工作经费、土地勘界等维护更新费进行绩效评价，对部门整体展开绩效评价。</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8.财政政策执行情况。</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（1）国库集中支付。我中心严格执行国库集中支付规定，当年部门预算支出中直接支付比例超过市本级当期平均水平。</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（2）公务卡改革。严格按公务卡强制结算目录，公务用车燃油费、职工出差培训费、住宿费、公务机票等都使用公务卡进行结算。</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（3）政府采购政策执行。认真编制政府采购预算，做到应编尽编，不遗漏；规范采购行为，执行政府采购政策，做到应采尽采。</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非税收入征收管理。我中心严格执行非税收入预算，按规定项目和标准执行，无擅自设立项目、提高标准、扩大范围等情况；严格执行国家减税降费政策；编制和执行非税收入预算，应收尽收，非税收入无截留、推延行为；票据管理规范，领购、发放、使用、核销票据行为规范。</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（5）厉行节约。按照相关规定进行经费开支，无违反规定支出行为，无超标准开支行为；“三公”经费严格按财政规定限额标准进行限制和压缩。</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9.财经纪律执行情况。</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（1）审计监察。接受了广元市审计局大数据提取检查和市纪委、市财政局等部门组成的检查组对整改省委巡视反馈违规发放补贴、超标准接待、公款旅游问题及“三公”经费问题进行了“回头看”的检查。</w:t>
      </w:r>
    </w:p>
    <w:p w:rsidR="003C25FB" w:rsidRDefault="00F21A6D">
      <w:pPr>
        <w:spacing w:line="4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（2）预算执行动态监控。所有收支均通过财政大平台实行动态监控，资金管理较规范，按市财政国库动态监控预警无违规</w:t>
      </w:r>
      <w:r>
        <w:rPr>
          <w:rFonts w:ascii="仿宋_GB2312" w:eastAsia="仿宋_GB2312" w:hAnsi="仿宋_GB2312" w:cs="仿宋_GB2312" w:hint="eastAsia"/>
          <w:sz w:val="32"/>
          <w:szCs w:val="32"/>
        </w:rPr>
        <w:lastRenderedPageBreak/>
        <w:t>支付行为。</w:t>
      </w:r>
    </w:p>
    <w:p w:rsidR="003C25FB" w:rsidRDefault="00F21A6D">
      <w:pPr>
        <w:spacing w:line="440" w:lineRule="exact"/>
        <w:ind w:firstLineChars="100" w:firstLine="320"/>
        <w:jc w:val="left"/>
        <w:rPr>
          <w:rFonts w:ascii="仿宋_GB2312" w:eastAsia="仿宋_GB2312"/>
          <w:sz w:val="32"/>
          <w:szCs w:val="32"/>
        </w:rPr>
      </w:pPr>
      <w:r>
        <w:rPr>
          <w:rFonts w:ascii="仿宋_GB2312" w:eastAsia="仿宋_GB2312" w:hint="eastAsia"/>
          <w:sz w:val="32"/>
          <w:szCs w:val="32"/>
        </w:rPr>
        <w:t>（四）部门项目绩效评价情况</w:t>
      </w:r>
    </w:p>
    <w:p w:rsidR="003C25FB" w:rsidRDefault="00F21A6D">
      <w:pPr>
        <w:spacing w:line="440" w:lineRule="exact"/>
        <w:ind w:firstLineChars="200" w:firstLine="640"/>
        <w:jc w:val="left"/>
        <w:rPr>
          <w:rFonts w:ascii="仿宋_GB2312" w:eastAsia="仿宋_GB2312"/>
          <w:sz w:val="32"/>
          <w:szCs w:val="32"/>
        </w:rPr>
      </w:pPr>
      <w:r>
        <w:rPr>
          <w:rFonts w:ascii="仿宋_GB2312" w:eastAsia="仿宋_GB2312" w:hint="eastAsia"/>
          <w:sz w:val="32"/>
          <w:szCs w:val="32"/>
        </w:rPr>
        <w:t>本单位2020年被评价的一共4个项目，评价得分99分，平均的分24.75分，按30%全重计算，我中心项目绩效评价得分99分。</w:t>
      </w:r>
    </w:p>
    <w:p w:rsidR="003C25FB" w:rsidRDefault="00F21A6D">
      <w:pPr>
        <w:spacing w:line="440" w:lineRule="exact"/>
        <w:ind w:firstLineChars="200" w:firstLine="640"/>
        <w:jc w:val="left"/>
        <w:rPr>
          <w:rFonts w:ascii="黑体" w:eastAsia="黑体" w:hAnsi="黑体"/>
          <w:sz w:val="32"/>
          <w:szCs w:val="32"/>
        </w:rPr>
      </w:pPr>
      <w:r>
        <w:rPr>
          <w:rFonts w:ascii="黑体" w:eastAsia="黑体" w:hAnsi="黑体" w:hint="eastAsia"/>
          <w:sz w:val="32"/>
          <w:szCs w:val="32"/>
        </w:rPr>
        <w:t>四、存在的问题</w:t>
      </w:r>
    </w:p>
    <w:p w:rsidR="003C25FB" w:rsidRDefault="00F21A6D">
      <w:pPr>
        <w:spacing w:line="440" w:lineRule="exact"/>
        <w:ind w:firstLineChars="200" w:firstLine="640"/>
        <w:jc w:val="left"/>
        <w:rPr>
          <w:rFonts w:ascii="仿宋_GB2312" w:eastAsia="仿宋_GB2312"/>
          <w:sz w:val="32"/>
          <w:szCs w:val="32"/>
        </w:rPr>
      </w:pPr>
      <w:r>
        <w:rPr>
          <w:rFonts w:ascii="仿宋_GB2312" w:eastAsia="仿宋_GB2312" w:hint="eastAsia"/>
          <w:sz w:val="32"/>
          <w:szCs w:val="32"/>
        </w:rPr>
        <w:t>由于财务部门是绩效评价的牵头部门，对于单位绩效评价都是财务人员在做这项基本工作，这样既充当了“运动员”又充当了“裁判员”角色。</w:t>
      </w:r>
    </w:p>
    <w:p w:rsidR="003C25FB" w:rsidRDefault="00F21A6D">
      <w:pPr>
        <w:spacing w:line="440" w:lineRule="exact"/>
        <w:ind w:firstLineChars="200" w:firstLine="640"/>
        <w:jc w:val="left"/>
        <w:rPr>
          <w:rFonts w:ascii="黑体" w:eastAsia="黑体" w:hAnsi="黑体"/>
          <w:sz w:val="32"/>
          <w:szCs w:val="32"/>
        </w:rPr>
      </w:pPr>
      <w:r>
        <w:rPr>
          <w:rFonts w:ascii="黑体" w:eastAsia="黑体" w:hAnsi="黑体" w:hint="eastAsia"/>
          <w:sz w:val="32"/>
          <w:szCs w:val="32"/>
        </w:rPr>
        <w:t>五、整改建议和意见</w:t>
      </w:r>
    </w:p>
    <w:p w:rsidR="003C25FB" w:rsidRDefault="00F21A6D">
      <w:pPr>
        <w:spacing w:line="440" w:lineRule="exact"/>
        <w:ind w:firstLineChars="200" w:firstLine="640"/>
        <w:jc w:val="left"/>
        <w:rPr>
          <w:rFonts w:ascii="仿宋_GB2312" w:eastAsia="仿宋_GB2312"/>
          <w:sz w:val="32"/>
          <w:szCs w:val="32"/>
        </w:rPr>
      </w:pPr>
      <w:r>
        <w:rPr>
          <w:rFonts w:ascii="仿宋_GB2312" w:eastAsia="仿宋_GB2312" w:hint="eastAsia"/>
          <w:sz w:val="32"/>
          <w:szCs w:val="32"/>
        </w:rPr>
        <w:t>建议：一是建议各单位内审部门牵头组织成立绩效评价小组，对单位进行绩效评价；二是建议财政加强对单位及其财务人员项目绩效评价和内控制度建设等方面的培训力度，为适应新形势新要求，让每一个财务人员及时正确掌握政策，把握好财经纪律。建议将财务人员定期培训工作纳入目标任务；三是建议通过财政支出和项目绩效评价结果，财政根据各单位的项目工作任务及政府目标考核内容纳入项目工作经费，确保各单位履行行政职能职责有保障。</w:t>
      </w:r>
    </w:p>
    <w:p w:rsidR="003C25FB" w:rsidRDefault="003C25FB">
      <w:pPr>
        <w:spacing w:line="440" w:lineRule="exact"/>
        <w:ind w:firstLineChars="200" w:firstLine="640"/>
        <w:jc w:val="left"/>
        <w:rPr>
          <w:rFonts w:ascii="仿宋_GB2312" w:eastAsia="仿宋_GB2312"/>
          <w:sz w:val="32"/>
          <w:szCs w:val="32"/>
        </w:rPr>
      </w:pPr>
    </w:p>
    <w:p w:rsidR="003C25FB" w:rsidRDefault="003C25FB">
      <w:pPr>
        <w:spacing w:line="576" w:lineRule="exact"/>
        <w:jc w:val="center"/>
        <w:rPr>
          <w:rFonts w:ascii="仿宋_GB2312" w:eastAsia="仿宋_GB2312"/>
          <w:sz w:val="32"/>
          <w:szCs w:val="32"/>
        </w:rPr>
      </w:pPr>
    </w:p>
    <w:p w:rsidR="003C25FB" w:rsidRDefault="003C25FB">
      <w:pPr>
        <w:spacing w:line="576" w:lineRule="exact"/>
        <w:jc w:val="center"/>
        <w:rPr>
          <w:rFonts w:ascii="仿宋_GB2312" w:eastAsia="仿宋_GB2312"/>
          <w:sz w:val="32"/>
          <w:szCs w:val="32"/>
        </w:rPr>
      </w:pPr>
    </w:p>
    <w:p w:rsidR="003C25FB" w:rsidRDefault="003C25FB">
      <w:pPr>
        <w:spacing w:line="576" w:lineRule="exact"/>
        <w:jc w:val="center"/>
        <w:rPr>
          <w:rFonts w:ascii="仿宋_GB2312" w:eastAsia="仿宋_GB2312"/>
          <w:sz w:val="32"/>
          <w:szCs w:val="32"/>
        </w:rPr>
      </w:pPr>
    </w:p>
    <w:p w:rsidR="003C25FB" w:rsidRDefault="003C25FB">
      <w:pPr>
        <w:spacing w:line="576" w:lineRule="exact"/>
        <w:jc w:val="center"/>
        <w:rPr>
          <w:rFonts w:ascii="仿宋_GB2312" w:eastAsia="仿宋_GB2312"/>
          <w:sz w:val="32"/>
          <w:szCs w:val="32"/>
        </w:rPr>
      </w:pPr>
    </w:p>
    <w:p w:rsidR="003C25FB" w:rsidRDefault="003C25FB">
      <w:pPr>
        <w:spacing w:line="576" w:lineRule="exact"/>
        <w:jc w:val="center"/>
        <w:rPr>
          <w:rFonts w:ascii="仿宋_GB2312" w:eastAsia="仿宋_GB2312"/>
          <w:sz w:val="32"/>
          <w:szCs w:val="32"/>
        </w:rPr>
      </w:pPr>
    </w:p>
    <w:p w:rsidR="003C25FB" w:rsidRDefault="003C25FB">
      <w:pPr>
        <w:spacing w:line="576" w:lineRule="exact"/>
        <w:jc w:val="center"/>
        <w:rPr>
          <w:rFonts w:ascii="仿宋_GB2312" w:eastAsia="仿宋_GB2312"/>
          <w:sz w:val="32"/>
          <w:szCs w:val="32"/>
        </w:rPr>
      </w:pPr>
    </w:p>
    <w:p w:rsidR="003C25FB" w:rsidRDefault="003C25FB">
      <w:pPr>
        <w:spacing w:line="576" w:lineRule="exact"/>
        <w:jc w:val="center"/>
        <w:rPr>
          <w:rFonts w:ascii="仿宋_GB2312" w:eastAsia="仿宋_GB2312"/>
          <w:sz w:val="32"/>
          <w:szCs w:val="32"/>
        </w:rPr>
      </w:pPr>
    </w:p>
    <w:p w:rsidR="003C25FB" w:rsidRDefault="003C25FB">
      <w:pPr>
        <w:spacing w:line="576" w:lineRule="exact"/>
        <w:jc w:val="center"/>
        <w:rPr>
          <w:rFonts w:ascii="方正小标宋简体" w:eastAsia="方正小标宋简体" w:hAnsi="方正小标宋简体" w:cs="方正小标宋简体"/>
          <w:sz w:val="44"/>
          <w:szCs w:val="44"/>
        </w:rPr>
      </w:pPr>
    </w:p>
    <w:p w:rsidR="007A5649" w:rsidRDefault="007A5649">
      <w:pPr>
        <w:spacing w:line="576" w:lineRule="exact"/>
        <w:jc w:val="center"/>
        <w:rPr>
          <w:rFonts w:ascii="方正小标宋简体" w:eastAsia="方正小标宋简体" w:hAnsi="方正小标宋简体" w:cs="方正小标宋简体"/>
          <w:sz w:val="44"/>
          <w:szCs w:val="44"/>
        </w:rPr>
      </w:pPr>
    </w:p>
    <w:p w:rsidR="003C25FB" w:rsidRDefault="00F21A6D">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第五部分  附表</w:t>
      </w:r>
      <w:bookmarkEnd w:id="59"/>
    </w:p>
    <w:p w:rsidR="003C25FB" w:rsidRDefault="003C25FB">
      <w:pPr>
        <w:spacing w:line="576" w:lineRule="exact"/>
        <w:rPr>
          <w:rFonts w:ascii="仿宋_GB2312" w:eastAsia="仿宋_GB2312" w:hAnsi="仿宋_GB2312" w:cs="仿宋_GB2312"/>
          <w:sz w:val="32"/>
          <w:szCs w:val="32"/>
        </w:rPr>
      </w:pPr>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一、收入支出决算总表</w:t>
      </w:r>
      <w:bookmarkStart w:id="61" w:name="_Toc15396620"/>
      <w:bookmarkEnd w:id="60"/>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二、收入决算表</w:t>
      </w:r>
      <w:bookmarkStart w:id="62" w:name="_Toc15396621"/>
      <w:bookmarkEnd w:id="61"/>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三、支出决算表</w:t>
      </w:r>
      <w:bookmarkStart w:id="63" w:name="_Toc15396622"/>
      <w:bookmarkEnd w:id="62"/>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四、财政拨款收入支出决算总表</w:t>
      </w:r>
      <w:bookmarkStart w:id="64" w:name="_Toc15396623"/>
      <w:bookmarkEnd w:id="63"/>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五、财政拨款支出决算明细表</w:t>
      </w:r>
      <w:bookmarkStart w:id="65" w:name="_Toc15396624"/>
      <w:bookmarkEnd w:id="64"/>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六、一般公共预算财政拨款支出决算表</w:t>
      </w:r>
      <w:bookmarkStart w:id="66" w:name="_Toc15396625"/>
      <w:bookmarkEnd w:id="65"/>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七、一般公共预算财政拨款支出决算明细表</w:t>
      </w:r>
      <w:bookmarkStart w:id="67" w:name="_Toc15396626"/>
      <w:bookmarkEnd w:id="66"/>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八、一般公共预算财政拨款基本支出决算表</w:t>
      </w:r>
      <w:bookmarkStart w:id="68" w:name="_Toc15396627"/>
      <w:bookmarkEnd w:id="67"/>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九、一般公共预算财政拨款项目支出决算表</w:t>
      </w:r>
      <w:bookmarkStart w:id="69" w:name="_Toc15396628"/>
      <w:bookmarkEnd w:id="68"/>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十、一般公共预算财政拨款“三公”经费支出决算表</w:t>
      </w:r>
      <w:bookmarkEnd w:id="69"/>
    </w:p>
    <w:p w:rsidR="003C25FB" w:rsidRDefault="00F21A6D">
      <w:pPr>
        <w:spacing w:line="576" w:lineRule="exact"/>
        <w:ind w:firstLineChars="200" w:firstLine="640"/>
        <w:rPr>
          <w:rFonts w:ascii="仿宋_GB2312" w:eastAsia="仿宋_GB2312" w:hAnsi="仿宋_GB2312" w:cs="仿宋_GB2312"/>
          <w:sz w:val="32"/>
          <w:szCs w:val="32"/>
        </w:rPr>
      </w:pPr>
      <w:bookmarkStart w:id="70" w:name="_Toc15396629"/>
      <w:r>
        <w:rPr>
          <w:rFonts w:ascii="仿宋_GB2312" w:eastAsia="仿宋_GB2312" w:hAnsi="仿宋_GB2312" w:cs="仿宋_GB2312" w:hint="eastAsia"/>
          <w:sz w:val="32"/>
          <w:szCs w:val="32"/>
        </w:rPr>
        <w:t>十一、政府性基金预算财政拨款收入支出决算表</w:t>
      </w:r>
      <w:bookmarkEnd w:id="70"/>
    </w:p>
    <w:p w:rsidR="003C25FB" w:rsidRDefault="00F21A6D">
      <w:pPr>
        <w:spacing w:line="576" w:lineRule="exact"/>
        <w:ind w:firstLineChars="200" w:firstLine="640"/>
        <w:rPr>
          <w:rFonts w:ascii="仿宋_GB2312" w:eastAsia="仿宋_GB2312" w:hAnsi="仿宋_GB2312" w:cs="仿宋_GB2312"/>
          <w:sz w:val="32"/>
          <w:szCs w:val="32"/>
        </w:rPr>
      </w:pPr>
      <w:bookmarkStart w:id="71" w:name="_Toc15396630"/>
      <w:r>
        <w:rPr>
          <w:rFonts w:ascii="仿宋_GB2312" w:eastAsia="仿宋_GB2312" w:hAnsi="仿宋_GB2312" w:cs="仿宋_GB2312" w:hint="eastAsia"/>
          <w:sz w:val="32"/>
          <w:szCs w:val="32"/>
        </w:rPr>
        <w:t>十二、政府性基金预算财政拨款“三公”经费支出决算表</w:t>
      </w:r>
      <w:bookmarkEnd w:id="71"/>
    </w:p>
    <w:p w:rsidR="003C25FB" w:rsidRDefault="00F21A6D">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十三、国有资本经营预算财政拨款收入支出决算表</w:t>
      </w:r>
    </w:p>
    <w:p w:rsidR="003C25FB" w:rsidRDefault="00F21A6D">
      <w:pPr>
        <w:spacing w:line="576" w:lineRule="exact"/>
        <w:ind w:firstLineChars="200" w:firstLine="640"/>
        <w:rPr>
          <w:rFonts w:ascii="仿宋_GB2312" w:eastAsia="仿宋_GB2312" w:hAnsi="仿宋_GB2312" w:cs="仿宋_GB2312"/>
          <w:sz w:val="32"/>
          <w:szCs w:val="32"/>
        </w:rPr>
      </w:pPr>
      <w:bookmarkStart w:id="72" w:name="_Toc15396631"/>
      <w:r>
        <w:rPr>
          <w:rFonts w:ascii="仿宋_GB2312" w:eastAsia="仿宋_GB2312" w:hAnsi="仿宋_GB2312" w:cs="仿宋_GB2312" w:hint="eastAsia"/>
          <w:sz w:val="32"/>
          <w:szCs w:val="32"/>
        </w:rPr>
        <w:t>十四、国</w:t>
      </w:r>
      <w:bookmarkStart w:id="73" w:name="_GoBack"/>
      <w:bookmarkEnd w:id="73"/>
      <w:r>
        <w:rPr>
          <w:rFonts w:ascii="仿宋_GB2312" w:eastAsia="仿宋_GB2312" w:hAnsi="仿宋_GB2312" w:cs="仿宋_GB2312" w:hint="eastAsia"/>
          <w:sz w:val="32"/>
          <w:szCs w:val="32"/>
        </w:rPr>
        <w:t>有资本经营预算财政拨款支出决算表</w:t>
      </w:r>
      <w:bookmarkEnd w:id="72"/>
    </w:p>
    <w:sectPr w:rsidR="003C25FB" w:rsidSect="003C25FB">
      <w:footerReference w:type="default" r:id="rId22"/>
      <w:pgSz w:w="11906" w:h="16838"/>
      <w:pgMar w:top="1701" w:right="1474" w:bottom="1418" w:left="1588" w:header="851" w:footer="992" w:gutter="0"/>
      <w:pgNumType w:start="15"/>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F89" w:rsidRDefault="002A0F89" w:rsidP="003C25FB">
      <w:r>
        <w:separator/>
      </w:r>
    </w:p>
  </w:endnote>
  <w:endnote w:type="continuationSeparator" w:id="1">
    <w:p w:rsidR="002A0F89" w:rsidRDefault="002A0F89" w:rsidP="003C25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3C25FB">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F76604">
    <w:pPr>
      <w:pStyle w:val="a5"/>
      <w:jc w:val="center"/>
    </w:pPr>
    <w:r>
      <w:pict>
        <v:shapetype id="_x0000_t202" coordsize="21600,21600" o:spt="202" path="m,l,21600r21600,l21600,xe">
          <v:stroke joinstyle="miter"/>
          <v:path gradientshapeok="t" o:connecttype="rect"/>
        </v:shapetype>
        <v:shape id="_x0000_s3083" type="#_x0000_t202" style="position:absolute;left:0;text-align:left;margin-left:624pt;margin-top:0;width:2in;height:2in;z-index:251660288;mso-wrap-style:none;mso-position-horizontal:outside;mso-position-horizontal-relative:margin" filled="f" stroked="f">
          <v:textbox style="mso-fit-shape-to-text:t" inset="0,0,0,0">
            <w:txbxContent>
              <w:p w:rsidR="003C25FB" w:rsidRDefault="00F21A6D">
                <w:pPr>
                  <w:pStyle w:val="a5"/>
                  <w:rPr>
                    <w:rFonts w:ascii="宋体" w:hAnsi="宋体" w:cs="宋体"/>
                    <w:sz w:val="28"/>
                    <w:szCs w:val="28"/>
                  </w:rPr>
                </w:pPr>
                <w:r>
                  <w:rPr>
                    <w:rFonts w:ascii="宋体" w:hAnsi="宋体" w:cs="宋体" w:hint="eastAsia"/>
                    <w:sz w:val="28"/>
                    <w:szCs w:val="28"/>
                  </w:rPr>
                  <w:t>—</w:t>
                </w:r>
                <w:r w:rsidR="00F766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76604">
                  <w:rPr>
                    <w:rFonts w:ascii="宋体" w:hAnsi="宋体" w:cs="宋体" w:hint="eastAsia"/>
                    <w:sz w:val="28"/>
                    <w:szCs w:val="28"/>
                  </w:rPr>
                  <w:fldChar w:fldCharType="separate"/>
                </w:r>
                <w:r w:rsidR="00F179AD">
                  <w:rPr>
                    <w:rFonts w:ascii="宋体" w:hAnsi="宋体" w:cs="宋体"/>
                    <w:noProof/>
                    <w:sz w:val="28"/>
                    <w:szCs w:val="28"/>
                  </w:rPr>
                  <w:t>13</w:t>
                </w:r>
                <w:r w:rsidR="00F76604">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F76604">
    <w:pPr>
      <w:pStyle w:val="a5"/>
      <w:jc w:val="center"/>
    </w:pPr>
    <w:r>
      <w:pict>
        <v:shapetype id="_x0000_t202" coordsize="21600,21600" o:spt="202" path="m,l,21600r21600,l21600,xe">
          <v:stroke joinstyle="miter"/>
          <v:path gradientshapeok="t" o:connecttype="rect"/>
        </v:shapetype>
        <v:shape id="_x0000_s3084" type="#_x0000_t202" style="position:absolute;left:0;text-align:left;margin-left:624pt;margin-top:0;width:2in;height:2in;z-index:251661312;mso-wrap-style:none;mso-position-horizontal:outside;mso-position-horizontal-relative:margin" filled="f" stroked="f">
          <v:textbox style="mso-fit-shape-to-text:t" inset="0,0,0,0">
            <w:txbxContent>
              <w:p w:rsidR="003C25FB" w:rsidRDefault="00F21A6D">
                <w:pPr>
                  <w:pStyle w:val="a5"/>
                  <w:rPr>
                    <w:rFonts w:ascii="宋体" w:hAnsi="宋体" w:cs="宋体"/>
                    <w:sz w:val="28"/>
                    <w:szCs w:val="28"/>
                  </w:rPr>
                </w:pPr>
                <w:r>
                  <w:rPr>
                    <w:rFonts w:ascii="宋体" w:hAnsi="宋体" w:cs="宋体" w:hint="eastAsia"/>
                    <w:sz w:val="28"/>
                    <w:szCs w:val="28"/>
                  </w:rPr>
                  <w:t>—</w:t>
                </w:r>
                <w:r w:rsidR="00F766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76604">
                  <w:rPr>
                    <w:rFonts w:ascii="宋体" w:hAnsi="宋体" w:cs="宋体" w:hint="eastAsia"/>
                    <w:sz w:val="28"/>
                    <w:szCs w:val="28"/>
                  </w:rPr>
                  <w:fldChar w:fldCharType="separate"/>
                </w:r>
                <w:r w:rsidR="00F179AD">
                  <w:rPr>
                    <w:rFonts w:ascii="宋体" w:hAnsi="宋体" w:cs="宋体"/>
                    <w:noProof/>
                    <w:sz w:val="28"/>
                    <w:szCs w:val="28"/>
                  </w:rPr>
                  <w:t>14</w:t>
                </w:r>
                <w:r w:rsidR="00F76604">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F76604">
    <w:pPr>
      <w:pStyle w:val="a5"/>
      <w:jc w:val="center"/>
    </w:pPr>
    <w:r>
      <w:pict>
        <v:shapetype id="_x0000_t202" coordsize="21600,21600" o:spt="202" path="m,l,21600r21600,l21600,xe">
          <v:stroke joinstyle="miter"/>
          <v:path gradientshapeok="t" o:connecttype="rect"/>
        </v:shapetype>
        <v:shape id="_x0000_s3085" type="#_x0000_t202" style="position:absolute;left:0;text-align:left;margin-left:624pt;margin-top:0;width:2in;height:2in;z-index:251662336;mso-wrap-style:none;mso-position-horizontal:outside;mso-position-horizontal-relative:margin" filled="f" stroked="f">
          <v:textbox style="mso-fit-shape-to-text:t" inset="0,0,0,0">
            <w:txbxContent>
              <w:p w:rsidR="003C25FB" w:rsidRDefault="00F21A6D">
                <w:pPr>
                  <w:pStyle w:val="a5"/>
                  <w:rPr>
                    <w:rFonts w:ascii="宋体" w:hAnsi="宋体" w:cs="宋体"/>
                    <w:sz w:val="28"/>
                    <w:szCs w:val="28"/>
                  </w:rPr>
                </w:pPr>
                <w:r>
                  <w:rPr>
                    <w:rFonts w:ascii="宋体" w:hAnsi="宋体" w:cs="宋体" w:hint="eastAsia"/>
                    <w:sz w:val="28"/>
                    <w:szCs w:val="28"/>
                  </w:rPr>
                  <w:t>—</w:t>
                </w:r>
                <w:r w:rsidR="00F766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76604">
                  <w:rPr>
                    <w:rFonts w:ascii="宋体" w:hAnsi="宋体" w:cs="宋体" w:hint="eastAsia"/>
                    <w:sz w:val="28"/>
                    <w:szCs w:val="28"/>
                  </w:rPr>
                  <w:fldChar w:fldCharType="separate"/>
                </w:r>
                <w:r w:rsidR="00F179AD">
                  <w:rPr>
                    <w:rFonts w:ascii="宋体" w:hAnsi="宋体" w:cs="宋体"/>
                    <w:noProof/>
                    <w:sz w:val="28"/>
                    <w:szCs w:val="28"/>
                  </w:rPr>
                  <w:t>22</w:t>
                </w:r>
                <w:r w:rsidR="00F76604">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3C25FB">
    <w:pPr>
      <w:pStyle w:val="a5"/>
      <w:jc w:val="center"/>
    </w:pPr>
  </w:p>
  <w:p w:rsidR="003C25FB" w:rsidRDefault="003C25F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649" w:rsidRDefault="007A564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3C25FB">
    <w:pPr>
      <w:pStyle w:val="a5"/>
      <w:jc w:val="center"/>
    </w:pPr>
  </w:p>
  <w:p w:rsidR="003C25FB" w:rsidRDefault="003C25FB">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3C25FB">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3C25FB">
    <w:pPr>
      <w:pStyle w:val="a5"/>
      <w:jc w:val="center"/>
    </w:pPr>
  </w:p>
  <w:p w:rsidR="003C25FB" w:rsidRDefault="003C25FB">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3C25FB">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F76604">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624pt;margin-top:0;width:2in;height:2in;z-index:251659264;mso-wrap-style:none;mso-position-horizontal:outside;mso-position-horizontal-relative:margin" filled="f" stroked="f">
          <v:textbox style="mso-fit-shape-to-text:t" inset="0,0,0,0">
            <w:txbxContent>
              <w:p w:rsidR="003C25FB" w:rsidRDefault="00F21A6D">
                <w:pPr>
                  <w:pStyle w:val="a5"/>
                  <w:rPr>
                    <w:rFonts w:ascii="宋体" w:hAnsi="宋体" w:cs="宋体"/>
                    <w:sz w:val="28"/>
                    <w:szCs w:val="28"/>
                  </w:rPr>
                </w:pPr>
                <w:r>
                  <w:rPr>
                    <w:rFonts w:ascii="宋体" w:hAnsi="宋体" w:cs="宋体" w:hint="eastAsia"/>
                    <w:sz w:val="28"/>
                    <w:szCs w:val="28"/>
                  </w:rPr>
                  <w:t>—</w:t>
                </w:r>
                <w:r w:rsidR="00F7660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76604">
                  <w:rPr>
                    <w:rFonts w:ascii="宋体" w:hAnsi="宋体" w:cs="宋体" w:hint="eastAsia"/>
                    <w:sz w:val="28"/>
                    <w:szCs w:val="28"/>
                  </w:rPr>
                  <w:fldChar w:fldCharType="separate"/>
                </w:r>
                <w:r w:rsidR="00F179AD">
                  <w:rPr>
                    <w:rFonts w:ascii="宋体" w:hAnsi="宋体" w:cs="宋体"/>
                    <w:noProof/>
                    <w:sz w:val="28"/>
                    <w:szCs w:val="28"/>
                  </w:rPr>
                  <w:t>6</w:t>
                </w:r>
                <w:r w:rsidR="00F76604">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p w:rsidR="003C25FB" w:rsidRDefault="003C25FB">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3C25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F89" w:rsidRDefault="002A0F89" w:rsidP="003C25FB">
      <w:r>
        <w:separator/>
      </w:r>
    </w:p>
  </w:footnote>
  <w:footnote w:type="continuationSeparator" w:id="1">
    <w:p w:rsidR="002A0F89" w:rsidRDefault="002A0F89" w:rsidP="003C25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3C25F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3C25FB">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5FB" w:rsidRDefault="00F21A6D">
    <w:pPr>
      <w:pStyle w:val="a6"/>
      <w:pBdr>
        <w:bottom w:val="none" w:sz="0" w:space="1" w:color="auto"/>
      </w:pBdr>
      <w:tabs>
        <w:tab w:val="clear" w:pos="8306"/>
        <w:tab w:val="left" w:pos="4200"/>
        <w:tab w:val="left" w:pos="4620"/>
        <w:tab w:val="left" w:pos="5040"/>
        <w:tab w:val="left" w:pos="5460"/>
        <w:tab w:val="left" w:pos="5880"/>
        <w:tab w:val="left" w:pos="6300"/>
      </w:tabs>
      <w:jc w:val="left"/>
    </w:pPr>
    <w:r>
      <w:tab/>
    </w:r>
    <w:r>
      <w:tab/>
    </w:r>
    <w:r>
      <w:tab/>
    </w:r>
    <w:r>
      <w:tab/>
    </w:r>
    <w:r>
      <w:tab/>
    </w: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2899"/>
    <w:rsid w:val="000222C6"/>
    <w:rsid w:val="0002549F"/>
    <w:rsid w:val="00031858"/>
    <w:rsid w:val="00036C6E"/>
    <w:rsid w:val="00040059"/>
    <w:rsid w:val="00041DAF"/>
    <w:rsid w:val="000468DB"/>
    <w:rsid w:val="00050F6B"/>
    <w:rsid w:val="00052C81"/>
    <w:rsid w:val="0006487A"/>
    <w:rsid w:val="00065F8F"/>
    <w:rsid w:val="00066DBD"/>
    <w:rsid w:val="00070144"/>
    <w:rsid w:val="00070A43"/>
    <w:rsid w:val="00074270"/>
    <w:rsid w:val="000768F2"/>
    <w:rsid w:val="0008636F"/>
    <w:rsid w:val="0009180A"/>
    <w:rsid w:val="0009184B"/>
    <w:rsid w:val="0009317E"/>
    <w:rsid w:val="00094236"/>
    <w:rsid w:val="0009593C"/>
    <w:rsid w:val="00097322"/>
    <w:rsid w:val="000A3709"/>
    <w:rsid w:val="000A6A92"/>
    <w:rsid w:val="000B047F"/>
    <w:rsid w:val="000B3987"/>
    <w:rsid w:val="000B5923"/>
    <w:rsid w:val="000B5A48"/>
    <w:rsid w:val="000B6DEB"/>
    <w:rsid w:val="000B6FF3"/>
    <w:rsid w:val="000C0D1C"/>
    <w:rsid w:val="000C1CB6"/>
    <w:rsid w:val="000C3467"/>
    <w:rsid w:val="000C3CA6"/>
    <w:rsid w:val="000C5031"/>
    <w:rsid w:val="000C68C6"/>
    <w:rsid w:val="000C74DC"/>
    <w:rsid w:val="000C7628"/>
    <w:rsid w:val="000D1267"/>
    <w:rsid w:val="000D1D50"/>
    <w:rsid w:val="000D5782"/>
    <w:rsid w:val="000E1F25"/>
    <w:rsid w:val="000E6613"/>
    <w:rsid w:val="000E6974"/>
    <w:rsid w:val="000E7119"/>
    <w:rsid w:val="000F0E93"/>
    <w:rsid w:val="00105BAF"/>
    <w:rsid w:val="00114E9B"/>
    <w:rsid w:val="00115301"/>
    <w:rsid w:val="001207FF"/>
    <w:rsid w:val="00126206"/>
    <w:rsid w:val="00127A0B"/>
    <w:rsid w:val="001319E1"/>
    <w:rsid w:val="001409D2"/>
    <w:rsid w:val="0014219A"/>
    <w:rsid w:val="00142216"/>
    <w:rsid w:val="00144D6A"/>
    <w:rsid w:val="0014729F"/>
    <w:rsid w:val="00157BAB"/>
    <w:rsid w:val="00160444"/>
    <w:rsid w:val="00161F18"/>
    <w:rsid w:val="00164C57"/>
    <w:rsid w:val="001654D1"/>
    <w:rsid w:val="00174518"/>
    <w:rsid w:val="001773EC"/>
    <w:rsid w:val="0018106D"/>
    <w:rsid w:val="0018438F"/>
    <w:rsid w:val="001877A7"/>
    <w:rsid w:val="00190668"/>
    <w:rsid w:val="00191536"/>
    <w:rsid w:val="00196687"/>
    <w:rsid w:val="001A12C5"/>
    <w:rsid w:val="001A187B"/>
    <w:rsid w:val="001A31FC"/>
    <w:rsid w:val="001A526D"/>
    <w:rsid w:val="001A5706"/>
    <w:rsid w:val="001C0962"/>
    <w:rsid w:val="001C7B29"/>
    <w:rsid w:val="001D5046"/>
    <w:rsid w:val="001D7531"/>
    <w:rsid w:val="001E1592"/>
    <w:rsid w:val="001E50AF"/>
    <w:rsid w:val="001E737D"/>
    <w:rsid w:val="001F0592"/>
    <w:rsid w:val="001F2765"/>
    <w:rsid w:val="001F4398"/>
    <w:rsid w:val="001F7506"/>
    <w:rsid w:val="002006CD"/>
    <w:rsid w:val="002016B0"/>
    <w:rsid w:val="00202B36"/>
    <w:rsid w:val="0020404F"/>
    <w:rsid w:val="00204B7A"/>
    <w:rsid w:val="00204CDE"/>
    <w:rsid w:val="0021101A"/>
    <w:rsid w:val="002133D7"/>
    <w:rsid w:val="002139EE"/>
    <w:rsid w:val="002176AC"/>
    <w:rsid w:val="00220536"/>
    <w:rsid w:val="002355C3"/>
    <w:rsid w:val="00235629"/>
    <w:rsid w:val="002407C4"/>
    <w:rsid w:val="002413C1"/>
    <w:rsid w:val="002533A4"/>
    <w:rsid w:val="00256262"/>
    <w:rsid w:val="00260C38"/>
    <w:rsid w:val="002616C0"/>
    <w:rsid w:val="00265372"/>
    <w:rsid w:val="002662AA"/>
    <w:rsid w:val="002672E6"/>
    <w:rsid w:val="00267F84"/>
    <w:rsid w:val="00270011"/>
    <w:rsid w:val="0027682B"/>
    <w:rsid w:val="00280496"/>
    <w:rsid w:val="00284D79"/>
    <w:rsid w:val="00294DC9"/>
    <w:rsid w:val="00295495"/>
    <w:rsid w:val="002A050C"/>
    <w:rsid w:val="002A0F89"/>
    <w:rsid w:val="002A31DE"/>
    <w:rsid w:val="002B2613"/>
    <w:rsid w:val="002B4D97"/>
    <w:rsid w:val="002B6F9C"/>
    <w:rsid w:val="002C26B2"/>
    <w:rsid w:val="002D339D"/>
    <w:rsid w:val="002D6D05"/>
    <w:rsid w:val="002E3A9E"/>
    <w:rsid w:val="002F1818"/>
    <w:rsid w:val="002F567B"/>
    <w:rsid w:val="002F7496"/>
    <w:rsid w:val="003028CA"/>
    <w:rsid w:val="00303567"/>
    <w:rsid w:val="00305647"/>
    <w:rsid w:val="003109C9"/>
    <w:rsid w:val="003135EF"/>
    <w:rsid w:val="00317093"/>
    <w:rsid w:val="003216A9"/>
    <w:rsid w:val="003219E0"/>
    <w:rsid w:val="00331671"/>
    <w:rsid w:val="00332A6A"/>
    <w:rsid w:val="003358B4"/>
    <w:rsid w:val="00335A74"/>
    <w:rsid w:val="003551BE"/>
    <w:rsid w:val="00355772"/>
    <w:rsid w:val="00357888"/>
    <w:rsid w:val="0036561B"/>
    <w:rsid w:val="00365A12"/>
    <w:rsid w:val="0037013F"/>
    <w:rsid w:val="00375E9E"/>
    <w:rsid w:val="00376E88"/>
    <w:rsid w:val="00377F5A"/>
    <w:rsid w:val="00380C92"/>
    <w:rsid w:val="00383A2F"/>
    <w:rsid w:val="00392069"/>
    <w:rsid w:val="003942D4"/>
    <w:rsid w:val="003A484F"/>
    <w:rsid w:val="003A4883"/>
    <w:rsid w:val="003B0BE0"/>
    <w:rsid w:val="003B0C1B"/>
    <w:rsid w:val="003B1A88"/>
    <w:rsid w:val="003B688C"/>
    <w:rsid w:val="003B758D"/>
    <w:rsid w:val="003B7801"/>
    <w:rsid w:val="003C0291"/>
    <w:rsid w:val="003C25FB"/>
    <w:rsid w:val="003C39AE"/>
    <w:rsid w:val="003C4699"/>
    <w:rsid w:val="003C7B60"/>
    <w:rsid w:val="003D0C0F"/>
    <w:rsid w:val="003D1EBB"/>
    <w:rsid w:val="003D1FAB"/>
    <w:rsid w:val="003D1FB2"/>
    <w:rsid w:val="003D5029"/>
    <w:rsid w:val="003D66DA"/>
    <w:rsid w:val="003E1310"/>
    <w:rsid w:val="003E170A"/>
    <w:rsid w:val="003E2788"/>
    <w:rsid w:val="003E6F55"/>
    <w:rsid w:val="003F2ABB"/>
    <w:rsid w:val="003F5618"/>
    <w:rsid w:val="00400025"/>
    <w:rsid w:val="00406254"/>
    <w:rsid w:val="00410EDD"/>
    <w:rsid w:val="00414CAE"/>
    <w:rsid w:val="004223DE"/>
    <w:rsid w:val="004241FE"/>
    <w:rsid w:val="004276B3"/>
    <w:rsid w:val="00434489"/>
    <w:rsid w:val="00437085"/>
    <w:rsid w:val="00442A19"/>
    <w:rsid w:val="00443880"/>
    <w:rsid w:val="0044604B"/>
    <w:rsid w:val="004464F4"/>
    <w:rsid w:val="00450186"/>
    <w:rsid w:val="004502DC"/>
    <w:rsid w:val="004512D9"/>
    <w:rsid w:val="00453FBE"/>
    <w:rsid w:val="00457569"/>
    <w:rsid w:val="00457840"/>
    <w:rsid w:val="004612ED"/>
    <w:rsid w:val="00471401"/>
    <w:rsid w:val="00473A72"/>
    <w:rsid w:val="00473F31"/>
    <w:rsid w:val="00474406"/>
    <w:rsid w:val="0048263A"/>
    <w:rsid w:val="00485B6D"/>
    <w:rsid w:val="00487E5D"/>
    <w:rsid w:val="00491215"/>
    <w:rsid w:val="0049402A"/>
    <w:rsid w:val="004A02DD"/>
    <w:rsid w:val="004A3D10"/>
    <w:rsid w:val="004A4862"/>
    <w:rsid w:val="004A711F"/>
    <w:rsid w:val="004A7504"/>
    <w:rsid w:val="004B199D"/>
    <w:rsid w:val="004B4690"/>
    <w:rsid w:val="004C2026"/>
    <w:rsid w:val="004C6DE1"/>
    <w:rsid w:val="004D5C5F"/>
    <w:rsid w:val="004E0A2D"/>
    <w:rsid w:val="004E1BEE"/>
    <w:rsid w:val="004E206B"/>
    <w:rsid w:val="004E568D"/>
    <w:rsid w:val="004E5F1E"/>
    <w:rsid w:val="004E6DF7"/>
    <w:rsid w:val="004E7BF0"/>
    <w:rsid w:val="004F0FBD"/>
    <w:rsid w:val="004F3E09"/>
    <w:rsid w:val="0050462B"/>
    <w:rsid w:val="00505A47"/>
    <w:rsid w:val="00505AD4"/>
    <w:rsid w:val="00511549"/>
    <w:rsid w:val="0051181A"/>
    <w:rsid w:val="00512FDA"/>
    <w:rsid w:val="00514167"/>
    <w:rsid w:val="00514F08"/>
    <w:rsid w:val="00520899"/>
    <w:rsid w:val="00520DA0"/>
    <w:rsid w:val="005269D7"/>
    <w:rsid w:val="00527DCF"/>
    <w:rsid w:val="0053412F"/>
    <w:rsid w:val="0053774A"/>
    <w:rsid w:val="0054784D"/>
    <w:rsid w:val="0055279D"/>
    <w:rsid w:val="005535E2"/>
    <w:rsid w:val="00557185"/>
    <w:rsid w:val="00563529"/>
    <w:rsid w:val="00563A56"/>
    <w:rsid w:val="005664BB"/>
    <w:rsid w:val="00566FFA"/>
    <w:rsid w:val="00574587"/>
    <w:rsid w:val="0057481D"/>
    <w:rsid w:val="00575F0C"/>
    <w:rsid w:val="00580134"/>
    <w:rsid w:val="005846A8"/>
    <w:rsid w:val="0058486E"/>
    <w:rsid w:val="00585B33"/>
    <w:rsid w:val="0059014D"/>
    <w:rsid w:val="00594F51"/>
    <w:rsid w:val="005A0772"/>
    <w:rsid w:val="005A59A0"/>
    <w:rsid w:val="005B2013"/>
    <w:rsid w:val="005B5C64"/>
    <w:rsid w:val="005C38D7"/>
    <w:rsid w:val="005C4C7C"/>
    <w:rsid w:val="005C5337"/>
    <w:rsid w:val="005C6BD0"/>
    <w:rsid w:val="005D1C8B"/>
    <w:rsid w:val="005D39EF"/>
    <w:rsid w:val="005D468D"/>
    <w:rsid w:val="005D5CED"/>
    <w:rsid w:val="005D6B25"/>
    <w:rsid w:val="005E445B"/>
    <w:rsid w:val="005F1A4C"/>
    <w:rsid w:val="005F2F24"/>
    <w:rsid w:val="005F53F4"/>
    <w:rsid w:val="00600961"/>
    <w:rsid w:val="00605688"/>
    <w:rsid w:val="006070AF"/>
    <w:rsid w:val="00607E6C"/>
    <w:rsid w:val="006101B1"/>
    <w:rsid w:val="00614E44"/>
    <w:rsid w:val="0062270A"/>
    <w:rsid w:val="00622830"/>
    <w:rsid w:val="00623DA0"/>
    <w:rsid w:val="00625BB4"/>
    <w:rsid w:val="00630AEF"/>
    <w:rsid w:val="006325F8"/>
    <w:rsid w:val="00633463"/>
    <w:rsid w:val="006340CC"/>
    <w:rsid w:val="00634C9A"/>
    <w:rsid w:val="0064071E"/>
    <w:rsid w:val="006426EE"/>
    <w:rsid w:val="006440E4"/>
    <w:rsid w:val="00644A0E"/>
    <w:rsid w:val="00645D0C"/>
    <w:rsid w:val="00650BA3"/>
    <w:rsid w:val="00651161"/>
    <w:rsid w:val="00655A00"/>
    <w:rsid w:val="00657F0F"/>
    <w:rsid w:val="0066343B"/>
    <w:rsid w:val="00664777"/>
    <w:rsid w:val="00671CE4"/>
    <w:rsid w:val="006748A4"/>
    <w:rsid w:val="00681A31"/>
    <w:rsid w:val="00683E73"/>
    <w:rsid w:val="00685641"/>
    <w:rsid w:val="00693A64"/>
    <w:rsid w:val="00694C9F"/>
    <w:rsid w:val="006A2C5A"/>
    <w:rsid w:val="006A3141"/>
    <w:rsid w:val="006A5E34"/>
    <w:rsid w:val="006B2422"/>
    <w:rsid w:val="006B264F"/>
    <w:rsid w:val="006B2B9A"/>
    <w:rsid w:val="006C1937"/>
    <w:rsid w:val="006C5EBE"/>
    <w:rsid w:val="006D2C79"/>
    <w:rsid w:val="006E2DCA"/>
    <w:rsid w:val="006F020C"/>
    <w:rsid w:val="006F21C7"/>
    <w:rsid w:val="006F4238"/>
    <w:rsid w:val="006F5ABA"/>
    <w:rsid w:val="006F6425"/>
    <w:rsid w:val="00704280"/>
    <w:rsid w:val="007127B7"/>
    <w:rsid w:val="0071594B"/>
    <w:rsid w:val="00716DBD"/>
    <w:rsid w:val="0071798E"/>
    <w:rsid w:val="00720C41"/>
    <w:rsid w:val="0072226B"/>
    <w:rsid w:val="0072774C"/>
    <w:rsid w:val="00730820"/>
    <w:rsid w:val="0074096A"/>
    <w:rsid w:val="007416B6"/>
    <w:rsid w:val="00742018"/>
    <w:rsid w:val="00746F48"/>
    <w:rsid w:val="0075404D"/>
    <w:rsid w:val="00755181"/>
    <w:rsid w:val="00755D19"/>
    <w:rsid w:val="007601C4"/>
    <w:rsid w:val="0076182A"/>
    <w:rsid w:val="007639D9"/>
    <w:rsid w:val="00767B7E"/>
    <w:rsid w:val="00771ABA"/>
    <w:rsid w:val="00773AEB"/>
    <w:rsid w:val="007752FA"/>
    <w:rsid w:val="007770C3"/>
    <w:rsid w:val="00784D24"/>
    <w:rsid w:val="00785FBA"/>
    <w:rsid w:val="00786E4A"/>
    <w:rsid w:val="007875EB"/>
    <w:rsid w:val="00792B3D"/>
    <w:rsid w:val="00792C2A"/>
    <w:rsid w:val="0079426B"/>
    <w:rsid w:val="007A056C"/>
    <w:rsid w:val="007A5649"/>
    <w:rsid w:val="007B57F1"/>
    <w:rsid w:val="007D1682"/>
    <w:rsid w:val="007D312A"/>
    <w:rsid w:val="007D3F19"/>
    <w:rsid w:val="007E1D0C"/>
    <w:rsid w:val="007E23B0"/>
    <w:rsid w:val="007E23E5"/>
    <w:rsid w:val="007E5EDE"/>
    <w:rsid w:val="007F1991"/>
    <w:rsid w:val="007F1DA0"/>
    <w:rsid w:val="007F2C2F"/>
    <w:rsid w:val="007F35CA"/>
    <w:rsid w:val="007F55FC"/>
    <w:rsid w:val="007F5665"/>
    <w:rsid w:val="00800112"/>
    <w:rsid w:val="008001A5"/>
    <w:rsid w:val="00800329"/>
    <w:rsid w:val="00805CC2"/>
    <w:rsid w:val="008102FC"/>
    <w:rsid w:val="008107D7"/>
    <w:rsid w:val="00813348"/>
    <w:rsid w:val="00814D99"/>
    <w:rsid w:val="00817AAA"/>
    <w:rsid w:val="008253BB"/>
    <w:rsid w:val="00827294"/>
    <w:rsid w:val="00831BFE"/>
    <w:rsid w:val="008360AB"/>
    <w:rsid w:val="0083706E"/>
    <w:rsid w:val="008408F6"/>
    <w:rsid w:val="008423A5"/>
    <w:rsid w:val="00847541"/>
    <w:rsid w:val="00850625"/>
    <w:rsid w:val="008530F7"/>
    <w:rsid w:val="00853718"/>
    <w:rsid w:val="008544EF"/>
    <w:rsid w:val="00855221"/>
    <w:rsid w:val="00855A9A"/>
    <w:rsid w:val="00860645"/>
    <w:rsid w:val="00871F71"/>
    <w:rsid w:val="008726DE"/>
    <w:rsid w:val="00872FD8"/>
    <w:rsid w:val="00875234"/>
    <w:rsid w:val="008846CC"/>
    <w:rsid w:val="00885AF4"/>
    <w:rsid w:val="00890008"/>
    <w:rsid w:val="008939CD"/>
    <w:rsid w:val="008A0751"/>
    <w:rsid w:val="008A746B"/>
    <w:rsid w:val="008B768C"/>
    <w:rsid w:val="008C4DB1"/>
    <w:rsid w:val="008C4EAF"/>
    <w:rsid w:val="008C5176"/>
    <w:rsid w:val="008C7FD0"/>
    <w:rsid w:val="008D0E86"/>
    <w:rsid w:val="008D68EC"/>
    <w:rsid w:val="008E0AAB"/>
    <w:rsid w:val="008E1DE7"/>
    <w:rsid w:val="008E707C"/>
    <w:rsid w:val="008F281A"/>
    <w:rsid w:val="008F29E7"/>
    <w:rsid w:val="008F6582"/>
    <w:rsid w:val="008F6765"/>
    <w:rsid w:val="00900B08"/>
    <w:rsid w:val="00902155"/>
    <w:rsid w:val="00902FA3"/>
    <w:rsid w:val="00904C45"/>
    <w:rsid w:val="00907138"/>
    <w:rsid w:val="00915D16"/>
    <w:rsid w:val="009171CB"/>
    <w:rsid w:val="00923564"/>
    <w:rsid w:val="0092392E"/>
    <w:rsid w:val="009315F9"/>
    <w:rsid w:val="00933499"/>
    <w:rsid w:val="009334D8"/>
    <w:rsid w:val="00935849"/>
    <w:rsid w:val="00935C98"/>
    <w:rsid w:val="0093691E"/>
    <w:rsid w:val="009458AC"/>
    <w:rsid w:val="00946945"/>
    <w:rsid w:val="00947F70"/>
    <w:rsid w:val="00951248"/>
    <w:rsid w:val="0095152F"/>
    <w:rsid w:val="009529E1"/>
    <w:rsid w:val="0095471B"/>
    <w:rsid w:val="00954C49"/>
    <w:rsid w:val="00955E37"/>
    <w:rsid w:val="00966C72"/>
    <w:rsid w:val="00970571"/>
    <w:rsid w:val="00970612"/>
    <w:rsid w:val="0097099F"/>
    <w:rsid w:val="00971997"/>
    <w:rsid w:val="00971FFC"/>
    <w:rsid w:val="00974AD5"/>
    <w:rsid w:val="00983647"/>
    <w:rsid w:val="00984C06"/>
    <w:rsid w:val="0098660A"/>
    <w:rsid w:val="00991AE8"/>
    <w:rsid w:val="00991B64"/>
    <w:rsid w:val="009931C3"/>
    <w:rsid w:val="009B2C43"/>
    <w:rsid w:val="009B4EAE"/>
    <w:rsid w:val="009B63E2"/>
    <w:rsid w:val="009B6E66"/>
    <w:rsid w:val="009B7573"/>
    <w:rsid w:val="009C0BEF"/>
    <w:rsid w:val="009C22F4"/>
    <w:rsid w:val="009C2A4B"/>
    <w:rsid w:val="009C2E98"/>
    <w:rsid w:val="009D03C5"/>
    <w:rsid w:val="009D0BA1"/>
    <w:rsid w:val="009D3447"/>
    <w:rsid w:val="009D4711"/>
    <w:rsid w:val="009D6CB0"/>
    <w:rsid w:val="009E2DD5"/>
    <w:rsid w:val="009F063B"/>
    <w:rsid w:val="009F1185"/>
    <w:rsid w:val="009F18CD"/>
    <w:rsid w:val="009F2A13"/>
    <w:rsid w:val="009F2C94"/>
    <w:rsid w:val="009F6D4C"/>
    <w:rsid w:val="009F7527"/>
    <w:rsid w:val="00A0476F"/>
    <w:rsid w:val="00A04EB0"/>
    <w:rsid w:val="00A0658A"/>
    <w:rsid w:val="00A13CC1"/>
    <w:rsid w:val="00A16847"/>
    <w:rsid w:val="00A1684B"/>
    <w:rsid w:val="00A16C56"/>
    <w:rsid w:val="00A17589"/>
    <w:rsid w:val="00A237D8"/>
    <w:rsid w:val="00A247E9"/>
    <w:rsid w:val="00A268C4"/>
    <w:rsid w:val="00A27A90"/>
    <w:rsid w:val="00A307CD"/>
    <w:rsid w:val="00A307E2"/>
    <w:rsid w:val="00A316C6"/>
    <w:rsid w:val="00A32AB2"/>
    <w:rsid w:val="00A331C8"/>
    <w:rsid w:val="00A40A00"/>
    <w:rsid w:val="00A4142F"/>
    <w:rsid w:val="00A422EB"/>
    <w:rsid w:val="00A430EE"/>
    <w:rsid w:val="00A45BB7"/>
    <w:rsid w:val="00A56DF2"/>
    <w:rsid w:val="00A56E6E"/>
    <w:rsid w:val="00A61D8A"/>
    <w:rsid w:val="00A67AB5"/>
    <w:rsid w:val="00A67D49"/>
    <w:rsid w:val="00A733B2"/>
    <w:rsid w:val="00A73BBB"/>
    <w:rsid w:val="00A741C2"/>
    <w:rsid w:val="00A800ED"/>
    <w:rsid w:val="00A870F5"/>
    <w:rsid w:val="00A91760"/>
    <w:rsid w:val="00A93B00"/>
    <w:rsid w:val="00A93C21"/>
    <w:rsid w:val="00A9419C"/>
    <w:rsid w:val="00AA7681"/>
    <w:rsid w:val="00AB15F8"/>
    <w:rsid w:val="00AB503C"/>
    <w:rsid w:val="00AB530D"/>
    <w:rsid w:val="00AB64C9"/>
    <w:rsid w:val="00AB660B"/>
    <w:rsid w:val="00AB6F55"/>
    <w:rsid w:val="00AC00B5"/>
    <w:rsid w:val="00AC106A"/>
    <w:rsid w:val="00AC3C6A"/>
    <w:rsid w:val="00AC44DD"/>
    <w:rsid w:val="00AD5620"/>
    <w:rsid w:val="00AD656B"/>
    <w:rsid w:val="00AD7C1B"/>
    <w:rsid w:val="00AE16BA"/>
    <w:rsid w:val="00AE1EBE"/>
    <w:rsid w:val="00AE7FB9"/>
    <w:rsid w:val="00AF3E53"/>
    <w:rsid w:val="00AF6494"/>
    <w:rsid w:val="00B02515"/>
    <w:rsid w:val="00B03C9D"/>
    <w:rsid w:val="00B05253"/>
    <w:rsid w:val="00B060AE"/>
    <w:rsid w:val="00B076DE"/>
    <w:rsid w:val="00B10517"/>
    <w:rsid w:val="00B14E76"/>
    <w:rsid w:val="00B161B8"/>
    <w:rsid w:val="00B16EFA"/>
    <w:rsid w:val="00B2048C"/>
    <w:rsid w:val="00B23630"/>
    <w:rsid w:val="00B310B9"/>
    <w:rsid w:val="00B32FE4"/>
    <w:rsid w:val="00B353AD"/>
    <w:rsid w:val="00B35F3F"/>
    <w:rsid w:val="00B36CBB"/>
    <w:rsid w:val="00B37363"/>
    <w:rsid w:val="00B41543"/>
    <w:rsid w:val="00B425E0"/>
    <w:rsid w:val="00B440AA"/>
    <w:rsid w:val="00B44B70"/>
    <w:rsid w:val="00B51DEB"/>
    <w:rsid w:val="00B537D0"/>
    <w:rsid w:val="00B53C56"/>
    <w:rsid w:val="00B57DAF"/>
    <w:rsid w:val="00B62E49"/>
    <w:rsid w:val="00B63B04"/>
    <w:rsid w:val="00B77757"/>
    <w:rsid w:val="00B77B7F"/>
    <w:rsid w:val="00B77EA6"/>
    <w:rsid w:val="00B81598"/>
    <w:rsid w:val="00B841F1"/>
    <w:rsid w:val="00B85A33"/>
    <w:rsid w:val="00B85A58"/>
    <w:rsid w:val="00B90E4E"/>
    <w:rsid w:val="00B922C2"/>
    <w:rsid w:val="00B944D6"/>
    <w:rsid w:val="00B965DC"/>
    <w:rsid w:val="00BA5C5F"/>
    <w:rsid w:val="00BB2EA4"/>
    <w:rsid w:val="00BB32AC"/>
    <w:rsid w:val="00BB4DF0"/>
    <w:rsid w:val="00BB5CA0"/>
    <w:rsid w:val="00BB72F4"/>
    <w:rsid w:val="00BC289F"/>
    <w:rsid w:val="00BC2D50"/>
    <w:rsid w:val="00BC5361"/>
    <w:rsid w:val="00BC5460"/>
    <w:rsid w:val="00BC6267"/>
    <w:rsid w:val="00BC6B50"/>
    <w:rsid w:val="00BD0E25"/>
    <w:rsid w:val="00BD1612"/>
    <w:rsid w:val="00BD20C7"/>
    <w:rsid w:val="00BD2BBB"/>
    <w:rsid w:val="00BD58E1"/>
    <w:rsid w:val="00BD5FA1"/>
    <w:rsid w:val="00BD6679"/>
    <w:rsid w:val="00BE44A0"/>
    <w:rsid w:val="00BE54AA"/>
    <w:rsid w:val="00BF172F"/>
    <w:rsid w:val="00BF5BD6"/>
    <w:rsid w:val="00C00EFF"/>
    <w:rsid w:val="00C0172D"/>
    <w:rsid w:val="00C019EF"/>
    <w:rsid w:val="00C03E31"/>
    <w:rsid w:val="00C07F69"/>
    <w:rsid w:val="00C123F9"/>
    <w:rsid w:val="00C25656"/>
    <w:rsid w:val="00C33E72"/>
    <w:rsid w:val="00C354B2"/>
    <w:rsid w:val="00C35554"/>
    <w:rsid w:val="00C3659A"/>
    <w:rsid w:val="00C375D8"/>
    <w:rsid w:val="00C40F44"/>
    <w:rsid w:val="00C42709"/>
    <w:rsid w:val="00C43FF1"/>
    <w:rsid w:val="00C533CC"/>
    <w:rsid w:val="00C5751C"/>
    <w:rsid w:val="00C60B25"/>
    <w:rsid w:val="00C61BFC"/>
    <w:rsid w:val="00C62B85"/>
    <w:rsid w:val="00C65438"/>
    <w:rsid w:val="00C77690"/>
    <w:rsid w:val="00C8598A"/>
    <w:rsid w:val="00C8626B"/>
    <w:rsid w:val="00C87FD8"/>
    <w:rsid w:val="00C911C7"/>
    <w:rsid w:val="00C91381"/>
    <w:rsid w:val="00C91CBB"/>
    <w:rsid w:val="00C93A47"/>
    <w:rsid w:val="00C95117"/>
    <w:rsid w:val="00CA1E05"/>
    <w:rsid w:val="00CA59C7"/>
    <w:rsid w:val="00CA604D"/>
    <w:rsid w:val="00CB29AD"/>
    <w:rsid w:val="00CB4E70"/>
    <w:rsid w:val="00CC09B6"/>
    <w:rsid w:val="00CC2B47"/>
    <w:rsid w:val="00CC6568"/>
    <w:rsid w:val="00CC666F"/>
    <w:rsid w:val="00CC7196"/>
    <w:rsid w:val="00CD1E3F"/>
    <w:rsid w:val="00CE3BD5"/>
    <w:rsid w:val="00CE44F6"/>
    <w:rsid w:val="00CE49DA"/>
    <w:rsid w:val="00CE4A01"/>
    <w:rsid w:val="00CE5756"/>
    <w:rsid w:val="00CE7B61"/>
    <w:rsid w:val="00CF5193"/>
    <w:rsid w:val="00CF5F98"/>
    <w:rsid w:val="00CF7D4C"/>
    <w:rsid w:val="00D00095"/>
    <w:rsid w:val="00D04300"/>
    <w:rsid w:val="00D114F0"/>
    <w:rsid w:val="00D125C7"/>
    <w:rsid w:val="00D20620"/>
    <w:rsid w:val="00D24054"/>
    <w:rsid w:val="00D24ADE"/>
    <w:rsid w:val="00D254F7"/>
    <w:rsid w:val="00D25FAE"/>
    <w:rsid w:val="00D26091"/>
    <w:rsid w:val="00D2685C"/>
    <w:rsid w:val="00D322D5"/>
    <w:rsid w:val="00D34E7C"/>
    <w:rsid w:val="00D35489"/>
    <w:rsid w:val="00D36AFE"/>
    <w:rsid w:val="00D37C98"/>
    <w:rsid w:val="00D41279"/>
    <w:rsid w:val="00D43AC9"/>
    <w:rsid w:val="00D4619B"/>
    <w:rsid w:val="00D51276"/>
    <w:rsid w:val="00D5300F"/>
    <w:rsid w:val="00D56F8C"/>
    <w:rsid w:val="00D57CA0"/>
    <w:rsid w:val="00D63AEA"/>
    <w:rsid w:val="00D64243"/>
    <w:rsid w:val="00D673D6"/>
    <w:rsid w:val="00D7035F"/>
    <w:rsid w:val="00D765E4"/>
    <w:rsid w:val="00D80A0E"/>
    <w:rsid w:val="00D91F52"/>
    <w:rsid w:val="00D93F3F"/>
    <w:rsid w:val="00D97BA4"/>
    <w:rsid w:val="00DA634F"/>
    <w:rsid w:val="00DA65AC"/>
    <w:rsid w:val="00DB1913"/>
    <w:rsid w:val="00DB1CBE"/>
    <w:rsid w:val="00DB40B3"/>
    <w:rsid w:val="00DB7C83"/>
    <w:rsid w:val="00DC20FD"/>
    <w:rsid w:val="00DC410D"/>
    <w:rsid w:val="00DC5A81"/>
    <w:rsid w:val="00DC68CA"/>
    <w:rsid w:val="00DC7CBA"/>
    <w:rsid w:val="00DD32B1"/>
    <w:rsid w:val="00DD73B7"/>
    <w:rsid w:val="00DE169D"/>
    <w:rsid w:val="00DE188B"/>
    <w:rsid w:val="00DF25A6"/>
    <w:rsid w:val="00DF28BC"/>
    <w:rsid w:val="00DF2A58"/>
    <w:rsid w:val="00DF34B9"/>
    <w:rsid w:val="00DF4825"/>
    <w:rsid w:val="00DF56BB"/>
    <w:rsid w:val="00E01053"/>
    <w:rsid w:val="00E0549A"/>
    <w:rsid w:val="00E05BED"/>
    <w:rsid w:val="00E07ACF"/>
    <w:rsid w:val="00E13E41"/>
    <w:rsid w:val="00E169CC"/>
    <w:rsid w:val="00E27A14"/>
    <w:rsid w:val="00E32CAD"/>
    <w:rsid w:val="00E331A1"/>
    <w:rsid w:val="00E33202"/>
    <w:rsid w:val="00E336A9"/>
    <w:rsid w:val="00E34FA2"/>
    <w:rsid w:val="00E351A3"/>
    <w:rsid w:val="00E44A13"/>
    <w:rsid w:val="00E472B1"/>
    <w:rsid w:val="00E50624"/>
    <w:rsid w:val="00E5131A"/>
    <w:rsid w:val="00E568DF"/>
    <w:rsid w:val="00E6178E"/>
    <w:rsid w:val="00E64269"/>
    <w:rsid w:val="00E6615C"/>
    <w:rsid w:val="00E67140"/>
    <w:rsid w:val="00E82267"/>
    <w:rsid w:val="00E853CE"/>
    <w:rsid w:val="00E867B6"/>
    <w:rsid w:val="00E92C90"/>
    <w:rsid w:val="00E94D53"/>
    <w:rsid w:val="00E94F0F"/>
    <w:rsid w:val="00E95C7D"/>
    <w:rsid w:val="00EA010F"/>
    <w:rsid w:val="00EB46E0"/>
    <w:rsid w:val="00EB6E28"/>
    <w:rsid w:val="00EC0CD5"/>
    <w:rsid w:val="00EC4F8F"/>
    <w:rsid w:val="00ED1B63"/>
    <w:rsid w:val="00ED3C1F"/>
    <w:rsid w:val="00ED4085"/>
    <w:rsid w:val="00ED415F"/>
    <w:rsid w:val="00ED420E"/>
    <w:rsid w:val="00ED6FBE"/>
    <w:rsid w:val="00EE14EE"/>
    <w:rsid w:val="00EE2F57"/>
    <w:rsid w:val="00EF4C34"/>
    <w:rsid w:val="00EF4DDA"/>
    <w:rsid w:val="00EF60EF"/>
    <w:rsid w:val="00EF720F"/>
    <w:rsid w:val="00EF77C6"/>
    <w:rsid w:val="00F03D40"/>
    <w:rsid w:val="00F05438"/>
    <w:rsid w:val="00F06894"/>
    <w:rsid w:val="00F0772B"/>
    <w:rsid w:val="00F1361C"/>
    <w:rsid w:val="00F13713"/>
    <w:rsid w:val="00F156F0"/>
    <w:rsid w:val="00F160C7"/>
    <w:rsid w:val="00F179AD"/>
    <w:rsid w:val="00F17A74"/>
    <w:rsid w:val="00F21A6D"/>
    <w:rsid w:val="00F2408F"/>
    <w:rsid w:val="00F240E9"/>
    <w:rsid w:val="00F26F54"/>
    <w:rsid w:val="00F272B7"/>
    <w:rsid w:val="00F274D9"/>
    <w:rsid w:val="00F36D8F"/>
    <w:rsid w:val="00F417B1"/>
    <w:rsid w:val="00F45853"/>
    <w:rsid w:val="00F477E4"/>
    <w:rsid w:val="00F5346A"/>
    <w:rsid w:val="00F53C9B"/>
    <w:rsid w:val="00F555BB"/>
    <w:rsid w:val="00F602DF"/>
    <w:rsid w:val="00F616A4"/>
    <w:rsid w:val="00F636AC"/>
    <w:rsid w:val="00F65E8A"/>
    <w:rsid w:val="00F66BE5"/>
    <w:rsid w:val="00F6715D"/>
    <w:rsid w:val="00F7218E"/>
    <w:rsid w:val="00F754A1"/>
    <w:rsid w:val="00F76604"/>
    <w:rsid w:val="00F81FD9"/>
    <w:rsid w:val="00F841AA"/>
    <w:rsid w:val="00F84214"/>
    <w:rsid w:val="00F84A94"/>
    <w:rsid w:val="00F87E96"/>
    <w:rsid w:val="00F907EA"/>
    <w:rsid w:val="00F919B9"/>
    <w:rsid w:val="00FA23E8"/>
    <w:rsid w:val="00FA31C6"/>
    <w:rsid w:val="00FA3919"/>
    <w:rsid w:val="00FA5F07"/>
    <w:rsid w:val="00FA7070"/>
    <w:rsid w:val="00FB336E"/>
    <w:rsid w:val="00FB3DD0"/>
    <w:rsid w:val="00FB5F30"/>
    <w:rsid w:val="00FC09E7"/>
    <w:rsid w:val="00FC5A6B"/>
    <w:rsid w:val="00FD3CC1"/>
    <w:rsid w:val="00FD4613"/>
    <w:rsid w:val="00FE22CB"/>
    <w:rsid w:val="00FE4F4B"/>
    <w:rsid w:val="00FE6B4E"/>
    <w:rsid w:val="00FF1E02"/>
    <w:rsid w:val="00FF30B4"/>
    <w:rsid w:val="00FF3E44"/>
    <w:rsid w:val="00FF73DA"/>
    <w:rsid w:val="0A2032A3"/>
    <w:rsid w:val="10C055FF"/>
    <w:rsid w:val="118107EC"/>
    <w:rsid w:val="11F54CEB"/>
    <w:rsid w:val="16BB723D"/>
    <w:rsid w:val="1D155CEE"/>
    <w:rsid w:val="240371BF"/>
    <w:rsid w:val="27FD758D"/>
    <w:rsid w:val="29FD04D3"/>
    <w:rsid w:val="2B5A40D8"/>
    <w:rsid w:val="319F7F4E"/>
    <w:rsid w:val="3DEE095C"/>
    <w:rsid w:val="4ECE2238"/>
    <w:rsid w:val="50C52105"/>
    <w:rsid w:val="6C4A05C8"/>
    <w:rsid w:val="72734D90"/>
    <w:rsid w:val="740344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5FB"/>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3C25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C25F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C25F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C25FB"/>
    <w:pPr>
      <w:spacing w:beforeLines="30"/>
    </w:pPr>
    <w:rPr>
      <w:rFonts w:ascii="仿宋_GB2312" w:eastAsia="仿宋_GB2312"/>
      <w:kern w:val="0"/>
      <w:sz w:val="24"/>
      <w:szCs w:val="20"/>
    </w:rPr>
  </w:style>
  <w:style w:type="paragraph" w:styleId="30">
    <w:name w:val="toc 3"/>
    <w:basedOn w:val="a"/>
    <w:next w:val="a"/>
    <w:uiPriority w:val="39"/>
    <w:unhideWhenUsed/>
    <w:qFormat/>
    <w:rsid w:val="003C25FB"/>
    <w:pPr>
      <w:tabs>
        <w:tab w:val="right" w:leader="dot" w:pos="8296"/>
      </w:tabs>
      <w:ind w:leftChars="400" w:left="840"/>
    </w:pPr>
  </w:style>
  <w:style w:type="paragraph" w:styleId="a4">
    <w:name w:val="Balloon Text"/>
    <w:basedOn w:val="a"/>
    <w:link w:val="Char0"/>
    <w:uiPriority w:val="99"/>
    <w:semiHidden/>
    <w:unhideWhenUsed/>
    <w:qFormat/>
    <w:rsid w:val="003C25FB"/>
    <w:rPr>
      <w:sz w:val="18"/>
      <w:szCs w:val="18"/>
    </w:rPr>
  </w:style>
  <w:style w:type="paragraph" w:styleId="a5">
    <w:name w:val="footer"/>
    <w:basedOn w:val="a"/>
    <w:link w:val="Char1"/>
    <w:uiPriority w:val="99"/>
    <w:qFormat/>
    <w:rsid w:val="003C25FB"/>
    <w:pPr>
      <w:tabs>
        <w:tab w:val="center" w:pos="4153"/>
        <w:tab w:val="right" w:pos="8306"/>
      </w:tabs>
      <w:snapToGrid w:val="0"/>
      <w:jc w:val="left"/>
    </w:pPr>
    <w:rPr>
      <w:rFonts w:ascii="Calibri" w:hAnsi="Calibri"/>
      <w:kern w:val="0"/>
      <w:sz w:val="18"/>
      <w:szCs w:val="20"/>
    </w:rPr>
  </w:style>
  <w:style w:type="paragraph" w:styleId="a6">
    <w:name w:val="header"/>
    <w:basedOn w:val="a"/>
    <w:link w:val="Char2"/>
    <w:uiPriority w:val="99"/>
    <w:semiHidden/>
    <w:qFormat/>
    <w:rsid w:val="003C25FB"/>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99"/>
    <w:unhideWhenUsed/>
    <w:qFormat/>
    <w:rsid w:val="003C25F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C25FB"/>
    <w:pPr>
      <w:tabs>
        <w:tab w:val="right" w:leader="dot" w:pos="8296"/>
      </w:tabs>
      <w:ind w:leftChars="200" w:left="420"/>
    </w:pPr>
  </w:style>
  <w:style w:type="character" w:styleId="a7">
    <w:name w:val="Strong"/>
    <w:basedOn w:val="a0"/>
    <w:uiPriority w:val="99"/>
    <w:qFormat/>
    <w:rsid w:val="003C25FB"/>
    <w:rPr>
      <w:rFonts w:cs="Times New Roman"/>
      <w:b/>
    </w:rPr>
  </w:style>
  <w:style w:type="character" w:styleId="a8">
    <w:name w:val="Hyperlink"/>
    <w:basedOn w:val="a0"/>
    <w:uiPriority w:val="99"/>
    <w:unhideWhenUsed/>
    <w:qFormat/>
    <w:rsid w:val="003C25FB"/>
    <w:rPr>
      <w:rFonts w:cs="Times New Roman"/>
      <w:color w:val="0000FF"/>
      <w:u w:val="single"/>
    </w:rPr>
  </w:style>
  <w:style w:type="character" w:customStyle="1" w:styleId="1Char">
    <w:name w:val="标题 1 Char"/>
    <w:basedOn w:val="a0"/>
    <w:link w:val="1"/>
    <w:uiPriority w:val="9"/>
    <w:qFormat/>
    <w:locked/>
    <w:rsid w:val="003C25FB"/>
    <w:rPr>
      <w:rFonts w:ascii="Times New Roman" w:hAnsi="Times New Roman" w:cs="Times New Roman"/>
      <w:b/>
      <w:bCs/>
      <w:kern w:val="44"/>
      <w:sz w:val="44"/>
      <w:szCs w:val="44"/>
    </w:rPr>
  </w:style>
  <w:style w:type="character" w:customStyle="1" w:styleId="2Char">
    <w:name w:val="标题 2 Char"/>
    <w:basedOn w:val="a0"/>
    <w:link w:val="2"/>
    <w:uiPriority w:val="9"/>
    <w:qFormat/>
    <w:locked/>
    <w:rsid w:val="003C25FB"/>
    <w:rPr>
      <w:rFonts w:ascii="Cambria" w:eastAsia="宋体" w:hAnsi="Cambria" w:cs="Times New Roman"/>
      <w:b/>
      <w:bCs/>
      <w:kern w:val="2"/>
      <w:sz w:val="32"/>
      <w:szCs w:val="32"/>
    </w:rPr>
  </w:style>
  <w:style w:type="character" w:customStyle="1" w:styleId="3Char">
    <w:name w:val="标题 3 Char"/>
    <w:basedOn w:val="a0"/>
    <w:link w:val="3"/>
    <w:uiPriority w:val="9"/>
    <w:qFormat/>
    <w:locked/>
    <w:rsid w:val="003C25FB"/>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rsid w:val="003C25FB"/>
    <w:rPr>
      <w:rFonts w:ascii="Times New Roman" w:hAnsi="Times New Roman" w:cs="Times New Roman"/>
      <w:sz w:val="24"/>
      <w:szCs w:val="24"/>
    </w:rPr>
  </w:style>
  <w:style w:type="character" w:customStyle="1" w:styleId="Char0">
    <w:name w:val="批注框文本 Char"/>
    <w:basedOn w:val="a0"/>
    <w:link w:val="a4"/>
    <w:uiPriority w:val="99"/>
    <w:semiHidden/>
    <w:qFormat/>
    <w:locked/>
    <w:rsid w:val="003C25FB"/>
    <w:rPr>
      <w:rFonts w:ascii="Times New Roman" w:hAnsi="Times New Roman" w:cs="Times New Roman"/>
      <w:kern w:val="2"/>
      <w:sz w:val="18"/>
      <w:szCs w:val="18"/>
    </w:rPr>
  </w:style>
  <w:style w:type="character" w:customStyle="1" w:styleId="FooterChar">
    <w:name w:val="Footer Char"/>
    <w:basedOn w:val="a0"/>
    <w:link w:val="a5"/>
    <w:uiPriority w:val="99"/>
    <w:semiHidden/>
    <w:qFormat/>
    <w:rsid w:val="003C25FB"/>
    <w:rPr>
      <w:rFonts w:ascii="Times New Roman" w:hAnsi="Times New Roman" w:cs="Times New Roman"/>
      <w:sz w:val="18"/>
      <w:szCs w:val="18"/>
    </w:rPr>
  </w:style>
  <w:style w:type="character" w:customStyle="1" w:styleId="HeaderChar">
    <w:name w:val="Header Char"/>
    <w:basedOn w:val="a0"/>
    <w:link w:val="a6"/>
    <w:uiPriority w:val="99"/>
    <w:semiHidden/>
    <w:qFormat/>
    <w:rsid w:val="003C25FB"/>
    <w:rPr>
      <w:rFonts w:ascii="Times New Roman" w:hAnsi="Times New Roman" w:cs="Times New Roman"/>
      <w:sz w:val="18"/>
      <w:szCs w:val="18"/>
    </w:rPr>
  </w:style>
  <w:style w:type="character" w:customStyle="1" w:styleId="Char2">
    <w:name w:val="页眉 Char"/>
    <w:link w:val="a6"/>
    <w:uiPriority w:val="99"/>
    <w:semiHidden/>
    <w:qFormat/>
    <w:locked/>
    <w:rsid w:val="003C25FB"/>
    <w:rPr>
      <w:sz w:val="18"/>
    </w:rPr>
  </w:style>
  <w:style w:type="character" w:customStyle="1" w:styleId="Char1">
    <w:name w:val="页脚 Char"/>
    <w:link w:val="a5"/>
    <w:uiPriority w:val="99"/>
    <w:qFormat/>
    <w:locked/>
    <w:rsid w:val="003C25FB"/>
    <w:rPr>
      <w:sz w:val="18"/>
    </w:rPr>
  </w:style>
  <w:style w:type="character" w:customStyle="1" w:styleId="Char">
    <w:name w:val="正文文本 Char"/>
    <w:link w:val="a3"/>
    <w:uiPriority w:val="99"/>
    <w:qFormat/>
    <w:locked/>
    <w:rsid w:val="003C25FB"/>
    <w:rPr>
      <w:rFonts w:ascii="仿宋_GB2312" w:eastAsia="仿宋_GB2312" w:hAnsi="Times New Roman"/>
      <w:sz w:val="24"/>
    </w:rPr>
  </w:style>
  <w:style w:type="paragraph" w:customStyle="1" w:styleId="Default">
    <w:name w:val="Default"/>
    <w:uiPriority w:val="99"/>
    <w:qFormat/>
    <w:rsid w:val="003C25FB"/>
    <w:pPr>
      <w:widowControl w:val="0"/>
      <w:autoSpaceDE w:val="0"/>
      <w:autoSpaceDN w:val="0"/>
      <w:adjustRightInd w:val="0"/>
    </w:pPr>
    <w:rPr>
      <w:rFonts w:ascii="仿宋" w:eastAsia="仿宋" w:cs="仿宋"/>
      <w:color w:val="000000"/>
      <w:sz w:val="24"/>
      <w:szCs w:val="24"/>
    </w:rPr>
  </w:style>
  <w:style w:type="paragraph" w:customStyle="1" w:styleId="11">
    <w:name w:val="列出段落1"/>
    <w:basedOn w:val="a"/>
    <w:uiPriority w:val="34"/>
    <w:qFormat/>
    <w:rsid w:val="003C25FB"/>
    <w:pPr>
      <w:ind w:firstLineChars="200" w:firstLine="420"/>
    </w:pPr>
  </w:style>
  <w:style w:type="paragraph" w:customStyle="1" w:styleId="TOC1">
    <w:name w:val="TOC 标题1"/>
    <w:basedOn w:val="1"/>
    <w:next w:val="a"/>
    <w:uiPriority w:val="39"/>
    <w:unhideWhenUsed/>
    <w:qFormat/>
    <w:rsid w:val="003C25FB"/>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uiPriority w:val="39"/>
    <w:unhideWhenUsed/>
    <w:qFormat/>
    <w:rsid w:val="003C25FB"/>
    <w:pPr>
      <w:widowControl/>
      <w:spacing w:before="480" w:after="0" w:line="276" w:lineRule="auto"/>
      <w:jc w:val="left"/>
      <w:outlineLvl w:val="9"/>
    </w:pPr>
    <w:rPr>
      <w:rFonts w:ascii="Cambria" w:hAnsi="Cambria"/>
      <w:color w:val="365F91"/>
      <w:kern w:val="0"/>
      <w:sz w:val="28"/>
      <w:szCs w:val="28"/>
    </w:rPr>
  </w:style>
  <w:style w:type="paragraph" w:styleId="a9">
    <w:name w:val="List Paragraph"/>
    <w:basedOn w:val="a"/>
    <w:uiPriority w:val="34"/>
    <w:qFormat/>
    <w:rsid w:val="003C25FB"/>
    <w:pPr>
      <w:ind w:firstLineChars="200" w:firstLine="420"/>
    </w:pPr>
  </w:style>
</w:styles>
</file>

<file path=word/webSettings.xml><?xml version="1.0" encoding="utf-8"?>
<w:webSettings xmlns:r="http://schemas.openxmlformats.org/officeDocument/2006/relationships" xmlns:w="http://schemas.openxmlformats.org/wordprocessingml/2006/main">
  <w:divs>
    <w:div w:id="226572554">
      <w:bodyDiv w:val="1"/>
      <w:marLeft w:val="0"/>
      <w:marRight w:val="0"/>
      <w:marTop w:val="0"/>
      <w:marBottom w:val="0"/>
      <w:divBdr>
        <w:top w:val="none" w:sz="0" w:space="0" w:color="auto"/>
        <w:left w:val="none" w:sz="0" w:space="0" w:color="auto"/>
        <w:bottom w:val="none" w:sz="0" w:space="0" w:color="auto"/>
        <w:right w:val="none" w:sz="0" w:space="0" w:color="auto"/>
      </w:divBdr>
    </w:div>
    <w:div w:id="39964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82" textRotate="1"/>
    <customShpInfo spid="_x0000_s3083" textRotate="1"/>
    <customShpInfo spid="_x0000_s3084" textRotate="1"/>
    <customShpInfo spid="_x0000_s3085" textRotate="1"/>
  </customShpExts>
</s:customData>
</file>

<file path=customXml/itemProps1.xml><?xml version="1.0" encoding="utf-8"?>
<ds:datastoreItem xmlns:ds="http://schemas.openxmlformats.org/officeDocument/2006/customXml" ds:itemID="{7D038F10-B747-4FE2-A758-4F41346256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1681</Words>
  <Characters>9582</Characters>
  <Application>Microsoft Office Word</Application>
  <DocSecurity>0</DocSecurity>
  <Lines>79</Lines>
  <Paragraphs>22</Paragraphs>
  <ScaleCrop>false</ScaleCrop>
  <Company>四川省财政厅</Company>
  <LinksUpToDate>false</LinksUpToDate>
  <CharactersWithSpaces>11241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吴征</cp:lastModifiedBy>
  <cp:revision>278</cp:revision>
  <cp:lastPrinted>2021-09-14T08:29:00Z</cp:lastPrinted>
  <dcterms:created xsi:type="dcterms:W3CDTF">2021-09-06T12:55:00Z</dcterms:created>
  <dcterms:modified xsi:type="dcterms:W3CDTF">2022-09-22T07:48:00Z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B373D93D1FA34AA99A3837EF8AD5A244</vt:lpwstr>
  </property>
</Properties>
</file>