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仿宋"/>
          <w:color w:val="000000" w:themeColor="text1"/>
          <w:sz w:val="48"/>
          <w:szCs w:val="48"/>
          <w:highlight w:val="none"/>
        </w:rPr>
      </w:pPr>
      <w:bookmarkStart w:id="0" w:name="_Toc28372"/>
    </w:p>
    <w:p>
      <w:pPr>
        <w:ind w:firstLine="0" w:firstLineChars="0"/>
        <w:jc w:val="center"/>
        <w:rPr>
          <w:rFonts w:hint="eastAsia" w:eastAsia="仿宋"/>
          <w:color w:val="000000" w:themeColor="text1"/>
          <w:sz w:val="48"/>
          <w:szCs w:val="48"/>
          <w:highlight w:val="none"/>
          <w:lang w:eastAsia="zh-CN"/>
        </w:rPr>
      </w:pPr>
      <w:r>
        <w:rPr>
          <w:rFonts w:hint="eastAsia" w:eastAsia="仿宋"/>
          <w:color w:val="000000" w:themeColor="text1"/>
          <w:sz w:val="48"/>
          <w:szCs w:val="48"/>
          <w:highlight w:val="none"/>
        </w:rPr>
        <w:t>广元市</w:t>
      </w:r>
      <w:r>
        <w:rPr>
          <w:rFonts w:hint="eastAsia" w:eastAsia="仿宋"/>
          <w:color w:val="000000" w:themeColor="text1"/>
          <w:sz w:val="48"/>
          <w:szCs w:val="48"/>
          <w:highlight w:val="none"/>
          <w:lang w:eastAsia="zh-CN"/>
        </w:rPr>
        <w:t>旺苍县华隆建材有限公司三江镇战旗石灰石矿</w:t>
      </w:r>
    </w:p>
    <w:p>
      <w:pPr>
        <w:ind w:firstLine="0" w:firstLineChars="0"/>
        <w:jc w:val="center"/>
        <w:rPr>
          <w:rFonts w:eastAsia="黑体"/>
          <w:color w:val="000000" w:themeColor="text1"/>
          <w:sz w:val="52"/>
          <w:szCs w:val="52"/>
          <w:highlight w:val="none"/>
        </w:rPr>
      </w:pPr>
      <w:r>
        <w:rPr>
          <w:rFonts w:hint="eastAsia" w:eastAsia="黑体"/>
          <w:color w:val="000000" w:themeColor="text1"/>
          <w:sz w:val="52"/>
          <w:szCs w:val="52"/>
          <w:highlight w:val="none"/>
        </w:rPr>
        <w:t>矿山地质环境保护与土地复垦方案</w:t>
      </w:r>
    </w:p>
    <w:p>
      <w:pPr>
        <w:ind w:left="0" w:leftChars="0" w:right="0" w:rightChars="0" w:firstLine="0" w:firstLineChars="0"/>
        <w:jc w:val="center"/>
        <w:rPr>
          <w:rStyle w:val="85"/>
          <w:color w:val="000000" w:themeColor="text1"/>
          <w:sz w:val="48"/>
          <w:szCs w:val="48"/>
          <w:highlight w:val="none"/>
        </w:rPr>
      </w:pP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rFonts w:eastAsia="仿宋"/>
          <w:b/>
          <w:color w:val="000000" w:themeColor="text1"/>
          <w:sz w:val="48"/>
          <w:szCs w:val="48"/>
          <w:highlight w:val="none"/>
        </w:rPr>
      </w:pPr>
    </w:p>
    <w:p>
      <w:pPr>
        <w:ind w:left="0" w:leftChars="0" w:right="0" w:rightChars="0" w:firstLine="0" w:firstLineChars="0"/>
        <w:jc w:val="center"/>
        <w:rPr>
          <w:color w:val="000000" w:themeColor="text1"/>
          <w:highlight w:val="none"/>
        </w:rPr>
      </w:pPr>
    </w:p>
    <w:p>
      <w:pPr>
        <w:rPr>
          <w:color w:val="000000" w:themeColor="text1"/>
          <w:highlight w:val="none"/>
        </w:rPr>
      </w:pPr>
    </w:p>
    <w:p>
      <w:pPr>
        <w:ind w:firstLine="0" w:firstLineChars="0"/>
        <w:jc w:val="center"/>
        <w:rPr>
          <w:rFonts w:hint="eastAsia" w:eastAsia="宋体"/>
          <w:color w:val="000000" w:themeColor="text1"/>
          <w:sz w:val="44"/>
          <w:szCs w:val="44"/>
          <w:highlight w:val="none"/>
          <w:lang w:eastAsia="zh-CN"/>
        </w:rPr>
      </w:pPr>
      <w:r>
        <w:rPr>
          <w:rFonts w:hint="eastAsia" w:eastAsiaTheme="minorEastAsia"/>
          <w:color w:val="000000" w:themeColor="text1"/>
          <w:sz w:val="44"/>
          <w:szCs w:val="44"/>
          <w:highlight w:val="none"/>
          <w:lang w:eastAsia="zh-CN"/>
        </w:rPr>
        <w:t>旺苍县华隆建材有限公司</w:t>
      </w:r>
    </w:p>
    <w:p>
      <w:pPr>
        <w:ind w:firstLine="0" w:firstLineChars="0"/>
        <w:jc w:val="center"/>
        <w:rPr>
          <w:sz w:val="44"/>
          <w:szCs w:val="44"/>
          <w:highlight w:val="none"/>
        </w:rPr>
      </w:pPr>
      <w:r>
        <w:rPr>
          <w:rFonts w:hint="eastAsia" w:eastAsiaTheme="minorEastAsia"/>
          <w:color w:val="000000" w:themeColor="text1"/>
          <w:sz w:val="44"/>
          <w:szCs w:val="44"/>
          <w:highlight w:val="none"/>
          <w:lang w:eastAsia="zh-CN"/>
        </w:rPr>
        <w:t>202</w:t>
      </w:r>
      <w:r>
        <w:rPr>
          <w:rFonts w:hint="eastAsia" w:eastAsiaTheme="minorEastAsia"/>
          <w:color w:val="000000" w:themeColor="text1"/>
          <w:sz w:val="44"/>
          <w:szCs w:val="44"/>
          <w:highlight w:val="none"/>
          <w:lang w:val="en-US" w:eastAsia="zh-CN"/>
        </w:rPr>
        <w:t>2</w:t>
      </w:r>
      <w:r>
        <w:rPr>
          <w:rFonts w:hint="eastAsia" w:eastAsiaTheme="minorEastAsia"/>
          <w:color w:val="000000" w:themeColor="text1"/>
          <w:sz w:val="44"/>
          <w:szCs w:val="44"/>
          <w:highlight w:val="none"/>
          <w:lang w:eastAsia="zh-CN"/>
        </w:rPr>
        <w:t>年</w:t>
      </w:r>
      <w:r>
        <w:rPr>
          <w:rFonts w:hint="eastAsia" w:eastAsiaTheme="minorEastAsia"/>
          <w:color w:val="000000" w:themeColor="text1"/>
          <w:sz w:val="44"/>
          <w:szCs w:val="44"/>
          <w:highlight w:val="none"/>
          <w:lang w:val="en-US" w:eastAsia="zh-CN"/>
        </w:rPr>
        <w:t>11</w:t>
      </w:r>
      <w:r>
        <w:rPr>
          <w:rFonts w:hint="eastAsia" w:eastAsiaTheme="minorEastAsia"/>
          <w:color w:val="000000" w:themeColor="text1"/>
          <w:sz w:val="44"/>
          <w:szCs w:val="44"/>
          <w:highlight w:val="none"/>
          <w:lang w:eastAsia="zh-CN"/>
        </w:rPr>
        <w:t>月</w:t>
      </w:r>
      <w:r>
        <w:rPr>
          <w:sz w:val="44"/>
          <w:szCs w:val="44"/>
          <w:highlight w:val="none"/>
        </w:rPr>
        <w:br w:type="page"/>
      </w:r>
    </w:p>
    <w:p>
      <w:pPr>
        <w:ind w:firstLine="0" w:firstLineChars="0"/>
        <w:jc w:val="center"/>
        <w:rPr>
          <w:rFonts w:eastAsia="仿宋"/>
          <w:color w:val="000000" w:themeColor="text1"/>
          <w:sz w:val="48"/>
          <w:szCs w:val="48"/>
          <w:highlight w:val="none"/>
        </w:rPr>
      </w:pPr>
    </w:p>
    <w:p>
      <w:pPr>
        <w:ind w:firstLine="0" w:firstLineChars="0"/>
        <w:jc w:val="center"/>
        <w:rPr>
          <w:rFonts w:hint="eastAsia" w:eastAsia="仿宋"/>
          <w:color w:val="000000" w:themeColor="text1"/>
          <w:sz w:val="48"/>
          <w:szCs w:val="48"/>
          <w:highlight w:val="none"/>
          <w:lang w:eastAsia="zh-CN"/>
        </w:rPr>
      </w:pPr>
      <w:r>
        <w:rPr>
          <w:rFonts w:hint="eastAsia" w:eastAsia="仿宋"/>
          <w:color w:val="000000" w:themeColor="text1"/>
          <w:sz w:val="48"/>
          <w:szCs w:val="48"/>
          <w:highlight w:val="none"/>
        </w:rPr>
        <w:t>广元市</w:t>
      </w:r>
      <w:r>
        <w:rPr>
          <w:rFonts w:hint="eastAsia" w:eastAsia="仿宋"/>
          <w:color w:val="000000" w:themeColor="text1"/>
          <w:sz w:val="48"/>
          <w:szCs w:val="48"/>
          <w:highlight w:val="none"/>
          <w:lang w:eastAsia="zh-CN"/>
        </w:rPr>
        <w:t>旺苍县华隆建材有限公司三江镇战旗石灰石矿</w:t>
      </w:r>
    </w:p>
    <w:p>
      <w:pPr>
        <w:ind w:firstLine="0" w:firstLineChars="0"/>
        <w:jc w:val="center"/>
        <w:rPr>
          <w:rFonts w:eastAsia="黑体"/>
          <w:color w:val="000000" w:themeColor="text1"/>
          <w:sz w:val="52"/>
          <w:szCs w:val="52"/>
          <w:highlight w:val="none"/>
        </w:rPr>
      </w:pPr>
      <w:r>
        <w:rPr>
          <w:rFonts w:eastAsia="黑体"/>
          <w:color w:val="000000" w:themeColor="text1"/>
          <w:sz w:val="52"/>
          <w:szCs w:val="52"/>
          <w:highlight w:val="none"/>
        </w:rPr>
        <w:t>矿山地质环境保护与土地复垦方案</w:t>
      </w:r>
    </w:p>
    <w:p>
      <w:pPr>
        <w:ind w:left="0" w:leftChars="0" w:right="0" w:rightChars="0" w:firstLine="0" w:firstLineChars="0"/>
        <w:jc w:val="center"/>
        <w:rPr>
          <w:rFonts w:eastAsia="黑体"/>
          <w:color w:val="000000" w:themeColor="text1"/>
          <w:sz w:val="52"/>
          <w:szCs w:val="52"/>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sz w:val="32"/>
          <w:szCs w:val="32"/>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highlight w:val="none"/>
        </w:rPr>
      </w:pPr>
    </w:p>
    <w:p>
      <w:pPr>
        <w:ind w:left="0" w:leftChars="0" w:right="0" w:rightChars="0" w:firstLine="0" w:firstLineChars="0"/>
        <w:jc w:val="center"/>
        <w:rPr>
          <w:color w:val="000000" w:themeColor="text1"/>
          <w:sz w:val="32"/>
          <w:szCs w:val="32"/>
          <w:highlight w:val="none"/>
        </w:rPr>
      </w:pP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申报单位：</w:t>
      </w:r>
      <w:r>
        <w:rPr>
          <w:rFonts w:hint="eastAsia"/>
          <w:color w:val="000000" w:themeColor="text1"/>
          <w:sz w:val="32"/>
          <w:szCs w:val="32"/>
          <w:highlight w:val="none"/>
          <w:lang w:eastAsia="zh-CN"/>
        </w:rPr>
        <w:t>旺苍县华隆建材有限公司</w:t>
      </w: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法人代表：</w:t>
      </w: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编制单位：</w:t>
      </w:r>
      <w:r>
        <w:rPr>
          <w:rFonts w:hint="eastAsia"/>
          <w:color w:val="000000" w:themeColor="text1"/>
          <w:sz w:val="32"/>
          <w:szCs w:val="32"/>
          <w:highlight w:val="none"/>
          <w:lang w:eastAsia="zh-CN"/>
        </w:rPr>
        <w:t>四川天梦星地质勘查技术有限公司</w:t>
      </w: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法人代表：</w:t>
      </w:r>
      <w:r>
        <w:rPr>
          <w:rFonts w:hint="eastAsia"/>
          <w:color w:val="000000" w:themeColor="text1"/>
          <w:sz w:val="32"/>
          <w:szCs w:val="32"/>
          <w:highlight w:val="none"/>
          <w:lang w:eastAsia="zh-CN"/>
        </w:rPr>
        <w:t>罗智丹</w:t>
      </w:r>
    </w:p>
    <w:p>
      <w:pPr>
        <w:ind w:left="420" w:firstLine="420" w:firstLineChars="0"/>
        <w:rPr>
          <w:color w:val="000000" w:themeColor="text1"/>
          <w:sz w:val="32"/>
          <w:szCs w:val="32"/>
          <w:highlight w:val="none"/>
        </w:rPr>
      </w:pPr>
      <w:r>
        <w:rPr>
          <w:color w:val="000000" w:themeColor="text1"/>
          <w:sz w:val="32"/>
          <w:szCs w:val="32"/>
          <w:highlight w:val="none"/>
        </w:rPr>
        <w:t>总工程师：</w:t>
      </w:r>
      <w:r>
        <w:rPr>
          <w:rFonts w:hint="eastAsia"/>
          <w:color w:val="000000" w:themeColor="text1"/>
          <w:sz w:val="32"/>
          <w:szCs w:val="32"/>
          <w:highlight w:val="none"/>
          <w:lang w:eastAsia="zh-CN"/>
        </w:rPr>
        <w:t>罗</w:t>
      </w:r>
      <w:r>
        <w:rPr>
          <w:rFonts w:hint="eastAsia"/>
          <w:color w:val="000000" w:themeColor="text1"/>
          <w:sz w:val="32"/>
          <w:szCs w:val="32"/>
          <w:highlight w:val="none"/>
          <w:lang w:val="en-US" w:eastAsia="zh-CN"/>
        </w:rPr>
        <w:t xml:space="preserve">  </w:t>
      </w:r>
      <w:r>
        <w:rPr>
          <w:rFonts w:hint="eastAsia"/>
          <w:color w:val="000000" w:themeColor="text1"/>
          <w:sz w:val="32"/>
          <w:szCs w:val="32"/>
          <w:highlight w:val="none"/>
          <w:lang w:eastAsia="zh-CN"/>
        </w:rPr>
        <w:t>珍</w:t>
      </w: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项目负责：</w:t>
      </w:r>
      <w:r>
        <w:rPr>
          <w:rFonts w:hint="eastAsia"/>
          <w:color w:val="000000" w:themeColor="text1"/>
          <w:sz w:val="32"/>
          <w:szCs w:val="32"/>
          <w:highlight w:val="none"/>
          <w:lang w:eastAsia="zh-CN"/>
        </w:rPr>
        <w:t>陈</w:t>
      </w:r>
      <w:r>
        <w:rPr>
          <w:rFonts w:hint="eastAsia"/>
          <w:color w:val="000000" w:themeColor="text1"/>
          <w:sz w:val="32"/>
          <w:szCs w:val="32"/>
          <w:highlight w:val="none"/>
          <w:lang w:val="en-US" w:eastAsia="zh-CN"/>
        </w:rPr>
        <w:t xml:space="preserve">  </w:t>
      </w:r>
      <w:r>
        <w:rPr>
          <w:rFonts w:hint="eastAsia"/>
          <w:color w:val="000000" w:themeColor="text1"/>
          <w:sz w:val="32"/>
          <w:szCs w:val="32"/>
          <w:highlight w:val="none"/>
          <w:lang w:eastAsia="zh-CN"/>
        </w:rPr>
        <w:t>燕</w:t>
      </w:r>
    </w:p>
    <w:p>
      <w:pPr>
        <w:ind w:left="420" w:firstLine="420" w:firstLineChars="0"/>
        <w:rPr>
          <w:rFonts w:hint="default" w:eastAsia="宋体"/>
          <w:color w:val="000000" w:themeColor="text1"/>
          <w:sz w:val="32"/>
          <w:szCs w:val="32"/>
          <w:highlight w:val="none"/>
          <w:lang w:val="en-US" w:eastAsia="zh-CN"/>
        </w:rPr>
      </w:pPr>
      <w:r>
        <w:rPr>
          <w:color w:val="000000" w:themeColor="text1"/>
          <w:sz w:val="32"/>
          <w:szCs w:val="32"/>
          <w:highlight w:val="none"/>
        </w:rPr>
        <w:t>编写人员：</w:t>
      </w:r>
      <w:r>
        <w:rPr>
          <w:rFonts w:hint="eastAsia"/>
          <w:color w:val="000000" w:themeColor="text1"/>
          <w:sz w:val="32"/>
          <w:szCs w:val="32"/>
          <w:highlight w:val="none"/>
          <w:lang w:eastAsia="zh-CN"/>
        </w:rPr>
        <w:t>陈</w:t>
      </w:r>
      <w:r>
        <w:rPr>
          <w:rFonts w:hint="eastAsia"/>
          <w:color w:val="000000" w:themeColor="text1"/>
          <w:sz w:val="32"/>
          <w:szCs w:val="32"/>
          <w:highlight w:val="none"/>
          <w:lang w:val="en-US" w:eastAsia="zh-CN"/>
        </w:rPr>
        <w:t xml:space="preserve">  </w:t>
      </w:r>
      <w:r>
        <w:rPr>
          <w:rFonts w:hint="eastAsia"/>
          <w:color w:val="000000" w:themeColor="text1"/>
          <w:sz w:val="32"/>
          <w:szCs w:val="32"/>
          <w:highlight w:val="none"/>
          <w:lang w:eastAsia="zh-CN"/>
        </w:rPr>
        <w:t>燕</w:t>
      </w:r>
      <w:r>
        <w:rPr>
          <w:rFonts w:hint="eastAsia"/>
          <w:color w:val="000000" w:themeColor="text1"/>
          <w:sz w:val="32"/>
          <w:szCs w:val="32"/>
          <w:highlight w:val="none"/>
          <w:lang w:val="en-US" w:eastAsia="zh-CN"/>
        </w:rPr>
        <w:t xml:space="preserve">   郭彦兵</w:t>
      </w:r>
    </w:p>
    <w:p>
      <w:pPr>
        <w:ind w:left="420" w:firstLine="420" w:firstLineChars="0"/>
        <w:rPr>
          <w:rFonts w:hint="eastAsia" w:eastAsia="宋体"/>
          <w:color w:val="000000" w:themeColor="text1"/>
          <w:sz w:val="32"/>
          <w:szCs w:val="32"/>
          <w:highlight w:val="none"/>
          <w:lang w:eastAsia="zh-CN"/>
        </w:rPr>
      </w:pPr>
      <w:r>
        <w:rPr>
          <w:color w:val="000000" w:themeColor="text1"/>
          <w:sz w:val="32"/>
          <w:szCs w:val="32"/>
          <w:highlight w:val="none"/>
        </w:rPr>
        <w:t>制图人员：</w:t>
      </w:r>
      <w:r>
        <w:rPr>
          <w:rFonts w:hint="eastAsia"/>
          <w:color w:val="000000" w:themeColor="text1"/>
          <w:sz w:val="32"/>
          <w:szCs w:val="32"/>
          <w:highlight w:val="none"/>
          <w:lang w:eastAsia="zh-CN"/>
        </w:rPr>
        <w:t>陈</w:t>
      </w:r>
      <w:r>
        <w:rPr>
          <w:rFonts w:hint="eastAsia"/>
          <w:color w:val="000000" w:themeColor="text1"/>
          <w:sz w:val="32"/>
          <w:szCs w:val="32"/>
          <w:highlight w:val="none"/>
          <w:lang w:val="en-US" w:eastAsia="zh-CN"/>
        </w:rPr>
        <w:t xml:space="preserve">  </w:t>
      </w:r>
      <w:r>
        <w:rPr>
          <w:rFonts w:hint="eastAsia"/>
          <w:color w:val="000000" w:themeColor="text1"/>
          <w:sz w:val="32"/>
          <w:szCs w:val="32"/>
          <w:highlight w:val="none"/>
          <w:lang w:eastAsia="zh-CN"/>
        </w:rPr>
        <w:t>燕</w:t>
      </w:r>
    </w:p>
    <w:p>
      <w:pPr>
        <w:ind w:left="420" w:firstLine="0" w:firstLineChars="0"/>
        <w:jc w:val="center"/>
        <w:rPr>
          <w:color w:val="000000" w:themeColor="text1"/>
          <w:sz w:val="32"/>
          <w:szCs w:val="32"/>
          <w:highlight w:val="none"/>
        </w:rPr>
      </w:pPr>
      <w:r>
        <w:rPr>
          <w:rFonts w:hint="eastAsia"/>
          <w:color w:val="000000" w:themeColor="text1"/>
          <w:sz w:val="32"/>
          <w:szCs w:val="32"/>
          <w:highlight w:val="none"/>
          <w:lang w:eastAsia="zh-CN"/>
        </w:rPr>
        <w:t>202</w:t>
      </w:r>
      <w:r>
        <w:rPr>
          <w:rFonts w:hint="eastAsia"/>
          <w:color w:val="000000" w:themeColor="text1"/>
          <w:sz w:val="32"/>
          <w:szCs w:val="32"/>
          <w:highlight w:val="none"/>
          <w:lang w:val="en-US" w:eastAsia="zh-CN"/>
        </w:rPr>
        <w:t>2</w:t>
      </w:r>
      <w:r>
        <w:rPr>
          <w:rFonts w:hint="eastAsia"/>
          <w:color w:val="000000" w:themeColor="text1"/>
          <w:sz w:val="32"/>
          <w:szCs w:val="32"/>
          <w:highlight w:val="none"/>
          <w:lang w:eastAsia="zh-CN"/>
        </w:rPr>
        <w:t>年</w:t>
      </w:r>
      <w:r>
        <w:rPr>
          <w:rFonts w:hint="eastAsia"/>
          <w:color w:val="000000" w:themeColor="text1"/>
          <w:sz w:val="32"/>
          <w:szCs w:val="32"/>
          <w:highlight w:val="none"/>
          <w:lang w:val="en-US" w:eastAsia="zh-CN"/>
        </w:rPr>
        <w:t>11</w:t>
      </w:r>
      <w:r>
        <w:rPr>
          <w:rFonts w:hint="eastAsia"/>
          <w:color w:val="000000" w:themeColor="text1"/>
          <w:sz w:val="32"/>
          <w:szCs w:val="32"/>
          <w:highlight w:val="none"/>
          <w:lang w:eastAsia="zh-CN"/>
        </w:rPr>
        <w:t>月</w:t>
      </w:r>
    </w:p>
    <w:p>
      <w:pPr>
        <w:ind w:firstLine="0" w:firstLineChars="0"/>
        <w:rPr>
          <w:color w:val="000000" w:themeColor="text1"/>
          <w:highlight w:val="none"/>
        </w:rPr>
        <w:sectPr>
          <w:footerReference r:id="rId7" w:type="first"/>
          <w:footerReference r:id="rId5" w:type="default"/>
          <w:footerReference r:id="rId6" w:type="even"/>
          <w:pgSz w:w="11906" w:h="16838"/>
          <w:pgMar w:top="1440" w:right="1800" w:bottom="1440" w:left="1800" w:header="624" w:footer="992" w:gutter="0"/>
          <w:cols w:space="425" w:num="1"/>
          <w:docGrid w:type="linesAndChars" w:linePitch="312" w:charSpace="0"/>
        </w:sectPr>
      </w:pPr>
    </w:p>
    <w:p>
      <w:pPr>
        <w:spacing w:line="240" w:lineRule="auto"/>
        <w:ind w:firstLine="0" w:firstLineChars="0"/>
        <w:jc w:val="center"/>
        <w:rPr>
          <w:rFonts w:eastAsiaTheme="minorEastAsia"/>
          <w:b/>
          <w:bCs/>
          <w:color w:val="000000" w:themeColor="text1"/>
          <w:sz w:val="30"/>
          <w:szCs w:val="30"/>
          <w:highlight w:val="none"/>
        </w:rPr>
      </w:pPr>
      <w:r>
        <w:rPr>
          <w:b/>
          <w:bCs/>
          <w:color w:val="000000" w:themeColor="text1"/>
          <w:sz w:val="30"/>
          <w:szCs w:val="30"/>
          <w:highlight w:val="none"/>
        </w:rPr>
        <w:t>矿山地质环境保护与土地复垦方案信息表</w:t>
      </w:r>
    </w:p>
    <w:tbl>
      <w:tblPr>
        <w:tblStyle w:val="31"/>
        <w:tblW w:w="8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56"/>
        <w:gridCol w:w="1498"/>
        <w:gridCol w:w="1530"/>
        <w:gridCol w:w="1860"/>
        <w:gridCol w:w="14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矿</w:t>
            </w:r>
          </w:p>
          <w:p>
            <w:pPr>
              <w:spacing w:beforeLines="20" w:afterLines="30" w:line="240" w:lineRule="auto"/>
              <w:ind w:firstLine="0" w:firstLineChars="0"/>
              <w:jc w:val="center"/>
              <w:rPr>
                <w:color w:val="000000" w:themeColor="text1"/>
                <w:highlight w:val="none"/>
              </w:rPr>
            </w:pPr>
            <w:r>
              <w:rPr>
                <w:color w:val="000000" w:themeColor="text1"/>
                <w:highlight w:val="none"/>
              </w:rPr>
              <w:t>山</w:t>
            </w:r>
          </w:p>
          <w:p>
            <w:pPr>
              <w:spacing w:beforeLines="20" w:afterLines="30" w:line="240" w:lineRule="auto"/>
              <w:ind w:firstLine="0" w:firstLineChars="0"/>
              <w:jc w:val="center"/>
              <w:rPr>
                <w:color w:val="000000" w:themeColor="text1"/>
                <w:highlight w:val="none"/>
              </w:rPr>
            </w:pPr>
            <w:r>
              <w:rPr>
                <w:color w:val="000000" w:themeColor="text1"/>
                <w:highlight w:val="none"/>
              </w:rPr>
              <w:t>企</w:t>
            </w:r>
          </w:p>
          <w:p>
            <w:pPr>
              <w:spacing w:beforeLines="20" w:afterLines="30" w:line="240" w:lineRule="auto"/>
              <w:ind w:firstLine="0" w:firstLineChars="0"/>
              <w:jc w:val="center"/>
              <w:rPr>
                <w:color w:val="000000" w:themeColor="text1"/>
                <w:highlight w:val="none"/>
              </w:rPr>
            </w:pPr>
            <w:r>
              <w:rPr>
                <w:color w:val="000000" w:themeColor="text1"/>
                <w:highlight w:val="none"/>
              </w:rPr>
              <w:t>业</w:t>
            </w: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企业名称</w:t>
            </w: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旺苍县华隆建材有限公司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法人代表</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val="en-US" w:eastAsia="zh-CN"/>
              </w:rPr>
              <w:t xml:space="preserve"> </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联系电话</w:t>
            </w:r>
          </w:p>
        </w:tc>
        <w:tc>
          <w:tcPr>
            <w:tcW w:w="3357" w:type="dxa"/>
            <w:gridSpan w:val="2"/>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199" w:firstLineChars="83"/>
              <w:jc w:val="center"/>
              <w:rPr>
                <w:rFonts w:hint="eastAsia" w:eastAsia="宋体"/>
                <w:color w:val="000000" w:themeColor="text1"/>
                <w:highlight w:val="none"/>
                <w:lang w:eastAsia="zh-CN"/>
              </w:rPr>
            </w:pPr>
            <w:r>
              <w:rPr>
                <w:rFonts w:hint="eastAsia"/>
                <w:color w:val="000000" w:themeColor="text1"/>
                <w:highlight w:val="non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单位地址</w:t>
            </w: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rFonts w:hint="eastAsia"/>
                <w:color w:val="000000" w:themeColor="text1"/>
                <w:highlight w:val="none"/>
              </w:rPr>
              <w:t>广元市旺苍县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矿山名称</w:t>
            </w: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旺苍县华隆建材有限公司三江镇战旗石灰石矿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556" w:type="dxa"/>
            <w:vMerge w:val="restart"/>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采矿许可证</w:t>
            </w: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新申请</w:t>
            </w:r>
            <w:r>
              <w:rPr>
                <w:rFonts w:hint="eastAsia" w:ascii="Times New Roman" w:hAnsi="Times New Roman" w:cs="Times New Roman"/>
                <w:highlight w:val="none"/>
                <w:lang w:eastAsia="zh-CN"/>
              </w:rPr>
              <w:t>□</w:t>
            </w:r>
            <w:r>
              <w:rPr>
                <w:rFonts w:hint="eastAsia"/>
                <w:b/>
                <w:bCs/>
                <w:color w:val="000000" w:themeColor="text1"/>
                <w:highlight w:val="none"/>
                <w:lang w:val="en-US" w:eastAsia="zh-CN"/>
              </w:rPr>
              <w:t xml:space="preserve">          </w:t>
            </w:r>
            <w:r>
              <w:rPr>
                <w:color w:val="000000" w:themeColor="text1"/>
                <w:highlight w:val="none"/>
              </w:rPr>
              <w:t>持有</w:t>
            </w:r>
            <w:r>
              <w:rPr>
                <w:rFonts w:hint="eastAsia" w:cs="Times New Roman"/>
                <w:highlight w:val="none"/>
                <w:lang w:eastAsia="zh-CN"/>
              </w:rPr>
              <w:t>□</w:t>
            </w:r>
            <w:r>
              <w:rPr>
                <w:rFonts w:hint="eastAsia"/>
                <w:b/>
                <w:bCs/>
                <w:color w:val="000000" w:themeColor="text1"/>
                <w:highlight w:val="none"/>
                <w:lang w:val="en-US" w:eastAsia="zh-CN"/>
              </w:rPr>
              <w:t xml:space="preserve">          </w:t>
            </w:r>
            <w:r>
              <w:rPr>
                <w:color w:val="000000" w:themeColor="text1"/>
                <w:highlight w:val="none"/>
              </w:rPr>
              <w:t>变更</w:t>
            </w:r>
            <w:r>
              <w:rPr>
                <w:rFonts w:hint="eastAsia" w:cs="Times New Roman"/>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以上情况请选择一种并打</w:t>
            </w:r>
            <w:r>
              <w:rPr>
                <w:rFonts w:ascii="宋体" w:hAnsi="宋体"/>
                <w:color w:val="000000" w:themeColor="text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restart"/>
            <w:tcBorders>
              <w:top w:val="single" w:color="000000" w:sz="4" w:space="0"/>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编</w:t>
            </w:r>
          </w:p>
          <w:p>
            <w:pPr>
              <w:spacing w:beforeLines="20" w:afterLines="30" w:line="240" w:lineRule="auto"/>
              <w:ind w:firstLine="0" w:firstLineChars="0"/>
              <w:jc w:val="center"/>
              <w:rPr>
                <w:color w:val="000000" w:themeColor="text1"/>
                <w:highlight w:val="none"/>
              </w:rPr>
            </w:pPr>
            <w:r>
              <w:rPr>
                <w:color w:val="000000" w:themeColor="text1"/>
                <w:highlight w:val="none"/>
              </w:rPr>
              <w:t>制</w:t>
            </w:r>
          </w:p>
          <w:p>
            <w:pPr>
              <w:spacing w:beforeLines="20" w:afterLines="30" w:line="240" w:lineRule="auto"/>
              <w:ind w:firstLine="0" w:firstLineChars="0"/>
              <w:jc w:val="center"/>
              <w:rPr>
                <w:color w:val="000000" w:themeColor="text1"/>
                <w:highlight w:val="none"/>
              </w:rPr>
            </w:pPr>
            <w:r>
              <w:rPr>
                <w:color w:val="000000" w:themeColor="text1"/>
                <w:highlight w:val="none"/>
              </w:rPr>
              <w:t>单</w:t>
            </w:r>
          </w:p>
          <w:p>
            <w:pPr>
              <w:spacing w:beforeLines="20" w:afterLines="30" w:line="240" w:lineRule="auto"/>
              <w:ind w:firstLine="0" w:firstLineChars="0"/>
              <w:jc w:val="center"/>
              <w:rPr>
                <w:color w:val="000000" w:themeColor="text1"/>
                <w:highlight w:val="none"/>
              </w:rPr>
            </w:pPr>
            <w:r>
              <w:rPr>
                <w:color w:val="000000" w:themeColor="text1"/>
                <w:highlight w:val="none"/>
              </w:rPr>
              <w:t>位</w:t>
            </w: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单位名称</w:t>
            </w:r>
          </w:p>
        </w:tc>
        <w:tc>
          <w:tcPr>
            <w:tcW w:w="6385" w:type="dxa"/>
            <w:gridSpan w:val="4"/>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四川天梦星地质勘查技术有限公司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法人代表</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联系电话</w:t>
            </w:r>
          </w:p>
        </w:tc>
        <w:tc>
          <w:tcPr>
            <w:tcW w:w="3357" w:type="dxa"/>
            <w:gridSpan w:val="2"/>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restart"/>
            <w:tcBorders>
              <w:top w:val="single" w:color="000000" w:sz="4" w:space="0"/>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主要</w:t>
            </w:r>
          </w:p>
          <w:p>
            <w:pPr>
              <w:spacing w:beforeLines="20" w:afterLines="30" w:line="240" w:lineRule="auto"/>
              <w:ind w:firstLine="0" w:firstLineChars="0"/>
              <w:jc w:val="center"/>
              <w:rPr>
                <w:color w:val="000000" w:themeColor="text1"/>
                <w:highlight w:val="none"/>
              </w:rPr>
            </w:pPr>
            <w:r>
              <w:rPr>
                <w:color w:val="000000" w:themeColor="text1"/>
                <w:highlight w:val="none"/>
              </w:rPr>
              <w:t>编制</w:t>
            </w:r>
          </w:p>
          <w:p>
            <w:pPr>
              <w:spacing w:beforeLines="20" w:afterLines="30" w:line="240" w:lineRule="auto"/>
              <w:ind w:firstLine="0" w:firstLineChars="0"/>
              <w:jc w:val="center"/>
              <w:rPr>
                <w:color w:val="000000" w:themeColor="text1"/>
                <w:highlight w:val="none"/>
              </w:rPr>
            </w:pPr>
            <w:r>
              <w:rPr>
                <w:color w:val="000000" w:themeColor="text1"/>
                <w:highlight w:val="none"/>
              </w:rPr>
              <w:t>人员</w:t>
            </w: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姓名</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职责</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联系电话</w:t>
            </w: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eastAsia="宋体"/>
                <w:color w:val="000000" w:themeColor="text1"/>
                <w:highlight w:val="none"/>
                <w:lang w:eastAsia="zh-CN"/>
              </w:rPr>
              <w:t>谢  鹏</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审</w:t>
            </w:r>
            <w:r>
              <w:rPr>
                <w:rFonts w:hint="eastAsia"/>
                <w:color w:val="000000" w:themeColor="text1"/>
                <w:highlight w:val="none"/>
                <w:lang w:val="en-US" w:eastAsia="zh-CN"/>
              </w:rPr>
              <w:t xml:space="preserve">    </w:t>
            </w:r>
            <w:r>
              <w:rPr>
                <w:color w:val="000000" w:themeColor="text1"/>
                <w:highlight w:val="none"/>
              </w:rPr>
              <w:t>核</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textAlignment w:val="center"/>
              <w:rPr>
                <w:rFonts w:eastAsia="仿宋"/>
                <w:color w:val="000000" w:themeColor="text1"/>
                <w:kern w:val="0"/>
                <w:highlight w:val="none"/>
              </w:rPr>
            </w:pP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陈</w:t>
            </w:r>
            <w:r>
              <w:rPr>
                <w:rFonts w:hint="eastAsia"/>
                <w:color w:val="000000" w:themeColor="text1"/>
                <w:highlight w:val="none"/>
                <w:lang w:val="en-US" w:eastAsia="zh-CN"/>
              </w:rPr>
              <w:t xml:space="preserve">  </w:t>
            </w:r>
            <w:r>
              <w:rPr>
                <w:rFonts w:hint="eastAsia"/>
                <w:color w:val="000000" w:themeColor="text1"/>
                <w:highlight w:val="none"/>
                <w:lang w:eastAsia="zh-CN"/>
              </w:rPr>
              <w:t>燕</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项目负责</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textAlignment w:val="center"/>
              <w:rPr>
                <w:rFonts w:eastAsia="仿宋"/>
                <w:color w:val="000000" w:themeColor="text1"/>
                <w:kern w:val="0"/>
                <w:highlight w:val="none"/>
              </w:rPr>
            </w:pP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陈</w:t>
            </w:r>
            <w:r>
              <w:rPr>
                <w:rFonts w:hint="eastAsia"/>
                <w:color w:val="000000" w:themeColor="text1"/>
                <w:highlight w:val="none"/>
                <w:lang w:val="en-US" w:eastAsia="zh-CN"/>
              </w:rPr>
              <w:t xml:space="preserve">  </w:t>
            </w:r>
            <w:r>
              <w:rPr>
                <w:rFonts w:hint="eastAsia"/>
                <w:color w:val="000000" w:themeColor="text1"/>
                <w:highlight w:val="none"/>
                <w:lang w:eastAsia="zh-CN"/>
              </w:rPr>
              <w:t>燕</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报告编制</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rPr>
                <w:color w:val="000000" w:themeColor="text1"/>
                <w:highlight w:val="none"/>
              </w:rPr>
            </w:pP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郭彦兵</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报告编制</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rPr>
                <w:color w:val="000000" w:themeColor="text1"/>
                <w:highlight w:val="none"/>
              </w:rPr>
            </w:pP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sz w:val="32"/>
                <w:szCs w:val="32"/>
                <w:highlight w:val="none"/>
              </w:rPr>
            </w:pPr>
          </w:p>
        </w:tc>
        <w:tc>
          <w:tcPr>
            <w:tcW w:w="1556" w:type="dxa"/>
            <w:vMerge w:val="continue"/>
            <w:tcBorders>
              <w:left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c>
          <w:tcPr>
            <w:tcW w:w="1498"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陈</w:t>
            </w:r>
            <w:r>
              <w:rPr>
                <w:rFonts w:hint="eastAsia"/>
                <w:color w:val="000000" w:themeColor="text1"/>
                <w:highlight w:val="none"/>
                <w:lang w:val="en-US" w:eastAsia="zh-CN"/>
              </w:rPr>
              <w:t xml:space="preserve">  </w:t>
            </w:r>
            <w:r>
              <w:rPr>
                <w:rFonts w:hint="eastAsia"/>
                <w:color w:val="000000" w:themeColor="text1"/>
                <w:highlight w:val="none"/>
                <w:lang w:eastAsia="zh-CN"/>
              </w:rPr>
              <w:t>燕</w:t>
            </w:r>
          </w:p>
        </w:tc>
        <w:tc>
          <w:tcPr>
            <w:tcW w:w="1530"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制图</w:t>
            </w:r>
          </w:p>
        </w:tc>
        <w:tc>
          <w:tcPr>
            <w:tcW w:w="1860" w:type="dxa"/>
            <w:tcBorders>
              <w:top w:val="single" w:color="000000" w:sz="4" w:space="0"/>
              <w:left w:val="single" w:color="000000" w:sz="4" w:space="0"/>
              <w:bottom w:val="single" w:color="000000" w:sz="4" w:space="0"/>
              <w:right w:val="single" w:color="auto" w:sz="4" w:space="0"/>
            </w:tcBorders>
            <w:vAlign w:val="center"/>
          </w:tcPr>
          <w:p>
            <w:pPr>
              <w:spacing w:beforeLines="20" w:afterLines="30" w:line="240" w:lineRule="auto"/>
              <w:ind w:firstLine="0" w:firstLineChars="0"/>
              <w:jc w:val="center"/>
              <w:rPr>
                <w:color w:val="000000" w:themeColor="text1"/>
                <w:highlight w:val="none"/>
              </w:rPr>
            </w:pPr>
          </w:p>
        </w:tc>
        <w:tc>
          <w:tcPr>
            <w:tcW w:w="1497" w:type="dxa"/>
            <w:tcBorders>
              <w:top w:val="single" w:color="000000" w:sz="4" w:space="0"/>
              <w:left w:val="single" w:color="auto"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r>
              <w:rPr>
                <w:color w:val="000000" w:themeColor="text1"/>
                <w:highlight w:val="none"/>
              </w:rPr>
              <w:t>审</w:t>
            </w:r>
          </w:p>
          <w:p>
            <w:pPr>
              <w:spacing w:beforeLines="20" w:afterLines="30" w:line="240" w:lineRule="auto"/>
              <w:ind w:firstLine="0" w:firstLineChars="0"/>
              <w:jc w:val="center"/>
              <w:rPr>
                <w:color w:val="000000" w:themeColor="text1"/>
                <w:highlight w:val="none"/>
              </w:rPr>
            </w:pPr>
            <w:r>
              <w:rPr>
                <w:color w:val="000000" w:themeColor="text1"/>
                <w:highlight w:val="none"/>
              </w:rPr>
              <w:t>查</w:t>
            </w:r>
          </w:p>
          <w:p>
            <w:pPr>
              <w:spacing w:beforeLines="20" w:afterLines="30" w:line="240" w:lineRule="auto"/>
              <w:ind w:firstLine="0" w:firstLineChars="0"/>
              <w:jc w:val="center"/>
              <w:rPr>
                <w:color w:val="000000" w:themeColor="text1"/>
                <w:highlight w:val="none"/>
              </w:rPr>
            </w:pPr>
            <w:r>
              <w:rPr>
                <w:color w:val="000000" w:themeColor="text1"/>
                <w:highlight w:val="none"/>
              </w:rPr>
              <w:t>申</w:t>
            </w:r>
          </w:p>
          <w:p>
            <w:pPr>
              <w:spacing w:beforeLines="20" w:afterLines="30" w:line="240" w:lineRule="auto"/>
              <w:ind w:firstLine="0" w:firstLineChars="0"/>
              <w:jc w:val="center"/>
              <w:rPr>
                <w:color w:val="000000" w:themeColor="text1"/>
                <w:highlight w:val="none"/>
              </w:rPr>
            </w:pPr>
            <w:r>
              <w:rPr>
                <w:color w:val="000000" w:themeColor="text1"/>
                <w:highlight w:val="none"/>
              </w:rPr>
              <w:t>请</w:t>
            </w:r>
          </w:p>
        </w:tc>
        <w:tc>
          <w:tcPr>
            <w:tcW w:w="7941" w:type="dxa"/>
            <w:gridSpan w:val="5"/>
            <w:tcBorders>
              <w:top w:val="single" w:color="000000" w:sz="4" w:space="0"/>
              <w:left w:val="single" w:color="000000" w:sz="4" w:space="0"/>
              <w:bottom w:val="single" w:color="000000" w:sz="4" w:space="0"/>
              <w:right w:val="single" w:color="000000" w:sz="4" w:space="0"/>
            </w:tcBorders>
            <w:vAlign w:val="center"/>
          </w:tcPr>
          <w:p>
            <w:pPr>
              <w:spacing w:beforeLines="20" w:afterLines="30" w:line="240" w:lineRule="auto"/>
              <w:ind w:firstLine="0" w:firstLineChars="0"/>
              <w:jc w:val="center"/>
              <w:rPr>
                <w:color w:val="000000" w:themeColor="text1"/>
                <w:highlight w:val="none"/>
              </w:rPr>
            </w:pPr>
          </w:p>
          <w:p>
            <w:pPr>
              <w:jc w:val="left"/>
              <w:rPr>
                <w:color w:val="000000" w:themeColor="text1"/>
                <w:highlight w:val="none"/>
              </w:rPr>
            </w:pPr>
            <w:r>
              <w:rPr>
                <w:color w:val="000000" w:themeColor="text1"/>
                <w:highlight w:val="none"/>
              </w:rPr>
              <w:t>我单位已按要求编制矿山地质环境保护与土地复垦方案，保证方案中所引数据的真实性，同意按国家相关保密规定对文本进行相应处理后进行公示，承诺按批准后的方案做好矿山地质环境保护与土地复垦工作。</w:t>
            </w:r>
          </w:p>
          <w:p>
            <w:pPr>
              <w:jc w:val="left"/>
              <w:rPr>
                <w:color w:val="000000" w:themeColor="text1"/>
                <w:highlight w:val="none"/>
              </w:rPr>
            </w:pPr>
            <w:r>
              <w:rPr>
                <w:color w:val="000000" w:themeColor="text1"/>
                <w:highlight w:val="none"/>
              </w:rPr>
              <w:t>请予以审查。</w:t>
            </w:r>
          </w:p>
          <w:p>
            <w:pPr>
              <w:ind w:firstLine="0" w:firstLineChars="0"/>
              <w:jc w:val="center"/>
              <w:rPr>
                <w:color w:val="000000" w:themeColor="text1"/>
                <w:highlight w:val="none"/>
              </w:rPr>
            </w:pPr>
          </w:p>
          <w:p>
            <w:pPr>
              <w:ind w:firstLine="0" w:firstLineChars="0"/>
              <w:jc w:val="center"/>
              <w:rPr>
                <w:color w:val="000000" w:themeColor="text1"/>
                <w:highlight w:val="none"/>
              </w:rPr>
            </w:pPr>
          </w:p>
          <w:p>
            <w:pPr>
              <w:ind w:firstLine="0" w:firstLineChars="0"/>
              <w:jc w:val="center"/>
              <w:rPr>
                <w:color w:val="000000" w:themeColor="text1"/>
                <w:highlight w:val="none"/>
              </w:rPr>
            </w:pPr>
          </w:p>
          <w:p>
            <w:pPr>
              <w:ind w:left="3600" w:leftChars="1500" w:right="1200" w:firstLine="0" w:firstLineChars="0"/>
              <w:jc w:val="left"/>
              <w:rPr>
                <w:color w:val="000000" w:themeColor="text1"/>
                <w:highlight w:val="none"/>
              </w:rPr>
            </w:pPr>
            <w:r>
              <w:rPr>
                <w:color w:val="000000" w:themeColor="text1"/>
                <w:highlight w:val="none"/>
              </w:rPr>
              <w:t>申请单位（矿山企业）盖章</w:t>
            </w:r>
          </w:p>
          <w:p>
            <w:pPr>
              <w:ind w:left="3600" w:leftChars="1500" w:right="2400" w:firstLine="0" w:firstLineChars="0"/>
              <w:jc w:val="left"/>
              <w:rPr>
                <w:rFonts w:hint="eastAsia" w:eastAsia="宋体"/>
                <w:color w:val="000000" w:themeColor="text1"/>
                <w:highlight w:val="none"/>
                <w:lang w:eastAsia="zh-CN"/>
              </w:rPr>
            </w:pPr>
            <w:r>
              <w:rPr>
                <w:color w:val="000000" w:themeColor="text1"/>
                <w:highlight w:val="none"/>
              </w:rPr>
              <w:t>联系人：</w:t>
            </w:r>
            <w:r>
              <w:rPr>
                <w:rFonts w:hint="eastAsia"/>
                <w:color w:val="000000" w:themeColor="text1"/>
                <w:highlight w:val="none"/>
                <w:lang w:val="en-US" w:eastAsia="zh-CN"/>
              </w:rPr>
              <w:t xml:space="preserve"> </w:t>
            </w:r>
          </w:p>
          <w:p>
            <w:pPr>
              <w:ind w:left="3600" w:leftChars="1500" w:right="1440" w:firstLine="0" w:firstLineChars="0"/>
              <w:jc w:val="left"/>
              <w:rPr>
                <w:rFonts w:hint="eastAsia" w:eastAsia="宋体"/>
                <w:color w:val="000000" w:themeColor="text1"/>
                <w:highlight w:val="none"/>
                <w:lang w:eastAsia="zh-CN"/>
              </w:rPr>
            </w:pPr>
            <w:r>
              <w:rPr>
                <w:color w:val="000000" w:themeColor="text1"/>
                <w:highlight w:val="none"/>
              </w:rPr>
              <w:t>联系电话：</w:t>
            </w:r>
            <w:r>
              <w:rPr>
                <w:rFonts w:hint="eastAsia"/>
                <w:color w:val="000000" w:themeColor="text1"/>
                <w:highlight w:val="none"/>
                <w:lang w:val="en-US" w:eastAsia="zh-CN"/>
              </w:rPr>
              <w:t xml:space="preserve"> </w:t>
            </w:r>
          </w:p>
          <w:p>
            <w:pPr>
              <w:pStyle w:val="2"/>
              <w:spacing w:beforeLines="20" w:afterLines="30" w:line="240" w:lineRule="auto"/>
              <w:ind w:firstLine="562"/>
              <w:jc w:val="center"/>
              <w:rPr>
                <w:rFonts w:ascii="Times New Roman" w:hAnsi="Times New Roman" w:cs="Times New Roman"/>
                <w:color w:val="000000" w:themeColor="text1"/>
                <w:highlight w:val="none"/>
              </w:rPr>
            </w:pPr>
          </w:p>
        </w:tc>
      </w:tr>
    </w:tbl>
    <w:p>
      <w:pPr>
        <w:spacing w:line="240" w:lineRule="auto"/>
        <w:ind w:firstLine="0" w:firstLineChars="0"/>
        <w:jc w:val="center"/>
        <w:rPr>
          <w:rFonts w:eastAsiaTheme="minorEastAsia"/>
          <w:b/>
          <w:bCs/>
          <w:color w:val="000000" w:themeColor="text1"/>
          <w:sz w:val="30"/>
          <w:szCs w:val="30"/>
          <w:highlight w:val="none"/>
        </w:rPr>
      </w:pPr>
    </w:p>
    <w:p>
      <w:pPr>
        <w:spacing w:line="240" w:lineRule="auto"/>
        <w:ind w:firstLine="0" w:firstLineChars="0"/>
        <w:jc w:val="center"/>
        <w:rPr>
          <w:rFonts w:eastAsia="黑体"/>
          <w:color w:val="000000" w:themeColor="text1"/>
          <w:kern w:val="0"/>
          <w:sz w:val="32"/>
          <w:szCs w:val="32"/>
          <w:highlight w:val="none"/>
        </w:rPr>
        <w:sectPr>
          <w:footerReference r:id="rId8" w:type="default"/>
          <w:pgSz w:w="11906" w:h="16838"/>
          <w:pgMar w:top="1440" w:right="1800" w:bottom="1440" w:left="1800" w:header="624" w:footer="992" w:gutter="0"/>
          <w:pgNumType w:start="1"/>
          <w:cols w:space="425" w:num="1"/>
          <w:docGrid w:type="linesAndChars"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ascii="Times New Roman" w:hAnsi="Times New Roman" w:eastAsia="宋体" w:cs="Times New Roman"/>
          <w:color w:val="000000" w:themeColor="text1"/>
          <w:kern w:val="2"/>
          <w:sz w:val="24"/>
          <w:szCs w:val="24"/>
          <w:highlight w:val="none"/>
          <w:lang w:val="en-US" w:eastAsia="zh-CN" w:bidi="ar-SA"/>
        </w:rPr>
      </w:pPr>
      <w:r>
        <w:rPr>
          <w:b/>
          <w:color w:val="000000" w:themeColor="text1"/>
          <w:sz w:val="44"/>
          <w:szCs w:val="44"/>
          <w:highlight w:val="none"/>
        </w:rPr>
        <w:t>目</w:t>
      </w:r>
      <w:r>
        <w:rPr>
          <w:rFonts w:hint="eastAsia"/>
          <w:b/>
          <w:color w:val="000000" w:themeColor="text1"/>
          <w:sz w:val="44"/>
          <w:szCs w:val="44"/>
          <w:highlight w:val="none"/>
        </w:rPr>
        <w:t xml:space="preserve"> </w:t>
      </w:r>
      <w:r>
        <w:rPr>
          <w:b/>
          <w:color w:val="000000" w:themeColor="text1"/>
          <w:sz w:val="44"/>
          <w:szCs w:val="44"/>
          <w:highlight w:val="none"/>
        </w:rPr>
        <w:t>录</w:t>
      </w:r>
      <w:r>
        <w:rPr>
          <w:color w:val="000000" w:themeColor="text1"/>
          <w:highlight w:val="none"/>
        </w:rPr>
        <w:fldChar w:fldCharType="begin"/>
      </w:r>
      <w:r>
        <w:rPr>
          <w:color w:val="000000" w:themeColor="text1"/>
          <w:highlight w:val="none"/>
        </w:rPr>
        <w:instrText xml:space="preserve"> TOC \o "1-3" \h \z \u </w:instrText>
      </w:r>
      <w:r>
        <w:rPr>
          <w:color w:val="000000" w:themeColor="text1"/>
          <w:highlight w:val="none"/>
        </w:rPr>
        <w:fldChar w:fldCharType="separate"/>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_Toc28203 </w:instrText>
      </w:r>
      <w:r>
        <w:rPr>
          <w:highlight w:val="none"/>
        </w:rPr>
        <w:fldChar w:fldCharType="separate"/>
      </w:r>
      <w:r>
        <w:rPr>
          <w:highlight w:val="none"/>
        </w:rPr>
        <w:t>前言</w:t>
      </w:r>
      <w:r>
        <w:tab/>
      </w:r>
      <w:r>
        <w:fldChar w:fldCharType="begin"/>
      </w:r>
      <w:r>
        <w:instrText xml:space="preserve"> PAGEREF _Toc28203 </w:instrText>
      </w:r>
      <w:r>
        <w:fldChar w:fldCharType="separate"/>
      </w:r>
      <w:r>
        <w:t>1</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_Toc26093 </w:instrText>
      </w:r>
      <w:r>
        <w:rPr>
          <w:highlight w:val="none"/>
        </w:rPr>
        <w:fldChar w:fldCharType="separate"/>
      </w:r>
      <w:r>
        <w:rPr>
          <w:highlight w:val="none"/>
        </w:rPr>
        <w:t>1任务的由来</w:t>
      </w:r>
      <w:r>
        <w:tab/>
      </w:r>
      <w:r>
        <w:fldChar w:fldCharType="begin"/>
      </w:r>
      <w:r>
        <w:instrText xml:space="preserve"> PAGEREF _Toc26093 </w:instrText>
      </w:r>
      <w:r>
        <w:fldChar w:fldCharType="separate"/>
      </w:r>
      <w:r>
        <w:t>1</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_Toc1011 </w:instrText>
      </w:r>
      <w:r>
        <w:rPr>
          <w:highlight w:val="none"/>
        </w:rPr>
        <w:fldChar w:fldCharType="separate"/>
      </w:r>
      <w:r>
        <w:rPr>
          <w:highlight w:val="none"/>
        </w:rPr>
        <w:t>2编制目的</w:t>
      </w:r>
      <w:r>
        <w:tab/>
      </w:r>
      <w:r>
        <w:fldChar w:fldCharType="begin"/>
      </w:r>
      <w:r>
        <w:instrText xml:space="preserve"> PAGEREF _Toc1011 </w:instrText>
      </w:r>
      <w:r>
        <w:fldChar w:fldCharType="separate"/>
      </w:r>
      <w:r>
        <w:t>2</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_Toc25644 </w:instrText>
      </w:r>
      <w:r>
        <w:rPr>
          <w:highlight w:val="none"/>
        </w:rPr>
        <w:fldChar w:fldCharType="separate"/>
      </w:r>
      <w:r>
        <w:rPr>
          <w:highlight w:val="none"/>
        </w:rPr>
        <w:t>3编制依据</w:t>
      </w:r>
      <w:r>
        <w:tab/>
      </w:r>
      <w:r>
        <w:fldChar w:fldCharType="begin"/>
      </w:r>
      <w:r>
        <w:instrText xml:space="preserve"> PAGEREF _Toc25644 </w:instrText>
      </w:r>
      <w:r>
        <w:fldChar w:fldCharType="separate"/>
      </w:r>
      <w:r>
        <w:t>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_Toc30227 </w:instrText>
      </w:r>
      <w:r>
        <w:rPr>
          <w:highlight w:val="none"/>
        </w:rPr>
        <w:fldChar w:fldCharType="separate"/>
      </w:r>
      <w:r>
        <w:rPr>
          <w:highlight w:val="none"/>
        </w:rPr>
        <w:t>3.1法律法规</w:t>
      </w:r>
      <w:r>
        <w:tab/>
      </w:r>
      <w:r>
        <w:fldChar w:fldCharType="begin"/>
      </w:r>
      <w:r>
        <w:instrText xml:space="preserve"> PAGEREF _Toc30227 </w:instrText>
      </w:r>
      <w:r>
        <w:fldChar w:fldCharType="separate"/>
      </w:r>
      <w:r>
        <w:t>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_Toc17492 </w:instrText>
      </w:r>
      <w:r>
        <w:rPr>
          <w:highlight w:val="none"/>
        </w:rPr>
        <w:fldChar w:fldCharType="separate"/>
      </w:r>
      <w:r>
        <w:rPr>
          <w:highlight w:val="none"/>
        </w:rPr>
        <w:t>3.2规章文件</w:t>
      </w:r>
      <w:r>
        <w:tab/>
      </w:r>
      <w:r>
        <w:fldChar w:fldCharType="begin"/>
      </w:r>
      <w:r>
        <w:instrText xml:space="preserve"> PAGEREF _Toc17492 </w:instrText>
      </w:r>
      <w:r>
        <w:fldChar w:fldCharType="separate"/>
      </w:r>
      <w:r>
        <w:t>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_Toc15006 </w:instrText>
      </w:r>
      <w:r>
        <w:rPr>
          <w:highlight w:val="none"/>
        </w:rPr>
        <w:fldChar w:fldCharType="separate"/>
      </w:r>
      <w:r>
        <w:rPr>
          <w:highlight w:val="none"/>
        </w:rPr>
        <w:t>3.3标准规范</w:t>
      </w:r>
      <w:r>
        <w:tab/>
      </w:r>
      <w:r>
        <w:fldChar w:fldCharType="begin"/>
      </w:r>
      <w:r>
        <w:instrText xml:space="preserve"> PAGEREF _Toc15006 </w:instrText>
      </w:r>
      <w:r>
        <w:fldChar w:fldCharType="separate"/>
      </w:r>
      <w:r>
        <w:t>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_Toc11723 </w:instrText>
      </w:r>
      <w:r>
        <w:rPr>
          <w:highlight w:val="none"/>
        </w:rPr>
        <w:fldChar w:fldCharType="separate"/>
      </w:r>
      <w:r>
        <w:rPr>
          <w:highlight w:val="none"/>
        </w:rPr>
        <w:t>3.4技术文件及技术资料</w:t>
      </w:r>
      <w:r>
        <w:tab/>
      </w:r>
      <w:r>
        <w:fldChar w:fldCharType="begin"/>
      </w:r>
      <w:r>
        <w:instrText xml:space="preserve"> PAGEREF _Toc11723 </w:instrText>
      </w:r>
      <w:r>
        <w:fldChar w:fldCharType="separate"/>
      </w:r>
      <w:r>
        <w:t>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_Toc9878 </w:instrText>
      </w:r>
      <w:r>
        <w:rPr>
          <w:highlight w:val="none"/>
        </w:rPr>
        <w:fldChar w:fldCharType="separate"/>
      </w:r>
      <w:r>
        <w:rPr>
          <w:highlight w:val="none"/>
        </w:rPr>
        <w:t>4方案适用年限</w:t>
      </w:r>
      <w:r>
        <w:tab/>
      </w:r>
      <w:r>
        <w:fldChar w:fldCharType="begin"/>
      </w:r>
      <w:r>
        <w:instrText xml:space="preserve"> PAGEREF _Toc9878 </w:instrText>
      </w:r>
      <w:r>
        <w:fldChar w:fldCharType="separate"/>
      </w:r>
      <w:r>
        <w:t>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_Toc2034 </w:instrText>
      </w:r>
      <w:r>
        <w:rPr>
          <w:highlight w:val="none"/>
        </w:rPr>
        <w:fldChar w:fldCharType="separate"/>
      </w:r>
      <w:r>
        <w:rPr>
          <w:highlight w:val="none"/>
        </w:rPr>
        <w:t>4.1矿山服务年限</w:t>
      </w:r>
      <w:r>
        <w:tab/>
      </w:r>
      <w:r>
        <w:fldChar w:fldCharType="begin"/>
      </w:r>
      <w:r>
        <w:instrText xml:space="preserve"> PAGEREF _Toc2034 </w:instrText>
      </w:r>
      <w:r>
        <w:fldChar w:fldCharType="separate"/>
      </w:r>
      <w:r>
        <w:t>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_Toc30869 </w:instrText>
      </w:r>
      <w:r>
        <w:rPr>
          <w:highlight w:val="none"/>
        </w:rPr>
        <w:fldChar w:fldCharType="separate"/>
      </w:r>
      <w:r>
        <w:rPr>
          <w:highlight w:val="none"/>
        </w:rPr>
        <w:t>4.2矿山地质环境保护与土地复垦方案服务年限</w:t>
      </w:r>
      <w:r>
        <w:tab/>
      </w:r>
      <w:r>
        <w:fldChar w:fldCharType="begin"/>
      </w:r>
      <w:r>
        <w:instrText xml:space="preserve"> PAGEREF _Toc30869 </w:instrText>
      </w:r>
      <w:r>
        <w:fldChar w:fldCharType="separate"/>
      </w:r>
      <w:r>
        <w:t>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_Toc16563 </w:instrText>
      </w:r>
      <w:r>
        <w:rPr>
          <w:highlight w:val="none"/>
        </w:rPr>
        <w:fldChar w:fldCharType="separate"/>
      </w:r>
      <w:r>
        <w:rPr>
          <w:highlight w:val="none"/>
        </w:rPr>
        <w:t>5编制工作概况</w:t>
      </w:r>
      <w:r>
        <w:tab/>
      </w:r>
      <w:r>
        <w:fldChar w:fldCharType="begin"/>
      </w:r>
      <w:r>
        <w:instrText xml:space="preserve"> PAGEREF _Toc16563 </w:instrText>
      </w:r>
      <w:r>
        <w:fldChar w:fldCharType="separate"/>
      </w:r>
      <w:r>
        <w:t>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_Toc20917 </w:instrText>
      </w:r>
      <w:r>
        <w:rPr>
          <w:highlight w:val="none"/>
        </w:rPr>
        <w:fldChar w:fldCharType="separate"/>
      </w:r>
      <w:r>
        <w:rPr>
          <w:highlight w:val="none"/>
        </w:rPr>
        <w:t>5.1工作程序</w:t>
      </w:r>
      <w:r>
        <w:tab/>
      </w:r>
      <w:r>
        <w:fldChar w:fldCharType="begin"/>
      </w:r>
      <w:r>
        <w:instrText xml:space="preserve"> PAGEREF _Toc20917 </w:instrText>
      </w:r>
      <w:r>
        <w:fldChar w:fldCharType="separate"/>
      </w:r>
      <w:r>
        <w:t>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_Toc31822 </w:instrText>
      </w:r>
      <w:r>
        <w:rPr>
          <w:highlight w:val="none"/>
        </w:rPr>
        <w:fldChar w:fldCharType="separate"/>
      </w:r>
      <w:r>
        <w:rPr>
          <w:highlight w:val="none"/>
        </w:rPr>
        <w:t>5.2工作方法</w:t>
      </w:r>
      <w:r>
        <w:tab/>
      </w:r>
      <w:r>
        <w:fldChar w:fldCharType="begin"/>
      </w:r>
      <w:r>
        <w:instrText xml:space="preserve"> PAGEREF _Toc31822 </w:instrText>
      </w:r>
      <w:r>
        <w:fldChar w:fldCharType="separate"/>
      </w:r>
      <w:r>
        <w:t>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_Toc22165 </w:instrText>
      </w:r>
      <w:r>
        <w:rPr>
          <w:highlight w:val="none"/>
        </w:rPr>
        <w:fldChar w:fldCharType="separate"/>
      </w:r>
      <w:r>
        <w:rPr>
          <w:highlight w:val="none"/>
        </w:rPr>
        <w:t>5.3现场调查工作量</w:t>
      </w:r>
      <w:r>
        <w:tab/>
      </w:r>
      <w:r>
        <w:fldChar w:fldCharType="begin"/>
      </w:r>
      <w:r>
        <w:instrText xml:space="preserve"> PAGEREF _Toc22165 </w:instrText>
      </w:r>
      <w:r>
        <w:fldChar w:fldCharType="separate"/>
      </w:r>
      <w:r>
        <w:t>8</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_Toc8383 </w:instrText>
      </w:r>
      <w:r>
        <w:rPr>
          <w:highlight w:val="none"/>
        </w:rPr>
        <w:fldChar w:fldCharType="separate"/>
      </w:r>
      <w:r>
        <w:rPr>
          <w:highlight w:val="none"/>
        </w:rPr>
        <w:t>第一章矿山基本情况</w:t>
      </w:r>
      <w:r>
        <w:tab/>
      </w:r>
      <w:r>
        <w:fldChar w:fldCharType="begin"/>
      </w:r>
      <w:r>
        <w:instrText xml:space="preserve"> PAGEREF _Toc8383 </w:instrText>
      </w:r>
      <w:r>
        <w:fldChar w:fldCharType="separate"/>
      </w:r>
      <w:r>
        <w:t>10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_Toc16816 </w:instrText>
      </w:r>
      <w:r>
        <w:rPr>
          <w:highlight w:val="none"/>
        </w:rPr>
        <w:fldChar w:fldCharType="separate"/>
      </w:r>
      <w:r>
        <w:rPr>
          <w:highlight w:val="none"/>
        </w:rPr>
        <w:t>1.1矿山简介</w:t>
      </w:r>
      <w:r>
        <w:tab/>
      </w:r>
      <w:r>
        <w:fldChar w:fldCharType="begin"/>
      </w:r>
      <w:r>
        <w:instrText xml:space="preserve"> PAGEREF _Toc16816 </w:instrText>
      </w:r>
      <w:r>
        <w:fldChar w:fldCharType="separate"/>
      </w:r>
      <w:r>
        <w:t>10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_Toc316 </w:instrText>
      </w:r>
      <w:r>
        <w:rPr>
          <w:highlight w:val="none"/>
        </w:rPr>
        <w:fldChar w:fldCharType="separate"/>
      </w:r>
      <w:r>
        <w:rPr>
          <w:highlight w:val="none"/>
        </w:rPr>
        <w:t>1.2矿山范围及拐点坐标</w:t>
      </w:r>
      <w:r>
        <w:tab/>
      </w:r>
      <w:r>
        <w:fldChar w:fldCharType="begin"/>
      </w:r>
      <w:r>
        <w:instrText xml:space="preserve"> PAGEREF _Toc316 </w:instrText>
      </w:r>
      <w:r>
        <w:fldChar w:fldCharType="separate"/>
      </w:r>
      <w:r>
        <w:t>10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_Toc14702 </w:instrText>
      </w:r>
      <w:r>
        <w:rPr>
          <w:highlight w:val="none"/>
        </w:rPr>
        <w:fldChar w:fldCharType="separate"/>
      </w:r>
      <w:r>
        <w:rPr>
          <w:highlight w:val="none"/>
        </w:rPr>
        <w:t>1.3矿山开发利用方案概述</w:t>
      </w:r>
      <w:r>
        <w:tab/>
      </w:r>
      <w:r>
        <w:fldChar w:fldCharType="begin"/>
      </w:r>
      <w:r>
        <w:instrText xml:space="preserve"> PAGEREF _Toc14702 </w:instrText>
      </w:r>
      <w:r>
        <w:fldChar w:fldCharType="separate"/>
      </w:r>
      <w:r>
        <w:t>12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_Toc21132 </w:instrText>
      </w:r>
      <w:r>
        <w:rPr>
          <w:highlight w:val="none"/>
        </w:rPr>
        <w:fldChar w:fldCharType="separate"/>
      </w:r>
      <w:r>
        <w:rPr>
          <w:highlight w:val="none"/>
        </w:rPr>
        <w:t>1.3.1矿山建设规模及服务年限</w:t>
      </w:r>
      <w:r>
        <w:tab/>
      </w:r>
      <w:r>
        <w:fldChar w:fldCharType="begin"/>
      </w:r>
      <w:r>
        <w:instrText xml:space="preserve"> PAGEREF _Toc21132 </w:instrText>
      </w:r>
      <w:r>
        <w:fldChar w:fldCharType="separate"/>
      </w:r>
      <w:r>
        <w:t>12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_Toc3973 </w:instrText>
      </w:r>
      <w:r>
        <w:rPr>
          <w:highlight w:val="none"/>
        </w:rPr>
        <w:fldChar w:fldCharType="separate"/>
      </w:r>
      <w:r>
        <w:rPr>
          <w:highlight w:val="none"/>
        </w:rPr>
        <w:t>1.3.2地面建设工程布局</w:t>
      </w:r>
      <w:r>
        <w:tab/>
      </w:r>
      <w:r>
        <w:fldChar w:fldCharType="begin"/>
      </w:r>
      <w:r>
        <w:instrText xml:space="preserve"> PAGEREF _Toc3973 </w:instrText>
      </w:r>
      <w:r>
        <w:fldChar w:fldCharType="separate"/>
      </w:r>
      <w:r>
        <w:t>12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_Toc5971 </w:instrText>
      </w:r>
      <w:r>
        <w:rPr>
          <w:highlight w:val="none"/>
        </w:rPr>
        <w:fldChar w:fldCharType="separate"/>
      </w:r>
      <w:r>
        <w:rPr>
          <w:highlight w:val="none"/>
        </w:rPr>
        <w:t>1.3.3</w:t>
      </w:r>
      <w:r>
        <w:rPr>
          <w:rFonts w:hint="eastAsia"/>
          <w:highlight w:val="none"/>
        </w:rPr>
        <w:t xml:space="preserve"> 矿床的开采方式</w:t>
      </w:r>
      <w:r>
        <w:tab/>
      </w:r>
      <w:r>
        <w:fldChar w:fldCharType="begin"/>
      </w:r>
      <w:r>
        <w:instrText xml:space="preserve"> PAGEREF _Toc5971 </w:instrText>
      </w:r>
      <w:r>
        <w:fldChar w:fldCharType="separate"/>
      </w:r>
      <w:r>
        <w:t>13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_Toc31915 </w:instrText>
      </w:r>
      <w:r>
        <w:rPr>
          <w:highlight w:val="none"/>
        </w:rPr>
        <w:fldChar w:fldCharType="separate"/>
      </w:r>
      <w:r>
        <w:rPr>
          <w:highlight w:val="none"/>
        </w:rPr>
        <w:t>1.3.4采区布置及开采顺序</w:t>
      </w:r>
      <w:r>
        <w:tab/>
      </w:r>
      <w:r>
        <w:fldChar w:fldCharType="begin"/>
      </w:r>
      <w:r>
        <w:instrText xml:space="preserve"> PAGEREF _Toc31915 </w:instrText>
      </w:r>
      <w:r>
        <w:fldChar w:fldCharType="separate"/>
      </w:r>
      <w:r>
        <w:t>13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_Toc27528 </w:instrText>
      </w:r>
      <w:r>
        <w:rPr>
          <w:highlight w:val="none"/>
        </w:rPr>
        <w:fldChar w:fldCharType="separate"/>
      </w:r>
      <w:r>
        <w:rPr>
          <w:highlight w:val="none"/>
        </w:rPr>
        <w:t>1.3.6矿山废水的排放与处置</w:t>
      </w:r>
      <w:r>
        <w:tab/>
      </w:r>
      <w:r>
        <w:fldChar w:fldCharType="begin"/>
      </w:r>
      <w:r>
        <w:instrText xml:space="preserve"> PAGEREF _Toc27528 </w:instrText>
      </w:r>
      <w:r>
        <w:fldChar w:fldCharType="separate"/>
      </w:r>
      <w:r>
        <w:t>14</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_Toc17075 </w:instrText>
      </w:r>
      <w:r>
        <w:rPr>
          <w:highlight w:val="none"/>
        </w:rPr>
        <w:fldChar w:fldCharType="separate"/>
      </w:r>
      <w:r>
        <w:rPr>
          <w:highlight w:val="none"/>
        </w:rPr>
        <w:t>1.4矿山开采历史及现状</w:t>
      </w:r>
      <w:r>
        <w:tab/>
      </w:r>
      <w:r>
        <w:fldChar w:fldCharType="begin"/>
      </w:r>
      <w:r>
        <w:instrText xml:space="preserve"> PAGEREF _Toc17075 </w:instrText>
      </w:r>
      <w:r>
        <w:fldChar w:fldCharType="separate"/>
      </w:r>
      <w:r>
        <w:t>15</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_Toc4257 </w:instrText>
      </w:r>
      <w:r>
        <w:rPr>
          <w:highlight w:val="none"/>
        </w:rPr>
        <w:fldChar w:fldCharType="separate"/>
      </w:r>
      <w:r>
        <w:rPr>
          <w:highlight w:val="none"/>
        </w:rPr>
        <w:t>第二章矿区基本信息</w:t>
      </w:r>
      <w:r>
        <w:tab/>
      </w:r>
      <w:r>
        <w:fldChar w:fldCharType="begin"/>
      </w:r>
      <w:r>
        <w:instrText xml:space="preserve"> PAGEREF _Toc4257 </w:instrText>
      </w:r>
      <w:r>
        <w:fldChar w:fldCharType="separate"/>
      </w:r>
      <w:r>
        <w:t>16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_Toc12405 </w:instrText>
      </w:r>
      <w:r>
        <w:rPr>
          <w:highlight w:val="none"/>
        </w:rPr>
        <w:fldChar w:fldCharType="separate"/>
      </w:r>
      <w:r>
        <w:rPr>
          <w:highlight w:val="none"/>
        </w:rPr>
        <w:t>2.1矿区自然地理</w:t>
      </w:r>
      <w:r>
        <w:tab/>
      </w:r>
      <w:r>
        <w:fldChar w:fldCharType="begin"/>
      </w:r>
      <w:r>
        <w:instrText xml:space="preserve"> PAGEREF _Toc12405 </w:instrText>
      </w:r>
      <w:r>
        <w:fldChar w:fldCharType="separate"/>
      </w:r>
      <w:r>
        <w:t>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_Toc26699 </w:instrText>
      </w:r>
      <w:r>
        <w:rPr>
          <w:highlight w:val="none"/>
        </w:rPr>
        <w:fldChar w:fldCharType="separate"/>
      </w:r>
      <w:r>
        <w:rPr>
          <w:highlight w:val="none"/>
        </w:rPr>
        <w:t>1.3.5矿山固体废弃物堆放</w:t>
      </w:r>
      <w:r>
        <w:tab/>
      </w:r>
      <w:r>
        <w:fldChar w:fldCharType="begin"/>
      </w:r>
      <w:r>
        <w:instrText xml:space="preserve"> PAGEREF _Toc26699 </w:instrText>
      </w:r>
      <w:r>
        <w:fldChar w:fldCharType="separate"/>
      </w:r>
      <w:r>
        <w:t>14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_Toc7747 </w:instrText>
      </w:r>
      <w:r>
        <w:rPr>
          <w:highlight w:val="none"/>
        </w:rPr>
        <w:fldChar w:fldCharType="separate"/>
      </w:r>
      <w:r>
        <w:rPr>
          <w:highlight w:val="none"/>
        </w:rPr>
        <w:t>2.1.1气象</w:t>
      </w:r>
      <w:r>
        <w:tab/>
      </w:r>
      <w:r>
        <w:fldChar w:fldCharType="begin"/>
      </w:r>
      <w:r>
        <w:instrText xml:space="preserve"> PAGEREF _Toc7747 </w:instrText>
      </w:r>
      <w:r>
        <w:fldChar w:fldCharType="separate"/>
      </w:r>
      <w:r>
        <w:t>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_Toc14750 </w:instrText>
      </w:r>
      <w:r>
        <w:rPr>
          <w:highlight w:val="none"/>
        </w:rPr>
        <w:fldChar w:fldCharType="separate"/>
      </w:r>
      <w:r>
        <w:rPr>
          <w:highlight w:val="none"/>
        </w:rPr>
        <w:t>2.1.2水文</w:t>
      </w:r>
      <w:r>
        <w:tab/>
      </w:r>
      <w:r>
        <w:fldChar w:fldCharType="begin"/>
      </w:r>
      <w:r>
        <w:instrText xml:space="preserve"> PAGEREF _Toc14750 </w:instrText>
      </w:r>
      <w:r>
        <w:fldChar w:fldCharType="separate"/>
      </w:r>
      <w:r>
        <w:t>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_Toc28341 </w:instrText>
      </w:r>
      <w:r>
        <w:rPr>
          <w:highlight w:val="none"/>
        </w:rPr>
        <w:fldChar w:fldCharType="separate"/>
      </w:r>
      <w:r>
        <w:rPr>
          <w:highlight w:val="none"/>
        </w:rPr>
        <w:t>2.1.3地形地貌</w:t>
      </w:r>
      <w:r>
        <w:tab/>
      </w:r>
      <w:r>
        <w:fldChar w:fldCharType="begin"/>
      </w:r>
      <w:r>
        <w:instrText xml:space="preserve"> PAGEREF _Toc28341 </w:instrText>
      </w:r>
      <w:r>
        <w:fldChar w:fldCharType="separate"/>
      </w:r>
      <w:r>
        <w:t>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_Toc15659 </w:instrText>
      </w:r>
      <w:r>
        <w:rPr>
          <w:highlight w:val="none"/>
        </w:rPr>
        <w:fldChar w:fldCharType="separate"/>
      </w:r>
      <w:r>
        <w:rPr>
          <w:highlight w:val="none"/>
        </w:rPr>
        <w:t>2.1.4植被</w:t>
      </w:r>
      <w:r>
        <w:tab/>
      </w:r>
      <w:r>
        <w:fldChar w:fldCharType="begin"/>
      </w:r>
      <w:r>
        <w:instrText xml:space="preserve"> PAGEREF _Toc15659 </w:instrText>
      </w:r>
      <w:r>
        <w:fldChar w:fldCharType="separate"/>
      </w:r>
      <w:r>
        <w:t>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_Toc16137 </w:instrText>
      </w:r>
      <w:r>
        <w:rPr>
          <w:highlight w:val="none"/>
        </w:rPr>
        <w:fldChar w:fldCharType="separate"/>
      </w:r>
      <w:r>
        <w:rPr>
          <w:highlight w:val="none"/>
        </w:rPr>
        <w:t>2.1.5土壤</w:t>
      </w:r>
      <w:r>
        <w:tab/>
      </w:r>
      <w:r>
        <w:fldChar w:fldCharType="begin"/>
      </w:r>
      <w:r>
        <w:instrText xml:space="preserve"> PAGEREF _Toc16137 </w:instrText>
      </w:r>
      <w:r>
        <w:fldChar w:fldCharType="separate"/>
      </w:r>
      <w:r>
        <w:t>17</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_Toc3679 </w:instrText>
      </w:r>
      <w:r>
        <w:rPr>
          <w:highlight w:val="none"/>
        </w:rPr>
        <w:fldChar w:fldCharType="separate"/>
      </w:r>
      <w:r>
        <w:rPr>
          <w:rFonts w:hint="eastAsia"/>
          <w:highlight w:val="none"/>
          <w:lang w:val="zh-CN"/>
        </w:rPr>
        <w:t>矿区土壤主要为黄壤和黄棕壤两种类型</w:t>
      </w:r>
      <w:r>
        <w:tab/>
      </w:r>
      <w:r>
        <w:fldChar w:fldCharType="begin"/>
      </w:r>
      <w:r>
        <w:instrText xml:space="preserve"> PAGEREF _Toc3679 </w:instrText>
      </w:r>
      <w:r>
        <w:fldChar w:fldCharType="separate"/>
      </w:r>
      <w:r>
        <w:t>17</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_Toc2937 </w:instrText>
      </w:r>
      <w:r>
        <w:rPr>
          <w:highlight w:val="none"/>
        </w:rPr>
        <w:fldChar w:fldCharType="separate"/>
      </w:r>
      <w:r>
        <w:rPr>
          <w:highlight w:val="none"/>
        </w:rPr>
        <w:t>2.2矿区地质环境背景</w:t>
      </w:r>
      <w:r>
        <w:tab/>
      </w:r>
      <w:r>
        <w:fldChar w:fldCharType="begin"/>
      </w:r>
      <w:r>
        <w:instrText xml:space="preserve"> PAGEREF _Toc2937 </w:instrText>
      </w:r>
      <w:r>
        <w:fldChar w:fldCharType="separate"/>
      </w:r>
      <w:r>
        <w:t>18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_Toc21770 </w:instrText>
      </w:r>
      <w:r>
        <w:rPr>
          <w:highlight w:val="none"/>
        </w:rPr>
        <w:fldChar w:fldCharType="separate"/>
      </w:r>
      <w:r>
        <w:rPr>
          <w:highlight w:val="none"/>
        </w:rPr>
        <w:t>2.2.1地层岩性</w:t>
      </w:r>
      <w:r>
        <w:tab/>
      </w:r>
      <w:r>
        <w:fldChar w:fldCharType="begin"/>
      </w:r>
      <w:r>
        <w:instrText xml:space="preserve"> PAGEREF _Toc21770 </w:instrText>
      </w:r>
      <w:r>
        <w:fldChar w:fldCharType="separate"/>
      </w:r>
      <w:r>
        <w:t>18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_Toc28456 </w:instrText>
      </w:r>
      <w:r>
        <w:rPr>
          <w:highlight w:val="none"/>
        </w:rPr>
        <w:fldChar w:fldCharType="separate"/>
      </w:r>
      <w:r>
        <w:rPr>
          <w:highlight w:val="none"/>
        </w:rPr>
        <w:t>2.2.2地质构造</w:t>
      </w:r>
      <w:r>
        <w:tab/>
      </w:r>
      <w:r>
        <w:fldChar w:fldCharType="begin"/>
      </w:r>
      <w:r>
        <w:instrText xml:space="preserve"> PAGEREF _Toc28456 </w:instrText>
      </w:r>
      <w:r>
        <w:fldChar w:fldCharType="separate"/>
      </w:r>
      <w:r>
        <w:t>19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_Toc20492 </w:instrText>
      </w:r>
      <w:r>
        <w:rPr>
          <w:highlight w:val="none"/>
        </w:rPr>
        <w:fldChar w:fldCharType="separate"/>
      </w:r>
      <w:r>
        <w:rPr>
          <w:highlight w:val="none"/>
        </w:rPr>
        <w:t>2.2.3水文地质</w:t>
      </w:r>
      <w:r>
        <w:tab/>
      </w:r>
      <w:r>
        <w:fldChar w:fldCharType="begin"/>
      </w:r>
      <w:r>
        <w:instrText xml:space="preserve"> PAGEREF _Toc20492 </w:instrText>
      </w:r>
      <w:r>
        <w:fldChar w:fldCharType="separate"/>
      </w:r>
      <w:r>
        <w:t>19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_Toc9369 </w:instrText>
      </w:r>
      <w:r>
        <w:rPr>
          <w:highlight w:val="none"/>
        </w:rPr>
        <w:fldChar w:fldCharType="separate"/>
      </w:r>
      <w:r>
        <w:rPr>
          <w:highlight w:val="none"/>
        </w:rPr>
        <w:t>2.2.4工程地质</w:t>
      </w:r>
      <w:r>
        <w:tab/>
      </w:r>
      <w:r>
        <w:fldChar w:fldCharType="begin"/>
      </w:r>
      <w:r>
        <w:instrText xml:space="preserve"> PAGEREF _Toc9369 </w:instrText>
      </w:r>
      <w:r>
        <w:fldChar w:fldCharType="separate"/>
      </w:r>
      <w:r>
        <w:t>21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_Toc29299 </w:instrText>
      </w:r>
      <w:r>
        <w:rPr>
          <w:highlight w:val="none"/>
        </w:rPr>
        <w:fldChar w:fldCharType="separate"/>
      </w:r>
      <w:r>
        <w:rPr>
          <w:highlight w:val="none"/>
        </w:rPr>
        <w:t>2.2.5其他开采技术条件</w:t>
      </w:r>
      <w:r>
        <w:tab/>
      </w:r>
      <w:r>
        <w:fldChar w:fldCharType="begin"/>
      </w:r>
      <w:r>
        <w:instrText xml:space="preserve"> PAGEREF _Toc29299 </w:instrText>
      </w:r>
      <w:r>
        <w:fldChar w:fldCharType="separate"/>
      </w:r>
      <w:r>
        <w:t>21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_Toc21204 </w:instrText>
      </w:r>
      <w:r>
        <w:rPr>
          <w:highlight w:val="none"/>
        </w:rPr>
        <w:fldChar w:fldCharType="separate"/>
      </w:r>
      <w:r>
        <w:rPr>
          <w:highlight w:val="none"/>
        </w:rPr>
        <w:t>2.2.6矿体地质特征</w:t>
      </w:r>
      <w:r>
        <w:tab/>
      </w:r>
      <w:r>
        <w:fldChar w:fldCharType="begin"/>
      </w:r>
      <w:r>
        <w:instrText xml:space="preserve"> PAGEREF _Toc21204 </w:instrText>
      </w:r>
      <w:r>
        <w:fldChar w:fldCharType="separate"/>
      </w:r>
      <w:r>
        <w:t>22</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_Toc3732 </w:instrText>
      </w:r>
      <w:r>
        <w:rPr>
          <w:highlight w:val="none"/>
        </w:rPr>
        <w:fldChar w:fldCharType="separate"/>
      </w:r>
      <w:r>
        <w:rPr>
          <w:highlight w:val="none"/>
        </w:rPr>
        <w:t>2.3矿区社会经济概况</w:t>
      </w:r>
      <w:r>
        <w:tab/>
      </w:r>
      <w:r>
        <w:fldChar w:fldCharType="begin"/>
      </w:r>
      <w:r>
        <w:instrText xml:space="preserve"> PAGEREF _Toc3732 </w:instrText>
      </w:r>
      <w:r>
        <w:fldChar w:fldCharType="separate"/>
      </w:r>
      <w:r>
        <w:t>24</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_Toc21658 </w:instrText>
      </w:r>
      <w:r>
        <w:rPr>
          <w:highlight w:val="none"/>
        </w:rPr>
        <w:fldChar w:fldCharType="separate"/>
      </w:r>
      <w:r>
        <w:rPr>
          <w:highlight w:val="none"/>
        </w:rPr>
        <w:t>2.4矿区土地利用现状</w:t>
      </w:r>
      <w:r>
        <w:tab/>
      </w:r>
      <w:r>
        <w:fldChar w:fldCharType="begin"/>
      </w:r>
      <w:r>
        <w:instrText xml:space="preserve"> PAGEREF _Toc21658 </w:instrText>
      </w:r>
      <w:r>
        <w:fldChar w:fldCharType="separate"/>
      </w:r>
      <w:r>
        <w:t>25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_Toc9958 </w:instrText>
      </w:r>
      <w:r>
        <w:rPr>
          <w:highlight w:val="none"/>
        </w:rPr>
        <w:fldChar w:fldCharType="separate"/>
      </w:r>
      <w:r>
        <w:rPr>
          <w:highlight w:val="none"/>
        </w:rPr>
        <w:t>2.4.1土地利用类型</w:t>
      </w:r>
      <w:r>
        <w:tab/>
      </w:r>
      <w:r>
        <w:fldChar w:fldCharType="begin"/>
      </w:r>
      <w:r>
        <w:instrText xml:space="preserve"> PAGEREF _Toc9958 </w:instrText>
      </w:r>
      <w:r>
        <w:fldChar w:fldCharType="separate"/>
      </w:r>
      <w:r>
        <w:t>25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_Toc21084 </w:instrText>
      </w:r>
      <w:r>
        <w:rPr>
          <w:highlight w:val="none"/>
        </w:rPr>
        <w:fldChar w:fldCharType="separate"/>
      </w:r>
      <w:r>
        <w:rPr>
          <w:highlight w:val="none"/>
        </w:rPr>
        <w:t>2.4.2土地权属状况</w:t>
      </w:r>
      <w:r>
        <w:tab/>
      </w:r>
      <w:r>
        <w:fldChar w:fldCharType="begin"/>
      </w:r>
      <w:r>
        <w:instrText xml:space="preserve"> PAGEREF _Toc21084 </w:instrText>
      </w:r>
      <w:r>
        <w:fldChar w:fldCharType="separate"/>
      </w:r>
      <w:r>
        <w:t>25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_Toc31391 </w:instrText>
      </w:r>
      <w:r>
        <w:rPr>
          <w:highlight w:val="none"/>
        </w:rPr>
        <w:fldChar w:fldCharType="separate"/>
      </w:r>
      <w:r>
        <w:rPr>
          <w:highlight w:val="none"/>
        </w:rPr>
        <w:t>2.5矿山及周边其他人类重大工程活动</w:t>
      </w:r>
      <w:r>
        <w:tab/>
      </w:r>
      <w:r>
        <w:fldChar w:fldCharType="begin"/>
      </w:r>
      <w:r>
        <w:instrText xml:space="preserve"> PAGEREF _Toc31391 </w:instrText>
      </w:r>
      <w:r>
        <w:fldChar w:fldCharType="separate"/>
      </w:r>
      <w:r>
        <w:t>26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_Toc3282 </w:instrText>
      </w:r>
      <w:r>
        <w:rPr>
          <w:highlight w:val="none"/>
        </w:rPr>
        <w:fldChar w:fldCharType="separate"/>
      </w:r>
      <w:r>
        <w:rPr>
          <w:highlight w:val="none"/>
        </w:rPr>
        <w:t>2.6矿山及周边矿山地质环境治理与土地复垦方案案例分析</w:t>
      </w:r>
      <w:r>
        <w:tab/>
      </w:r>
      <w:r>
        <w:fldChar w:fldCharType="begin"/>
      </w:r>
      <w:r>
        <w:instrText xml:space="preserve"> PAGEREF _Toc3282 </w:instrText>
      </w:r>
      <w:r>
        <w:fldChar w:fldCharType="separate"/>
      </w:r>
      <w:r>
        <w:t>26</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_Toc21615 </w:instrText>
      </w:r>
      <w:r>
        <w:rPr>
          <w:highlight w:val="none"/>
        </w:rPr>
        <w:fldChar w:fldCharType="separate"/>
      </w:r>
      <w:r>
        <w:rPr>
          <w:highlight w:val="none"/>
        </w:rPr>
        <w:t>第三章矿山地质环境影响和土地损毁评估</w:t>
      </w:r>
      <w:r>
        <w:tab/>
      </w:r>
      <w:r>
        <w:fldChar w:fldCharType="begin"/>
      </w:r>
      <w:r>
        <w:instrText xml:space="preserve"> PAGEREF _Toc21615 </w:instrText>
      </w:r>
      <w:r>
        <w:fldChar w:fldCharType="separate"/>
      </w:r>
      <w:r>
        <w:t>27</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_Toc25959 </w:instrText>
      </w:r>
      <w:r>
        <w:rPr>
          <w:highlight w:val="none"/>
        </w:rPr>
        <w:fldChar w:fldCharType="separate"/>
      </w:r>
      <w:r>
        <w:rPr>
          <w:highlight w:val="none"/>
        </w:rPr>
        <w:t>3.1矿山地质环境与土地资源调查概述</w:t>
      </w:r>
      <w:r>
        <w:tab/>
      </w:r>
      <w:r>
        <w:fldChar w:fldCharType="begin"/>
      </w:r>
      <w:r>
        <w:instrText xml:space="preserve"> PAGEREF _Toc25959 </w:instrText>
      </w:r>
      <w:r>
        <w:fldChar w:fldCharType="separate"/>
      </w:r>
      <w:r>
        <w:t>27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_Toc5061 </w:instrText>
      </w:r>
      <w:r>
        <w:rPr>
          <w:highlight w:val="none"/>
        </w:rPr>
        <w:fldChar w:fldCharType="separate"/>
      </w:r>
      <w:r>
        <w:rPr>
          <w:highlight w:val="none"/>
        </w:rPr>
        <w:t>3.1.1矿山地质环境调查概述</w:t>
      </w:r>
      <w:r>
        <w:tab/>
      </w:r>
      <w:r>
        <w:fldChar w:fldCharType="begin"/>
      </w:r>
      <w:r>
        <w:instrText xml:space="preserve"> PAGEREF _Toc5061 </w:instrText>
      </w:r>
      <w:r>
        <w:fldChar w:fldCharType="separate"/>
      </w:r>
      <w:r>
        <w:t>27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_Toc23245 </w:instrText>
      </w:r>
      <w:r>
        <w:rPr>
          <w:highlight w:val="none"/>
        </w:rPr>
        <w:fldChar w:fldCharType="separate"/>
      </w:r>
      <w:r>
        <w:rPr>
          <w:highlight w:val="none"/>
        </w:rPr>
        <w:t>3.1.2土地资源调查概述</w:t>
      </w:r>
      <w:r>
        <w:tab/>
      </w:r>
      <w:r>
        <w:fldChar w:fldCharType="begin"/>
      </w:r>
      <w:r>
        <w:instrText xml:space="preserve"> PAGEREF _Toc23245 </w:instrText>
      </w:r>
      <w:r>
        <w:fldChar w:fldCharType="separate"/>
      </w:r>
      <w:r>
        <w:t>27</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_Toc28029 </w:instrText>
      </w:r>
      <w:r>
        <w:rPr>
          <w:highlight w:val="none"/>
        </w:rPr>
        <w:fldChar w:fldCharType="separate"/>
      </w:r>
      <w:r>
        <w:rPr>
          <w:highlight w:val="none"/>
        </w:rPr>
        <w:t>3.2地质环境影响评估</w:t>
      </w:r>
      <w:r>
        <w:tab/>
      </w:r>
      <w:r>
        <w:fldChar w:fldCharType="begin"/>
      </w:r>
      <w:r>
        <w:instrText xml:space="preserve"> PAGEREF _Toc28029 </w:instrText>
      </w:r>
      <w:r>
        <w:fldChar w:fldCharType="separate"/>
      </w:r>
      <w:r>
        <w:t>28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_Toc9085 </w:instrText>
      </w:r>
      <w:r>
        <w:rPr>
          <w:highlight w:val="none"/>
        </w:rPr>
        <w:fldChar w:fldCharType="separate"/>
      </w:r>
      <w:r>
        <w:rPr>
          <w:highlight w:val="none"/>
        </w:rPr>
        <w:t>3.2.1评估范围和评估级别</w:t>
      </w:r>
      <w:r>
        <w:tab/>
      </w:r>
      <w:r>
        <w:fldChar w:fldCharType="begin"/>
      </w:r>
      <w:r>
        <w:instrText xml:space="preserve"> PAGEREF _Toc9085 </w:instrText>
      </w:r>
      <w:r>
        <w:fldChar w:fldCharType="separate"/>
      </w:r>
      <w:r>
        <w:t>28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_Toc1789 </w:instrText>
      </w:r>
      <w:r>
        <w:rPr>
          <w:highlight w:val="none"/>
        </w:rPr>
        <w:fldChar w:fldCharType="separate"/>
      </w:r>
      <w:r>
        <w:rPr>
          <w:highlight w:val="none"/>
        </w:rPr>
        <w:t>3.2.2矿山地质灾害现状分析与预测</w:t>
      </w:r>
      <w:r>
        <w:tab/>
      </w:r>
      <w:r>
        <w:fldChar w:fldCharType="begin"/>
      </w:r>
      <w:r>
        <w:instrText xml:space="preserve"> PAGEREF _Toc1789 </w:instrText>
      </w:r>
      <w:r>
        <w:fldChar w:fldCharType="separate"/>
      </w:r>
      <w:r>
        <w:t>32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_Toc7408 </w:instrText>
      </w:r>
      <w:r>
        <w:rPr>
          <w:highlight w:val="none"/>
        </w:rPr>
        <w:fldChar w:fldCharType="separate"/>
      </w:r>
      <w:r>
        <w:rPr>
          <w:highlight w:val="none"/>
        </w:rPr>
        <w:t>3.2.3矿区含水层破坏现状与预测</w:t>
      </w:r>
      <w:r>
        <w:tab/>
      </w:r>
      <w:r>
        <w:fldChar w:fldCharType="begin"/>
      </w:r>
      <w:r>
        <w:instrText xml:space="preserve"> PAGEREF _Toc7408 </w:instrText>
      </w:r>
      <w:r>
        <w:fldChar w:fldCharType="separate"/>
      </w:r>
      <w:r>
        <w:t>34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_Toc26354 </w:instrText>
      </w:r>
      <w:r>
        <w:rPr>
          <w:highlight w:val="none"/>
        </w:rPr>
        <w:fldChar w:fldCharType="separate"/>
      </w:r>
      <w:r>
        <w:rPr>
          <w:highlight w:val="none"/>
        </w:rPr>
        <w:t>3.2.4矿区地形地貌景观破坏现状分析与预测</w:t>
      </w:r>
      <w:r>
        <w:tab/>
      </w:r>
      <w:r>
        <w:fldChar w:fldCharType="begin"/>
      </w:r>
      <w:r>
        <w:instrText xml:space="preserve"> PAGEREF _Toc26354 </w:instrText>
      </w:r>
      <w:r>
        <w:fldChar w:fldCharType="separate"/>
      </w:r>
      <w:r>
        <w:t>35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_Toc15818 </w:instrText>
      </w:r>
      <w:r>
        <w:rPr>
          <w:highlight w:val="none"/>
        </w:rPr>
        <w:fldChar w:fldCharType="separate"/>
      </w:r>
      <w:r>
        <w:rPr>
          <w:highlight w:val="none"/>
        </w:rPr>
        <w:t>3.2.5矿区水土环境污染现状分析与预测</w:t>
      </w:r>
      <w:r>
        <w:tab/>
      </w:r>
      <w:r>
        <w:fldChar w:fldCharType="begin"/>
      </w:r>
      <w:r>
        <w:instrText xml:space="preserve"> PAGEREF _Toc15818 </w:instrText>
      </w:r>
      <w:r>
        <w:fldChar w:fldCharType="separate"/>
      </w:r>
      <w:r>
        <w:t>36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_Toc20824 </w:instrText>
      </w:r>
      <w:r>
        <w:rPr>
          <w:highlight w:val="none"/>
        </w:rPr>
        <w:fldChar w:fldCharType="separate"/>
      </w:r>
      <w:r>
        <w:rPr>
          <w:highlight w:val="none"/>
        </w:rPr>
        <w:t>3.2.6矿山地质环境影响评估总述</w:t>
      </w:r>
      <w:r>
        <w:tab/>
      </w:r>
      <w:r>
        <w:fldChar w:fldCharType="begin"/>
      </w:r>
      <w:r>
        <w:instrText xml:space="preserve"> PAGEREF _Toc20824 </w:instrText>
      </w:r>
      <w:r>
        <w:fldChar w:fldCharType="separate"/>
      </w:r>
      <w:r>
        <w:t>36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_Toc27228 </w:instrText>
      </w:r>
      <w:r>
        <w:rPr>
          <w:highlight w:val="none"/>
        </w:rPr>
        <w:fldChar w:fldCharType="separate"/>
      </w:r>
      <w:r>
        <w:rPr>
          <w:highlight w:val="none"/>
        </w:rPr>
        <w:t>3.3矿山土地损毁预测与评估</w:t>
      </w:r>
      <w:r>
        <w:tab/>
      </w:r>
      <w:r>
        <w:fldChar w:fldCharType="begin"/>
      </w:r>
      <w:r>
        <w:instrText xml:space="preserve"> PAGEREF _Toc27228 </w:instrText>
      </w:r>
      <w:r>
        <w:fldChar w:fldCharType="separate"/>
      </w:r>
      <w:r>
        <w:t>37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_Toc4215 </w:instrText>
      </w:r>
      <w:r>
        <w:rPr>
          <w:highlight w:val="none"/>
        </w:rPr>
        <w:fldChar w:fldCharType="separate"/>
      </w:r>
      <w:r>
        <w:rPr>
          <w:highlight w:val="none"/>
        </w:rPr>
        <w:t>3.3.1土地损毁环节与时序</w:t>
      </w:r>
      <w:r>
        <w:tab/>
      </w:r>
      <w:r>
        <w:fldChar w:fldCharType="begin"/>
      </w:r>
      <w:r>
        <w:instrText xml:space="preserve"> PAGEREF _Toc4215 </w:instrText>
      </w:r>
      <w:r>
        <w:fldChar w:fldCharType="separate"/>
      </w:r>
      <w:r>
        <w:t>37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_Toc17951 </w:instrText>
      </w:r>
      <w:r>
        <w:rPr>
          <w:highlight w:val="none"/>
        </w:rPr>
        <w:fldChar w:fldCharType="separate"/>
      </w:r>
      <w:r>
        <w:rPr>
          <w:highlight w:val="none"/>
        </w:rPr>
        <w:t>3.3.2已损毁各类土地现状</w:t>
      </w:r>
      <w:r>
        <w:tab/>
      </w:r>
      <w:r>
        <w:fldChar w:fldCharType="begin"/>
      </w:r>
      <w:r>
        <w:instrText xml:space="preserve"> PAGEREF _Toc17951 </w:instrText>
      </w:r>
      <w:r>
        <w:fldChar w:fldCharType="separate"/>
      </w:r>
      <w:r>
        <w:t>38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_Toc31471 </w:instrText>
      </w:r>
      <w:r>
        <w:rPr>
          <w:highlight w:val="none"/>
        </w:rPr>
        <w:fldChar w:fldCharType="separate"/>
      </w:r>
      <w:r>
        <w:rPr>
          <w:highlight w:val="none"/>
        </w:rPr>
        <w:t>3.3.3拟损毁土地预测与评估</w:t>
      </w:r>
      <w:r>
        <w:tab/>
      </w:r>
      <w:r>
        <w:fldChar w:fldCharType="begin"/>
      </w:r>
      <w:r>
        <w:instrText xml:space="preserve"> PAGEREF _Toc31471 </w:instrText>
      </w:r>
      <w:r>
        <w:fldChar w:fldCharType="separate"/>
      </w:r>
      <w:r>
        <w:t>38</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_Toc12822 </w:instrText>
      </w:r>
      <w:r>
        <w:rPr>
          <w:highlight w:val="none"/>
        </w:rPr>
        <w:fldChar w:fldCharType="separate"/>
      </w:r>
      <w:r>
        <w:rPr>
          <w:highlight w:val="none"/>
        </w:rPr>
        <w:t>3.4矿山环境治理分区与土地复垦范围</w:t>
      </w:r>
      <w:r>
        <w:tab/>
      </w:r>
      <w:r>
        <w:fldChar w:fldCharType="begin"/>
      </w:r>
      <w:r>
        <w:instrText xml:space="preserve"> PAGEREF _Toc12822 </w:instrText>
      </w:r>
      <w:r>
        <w:fldChar w:fldCharType="separate"/>
      </w:r>
      <w:r>
        <w:t>39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_Toc18194 </w:instrText>
      </w:r>
      <w:r>
        <w:rPr>
          <w:highlight w:val="none"/>
        </w:rPr>
        <w:fldChar w:fldCharType="separate"/>
      </w:r>
      <w:r>
        <w:rPr>
          <w:highlight w:val="none"/>
        </w:rPr>
        <w:t>3.4.1矿山地质环境保护与恢复治理分区</w:t>
      </w:r>
      <w:r>
        <w:tab/>
      </w:r>
      <w:r>
        <w:fldChar w:fldCharType="begin"/>
      </w:r>
      <w:r>
        <w:instrText xml:space="preserve"> PAGEREF _Toc18194 </w:instrText>
      </w:r>
      <w:r>
        <w:fldChar w:fldCharType="separate"/>
      </w:r>
      <w:r>
        <w:t>39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_Toc26426 </w:instrText>
      </w:r>
      <w:r>
        <w:rPr>
          <w:highlight w:val="none"/>
        </w:rPr>
        <w:fldChar w:fldCharType="separate"/>
      </w:r>
      <w:r>
        <w:rPr>
          <w:highlight w:val="none"/>
        </w:rPr>
        <w:t>3.4.2土地复垦区与复垦责任范围</w:t>
      </w:r>
      <w:r>
        <w:tab/>
      </w:r>
      <w:r>
        <w:fldChar w:fldCharType="begin"/>
      </w:r>
      <w:r>
        <w:instrText xml:space="preserve"> PAGEREF _Toc26426 </w:instrText>
      </w:r>
      <w:r>
        <w:fldChar w:fldCharType="separate"/>
      </w:r>
      <w:r>
        <w:t>41</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_Toc32281 </w:instrText>
      </w:r>
      <w:r>
        <w:rPr>
          <w:highlight w:val="none"/>
        </w:rPr>
        <w:fldChar w:fldCharType="separate"/>
      </w:r>
      <w:r>
        <w:rPr>
          <w:highlight w:val="none"/>
        </w:rPr>
        <w:t>第四章矿山地质环境治理与土地复垦可行性分析</w:t>
      </w:r>
      <w:r>
        <w:tab/>
      </w:r>
      <w:r>
        <w:fldChar w:fldCharType="begin"/>
      </w:r>
      <w:r>
        <w:instrText xml:space="preserve"> PAGEREF _Toc32281 </w:instrText>
      </w:r>
      <w:r>
        <w:fldChar w:fldCharType="separate"/>
      </w:r>
      <w:r>
        <w:t>42</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_Toc21860 </w:instrText>
      </w:r>
      <w:r>
        <w:rPr>
          <w:highlight w:val="none"/>
        </w:rPr>
        <w:fldChar w:fldCharType="separate"/>
      </w:r>
      <w:r>
        <w:rPr>
          <w:highlight w:val="none"/>
        </w:rPr>
        <w:t>4.1矿山地质环境治理可行性分析</w:t>
      </w:r>
      <w:r>
        <w:tab/>
      </w:r>
      <w:r>
        <w:fldChar w:fldCharType="begin"/>
      </w:r>
      <w:r>
        <w:instrText xml:space="preserve"> PAGEREF _Toc21860 </w:instrText>
      </w:r>
      <w:r>
        <w:fldChar w:fldCharType="separate"/>
      </w:r>
      <w:r>
        <w:t>42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_Toc13818 </w:instrText>
      </w:r>
      <w:r>
        <w:rPr>
          <w:highlight w:val="none"/>
        </w:rPr>
        <w:fldChar w:fldCharType="separate"/>
      </w:r>
      <w:r>
        <w:rPr>
          <w:highlight w:val="none"/>
        </w:rPr>
        <w:t>4.1.1技术可行性分析</w:t>
      </w:r>
      <w:r>
        <w:tab/>
      </w:r>
      <w:r>
        <w:fldChar w:fldCharType="begin"/>
      </w:r>
      <w:r>
        <w:instrText xml:space="preserve"> PAGEREF _Toc13818 </w:instrText>
      </w:r>
      <w:r>
        <w:fldChar w:fldCharType="separate"/>
      </w:r>
      <w:r>
        <w:t>42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_Toc29255 </w:instrText>
      </w:r>
      <w:r>
        <w:rPr>
          <w:highlight w:val="none"/>
        </w:rPr>
        <w:fldChar w:fldCharType="separate"/>
      </w:r>
      <w:r>
        <w:rPr>
          <w:highlight w:val="none"/>
        </w:rPr>
        <w:t>4.1.2经济可行性分析</w:t>
      </w:r>
      <w:r>
        <w:tab/>
      </w:r>
      <w:r>
        <w:fldChar w:fldCharType="begin"/>
      </w:r>
      <w:r>
        <w:instrText xml:space="preserve"> PAGEREF _Toc29255 </w:instrText>
      </w:r>
      <w:r>
        <w:fldChar w:fldCharType="separate"/>
      </w:r>
      <w:r>
        <w:t>43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_Toc12002 </w:instrText>
      </w:r>
      <w:r>
        <w:rPr>
          <w:highlight w:val="none"/>
        </w:rPr>
        <w:fldChar w:fldCharType="separate"/>
      </w:r>
      <w:r>
        <w:rPr>
          <w:highlight w:val="none"/>
        </w:rPr>
        <w:t>4.1.3生态环境协调性分析</w:t>
      </w:r>
      <w:r>
        <w:tab/>
      </w:r>
      <w:r>
        <w:fldChar w:fldCharType="begin"/>
      </w:r>
      <w:r>
        <w:instrText xml:space="preserve"> PAGEREF _Toc12002 </w:instrText>
      </w:r>
      <w:r>
        <w:fldChar w:fldCharType="separate"/>
      </w:r>
      <w:r>
        <w:t>43</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_Toc16762 </w:instrText>
      </w:r>
      <w:r>
        <w:rPr>
          <w:highlight w:val="none"/>
        </w:rPr>
        <w:fldChar w:fldCharType="separate"/>
      </w:r>
      <w:r>
        <w:rPr>
          <w:highlight w:val="none"/>
        </w:rPr>
        <w:t>4.2矿山土地复垦可行性分析</w:t>
      </w:r>
      <w:r>
        <w:tab/>
      </w:r>
      <w:r>
        <w:fldChar w:fldCharType="begin"/>
      </w:r>
      <w:r>
        <w:instrText xml:space="preserve"> PAGEREF _Toc16762 </w:instrText>
      </w:r>
      <w:r>
        <w:fldChar w:fldCharType="separate"/>
      </w:r>
      <w:r>
        <w:t>44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_Toc6570 </w:instrText>
      </w:r>
      <w:r>
        <w:rPr>
          <w:highlight w:val="none"/>
        </w:rPr>
        <w:fldChar w:fldCharType="separate"/>
      </w:r>
      <w:r>
        <w:rPr>
          <w:highlight w:val="none"/>
        </w:rPr>
        <w:t>4.2.1复垦区土地利用现状</w:t>
      </w:r>
      <w:r>
        <w:tab/>
      </w:r>
      <w:r>
        <w:fldChar w:fldCharType="begin"/>
      </w:r>
      <w:r>
        <w:instrText xml:space="preserve"> PAGEREF _Toc6570 </w:instrText>
      </w:r>
      <w:r>
        <w:fldChar w:fldCharType="separate"/>
      </w:r>
      <w:r>
        <w:t>44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_Toc26023 </w:instrText>
      </w:r>
      <w:r>
        <w:rPr>
          <w:highlight w:val="none"/>
        </w:rPr>
        <w:fldChar w:fldCharType="separate"/>
      </w:r>
      <w:r>
        <w:rPr>
          <w:highlight w:val="none"/>
        </w:rPr>
        <w:t>4.2.2土地复垦适宜性评价</w:t>
      </w:r>
      <w:r>
        <w:tab/>
      </w:r>
      <w:r>
        <w:fldChar w:fldCharType="begin"/>
      </w:r>
      <w:r>
        <w:instrText xml:space="preserve"> PAGEREF _Toc26023 </w:instrText>
      </w:r>
      <w:r>
        <w:fldChar w:fldCharType="separate"/>
      </w:r>
      <w:r>
        <w:t>44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_Toc14009 </w:instrText>
      </w:r>
      <w:r>
        <w:rPr>
          <w:highlight w:val="none"/>
        </w:rPr>
        <w:fldChar w:fldCharType="separate"/>
      </w:r>
      <w:r>
        <w:rPr>
          <w:highlight w:val="none"/>
        </w:rPr>
        <w:t>4.2.3水土资源平衡分析</w:t>
      </w:r>
      <w:r>
        <w:tab/>
      </w:r>
      <w:r>
        <w:fldChar w:fldCharType="begin"/>
      </w:r>
      <w:r>
        <w:instrText xml:space="preserve"> PAGEREF _Toc14009 </w:instrText>
      </w:r>
      <w:r>
        <w:fldChar w:fldCharType="separate"/>
      </w:r>
      <w:r>
        <w:t>51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_Toc19541 </w:instrText>
      </w:r>
      <w:r>
        <w:rPr>
          <w:highlight w:val="none"/>
        </w:rPr>
        <w:fldChar w:fldCharType="separate"/>
      </w:r>
      <w:r>
        <w:rPr>
          <w:highlight w:val="none"/>
        </w:rPr>
        <w:t>4.2.4土地复垦质量要求</w:t>
      </w:r>
      <w:r>
        <w:tab/>
      </w:r>
      <w:r>
        <w:fldChar w:fldCharType="begin"/>
      </w:r>
      <w:r>
        <w:instrText xml:space="preserve"> PAGEREF _Toc19541 </w:instrText>
      </w:r>
      <w:r>
        <w:fldChar w:fldCharType="separate"/>
      </w:r>
      <w:r>
        <w:t>53</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_Toc14644 </w:instrText>
      </w:r>
      <w:r>
        <w:rPr>
          <w:highlight w:val="none"/>
        </w:rPr>
        <w:fldChar w:fldCharType="separate"/>
      </w:r>
      <w:r>
        <w:rPr>
          <w:highlight w:val="none"/>
        </w:rPr>
        <w:t>第五章矿山地质环境治理与土地复垦工程</w:t>
      </w:r>
      <w:r>
        <w:tab/>
      </w:r>
      <w:r>
        <w:fldChar w:fldCharType="begin"/>
      </w:r>
      <w:r>
        <w:instrText xml:space="preserve"> PAGEREF _Toc14644 </w:instrText>
      </w:r>
      <w:r>
        <w:fldChar w:fldCharType="separate"/>
      </w:r>
      <w:r>
        <w:t>55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_Toc20719 </w:instrText>
      </w:r>
      <w:r>
        <w:rPr>
          <w:highlight w:val="none"/>
        </w:rPr>
        <w:fldChar w:fldCharType="separate"/>
      </w:r>
      <w:r>
        <w:rPr>
          <w:highlight w:val="none"/>
        </w:rPr>
        <w:t>5.1矿山地质环境保护与土地复垦预防</w:t>
      </w:r>
      <w:r>
        <w:tab/>
      </w:r>
      <w:r>
        <w:fldChar w:fldCharType="begin"/>
      </w:r>
      <w:r>
        <w:instrText xml:space="preserve"> PAGEREF _Toc20719 </w:instrText>
      </w:r>
      <w:r>
        <w:fldChar w:fldCharType="separate"/>
      </w:r>
      <w:r>
        <w:t>55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_Toc30825 </w:instrText>
      </w:r>
      <w:r>
        <w:rPr>
          <w:highlight w:val="none"/>
        </w:rPr>
        <w:fldChar w:fldCharType="separate"/>
      </w:r>
      <w:r>
        <w:rPr>
          <w:highlight w:val="none"/>
        </w:rPr>
        <w:t>5.1.1目标任务</w:t>
      </w:r>
      <w:r>
        <w:tab/>
      </w:r>
      <w:r>
        <w:fldChar w:fldCharType="begin"/>
      </w:r>
      <w:r>
        <w:instrText xml:space="preserve"> PAGEREF _Toc30825 </w:instrText>
      </w:r>
      <w:r>
        <w:fldChar w:fldCharType="separate"/>
      </w:r>
      <w:r>
        <w:t>55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_Toc22760 </w:instrText>
      </w:r>
      <w:r>
        <w:rPr>
          <w:highlight w:val="none"/>
        </w:rPr>
        <w:fldChar w:fldCharType="separate"/>
      </w:r>
      <w:r>
        <w:rPr>
          <w:highlight w:val="none"/>
        </w:rPr>
        <w:t>5.1.2主要技术措施</w:t>
      </w:r>
      <w:r>
        <w:tab/>
      </w:r>
      <w:r>
        <w:fldChar w:fldCharType="begin"/>
      </w:r>
      <w:r>
        <w:instrText xml:space="preserve"> PAGEREF _Toc22760 </w:instrText>
      </w:r>
      <w:r>
        <w:fldChar w:fldCharType="separate"/>
      </w:r>
      <w:r>
        <w:t>55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_Toc2520 </w:instrText>
      </w:r>
      <w:r>
        <w:rPr>
          <w:highlight w:val="none"/>
        </w:rPr>
        <w:fldChar w:fldCharType="separate"/>
      </w:r>
      <w:r>
        <w:rPr>
          <w:highlight w:val="none"/>
        </w:rPr>
        <w:t>5.1.3主要工程量</w:t>
      </w:r>
      <w:r>
        <w:tab/>
      </w:r>
      <w:r>
        <w:fldChar w:fldCharType="begin"/>
      </w:r>
      <w:r>
        <w:instrText xml:space="preserve"> PAGEREF _Toc2520 </w:instrText>
      </w:r>
      <w:r>
        <w:fldChar w:fldCharType="separate"/>
      </w:r>
      <w:r>
        <w:t>56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_Toc14900 </w:instrText>
      </w:r>
      <w:r>
        <w:rPr>
          <w:highlight w:val="none"/>
        </w:rPr>
        <w:fldChar w:fldCharType="separate"/>
      </w:r>
      <w:r>
        <w:rPr>
          <w:highlight w:val="none"/>
        </w:rPr>
        <w:t>5.2矿山地质灾害治理</w:t>
      </w:r>
      <w:r>
        <w:tab/>
      </w:r>
      <w:r>
        <w:fldChar w:fldCharType="begin"/>
      </w:r>
      <w:r>
        <w:instrText xml:space="preserve"> PAGEREF _Toc14900 </w:instrText>
      </w:r>
      <w:r>
        <w:fldChar w:fldCharType="separate"/>
      </w:r>
      <w:r>
        <w:t>56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_Toc28747 </w:instrText>
      </w:r>
      <w:r>
        <w:rPr>
          <w:highlight w:val="none"/>
        </w:rPr>
        <w:fldChar w:fldCharType="separate"/>
      </w:r>
      <w:r>
        <w:rPr>
          <w:highlight w:val="none"/>
        </w:rPr>
        <w:t>5.2.1目标任务</w:t>
      </w:r>
      <w:r>
        <w:tab/>
      </w:r>
      <w:r>
        <w:fldChar w:fldCharType="begin"/>
      </w:r>
      <w:r>
        <w:instrText xml:space="preserve"> PAGEREF _Toc28747 </w:instrText>
      </w:r>
      <w:r>
        <w:fldChar w:fldCharType="separate"/>
      </w:r>
      <w:r>
        <w:t>56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_Toc1654 </w:instrText>
      </w:r>
      <w:r>
        <w:rPr>
          <w:highlight w:val="none"/>
        </w:rPr>
        <w:fldChar w:fldCharType="separate"/>
      </w:r>
      <w:r>
        <w:rPr>
          <w:highlight w:val="none"/>
        </w:rPr>
        <w:t>5.2.2工程设计</w:t>
      </w:r>
      <w:r>
        <w:tab/>
      </w:r>
      <w:r>
        <w:fldChar w:fldCharType="begin"/>
      </w:r>
      <w:r>
        <w:instrText xml:space="preserve"> PAGEREF _Toc1654 </w:instrText>
      </w:r>
      <w:r>
        <w:fldChar w:fldCharType="separate"/>
      </w:r>
      <w:r>
        <w:t>57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_Toc12501 </w:instrText>
      </w:r>
      <w:r>
        <w:rPr>
          <w:highlight w:val="none"/>
        </w:rPr>
        <w:fldChar w:fldCharType="separate"/>
      </w:r>
      <w:r>
        <w:rPr>
          <w:highlight w:val="none"/>
        </w:rPr>
        <w:t>5.2.3技术措施</w:t>
      </w:r>
      <w:r>
        <w:tab/>
      </w:r>
      <w:r>
        <w:fldChar w:fldCharType="begin"/>
      </w:r>
      <w:r>
        <w:instrText xml:space="preserve"> PAGEREF _Toc12501 </w:instrText>
      </w:r>
      <w:r>
        <w:fldChar w:fldCharType="separate"/>
      </w:r>
      <w:r>
        <w:t>57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_Toc26758 </w:instrText>
      </w:r>
      <w:r>
        <w:rPr>
          <w:highlight w:val="none"/>
        </w:rPr>
        <w:fldChar w:fldCharType="separate"/>
      </w:r>
      <w:r>
        <w:rPr>
          <w:highlight w:val="none"/>
        </w:rPr>
        <w:t>5.2.4主要工程量</w:t>
      </w:r>
      <w:r>
        <w:tab/>
      </w:r>
      <w:r>
        <w:fldChar w:fldCharType="begin"/>
      </w:r>
      <w:r>
        <w:instrText xml:space="preserve"> PAGEREF _Toc26758 </w:instrText>
      </w:r>
      <w:r>
        <w:fldChar w:fldCharType="separate"/>
      </w:r>
      <w:r>
        <w:t>58</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_Toc25785 </w:instrText>
      </w:r>
      <w:r>
        <w:rPr>
          <w:highlight w:val="none"/>
        </w:rPr>
        <w:fldChar w:fldCharType="separate"/>
      </w:r>
      <w:r>
        <w:rPr>
          <w:highlight w:val="none"/>
        </w:rPr>
        <w:t>5.3矿区土地复垦</w:t>
      </w:r>
      <w:r>
        <w:tab/>
      </w:r>
      <w:r>
        <w:fldChar w:fldCharType="begin"/>
      </w:r>
      <w:r>
        <w:instrText xml:space="preserve"> PAGEREF _Toc25785 </w:instrText>
      </w:r>
      <w:r>
        <w:fldChar w:fldCharType="separate"/>
      </w:r>
      <w:r>
        <w:t>58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_Toc28479 </w:instrText>
      </w:r>
      <w:r>
        <w:rPr>
          <w:highlight w:val="none"/>
        </w:rPr>
        <w:fldChar w:fldCharType="separate"/>
      </w:r>
      <w:r>
        <w:rPr>
          <w:highlight w:val="none"/>
        </w:rPr>
        <w:t>5.3.1目标任务</w:t>
      </w:r>
      <w:r>
        <w:tab/>
      </w:r>
      <w:r>
        <w:fldChar w:fldCharType="begin"/>
      </w:r>
      <w:r>
        <w:instrText xml:space="preserve"> PAGEREF _Toc28479 </w:instrText>
      </w:r>
      <w:r>
        <w:fldChar w:fldCharType="separate"/>
      </w:r>
      <w:r>
        <w:t>58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_Toc22399 </w:instrText>
      </w:r>
      <w:r>
        <w:rPr>
          <w:highlight w:val="none"/>
        </w:rPr>
        <w:fldChar w:fldCharType="separate"/>
      </w:r>
      <w:r>
        <w:rPr>
          <w:highlight w:val="none"/>
        </w:rPr>
        <w:t>5.3.2工程设计</w:t>
      </w:r>
      <w:r>
        <w:tab/>
      </w:r>
      <w:r>
        <w:fldChar w:fldCharType="begin"/>
      </w:r>
      <w:r>
        <w:instrText xml:space="preserve"> PAGEREF _Toc22399 </w:instrText>
      </w:r>
      <w:r>
        <w:fldChar w:fldCharType="separate"/>
      </w:r>
      <w:r>
        <w:t>58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_Toc14266 </w:instrText>
      </w:r>
      <w:r>
        <w:rPr>
          <w:highlight w:val="none"/>
        </w:rPr>
        <w:fldChar w:fldCharType="separate"/>
      </w:r>
      <w:r>
        <w:rPr>
          <w:highlight w:val="none"/>
        </w:rPr>
        <w:t>5.3.3技术措施</w:t>
      </w:r>
      <w:r>
        <w:tab/>
      </w:r>
      <w:r>
        <w:fldChar w:fldCharType="begin"/>
      </w:r>
      <w:r>
        <w:instrText xml:space="preserve"> PAGEREF _Toc14266 </w:instrText>
      </w:r>
      <w:r>
        <w:fldChar w:fldCharType="separate"/>
      </w:r>
      <w:r>
        <w:t>62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_Toc31429 </w:instrText>
      </w:r>
      <w:r>
        <w:rPr>
          <w:highlight w:val="none"/>
        </w:rPr>
        <w:fldChar w:fldCharType="separate"/>
      </w:r>
      <w:r>
        <w:rPr>
          <w:highlight w:val="none"/>
        </w:rPr>
        <w:t>5.3.4主要工程量</w:t>
      </w:r>
      <w:r>
        <w:tab/>
      </w:r>
      <w:r>
        <w:fldChar w:fldCharType="begin"/>
      </w:r>
      <w:r>
        <w:instrText xml:space="preserve"> PAGEREF _Toc31429 </w:instrText>
      </w:r>
      <w:r>
        <w:fldChar w:fldCharType="separate"/>
      </w:r>
      <w:r>
        <w:t>63</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_Toc14942 </w:instrText>
      </w:r>
      <w:r>
        <w:rPr>
          <w:highlight w:val="none"/>
        </w:rPr>
        <w:fldChar w:fldCharType="separate"/>
      </w:r>
      <w:r>
        <w:rPr>
          <w:highlight w:val="none"/>
        </w:rPr>
        <w:t>5.4含水层破坏修复</w:t>
      </w:r>
      <w:r>
        <w:tab/>
      </w:r>
      <w:r>
        <w:fldChar w:fldCharType="begin"/>
      </w:r>
      <w:r>
        <w:instrText xml:space="preserve"> PAGEREF _Toc14942 </w:instrText>
      </w:r>
      <w:r>
        <w:fldChar w:fldCharType="separate"/>
      </w:r>
      <w:r>
        <w:t>64</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_Toc1426 </w:instrText>
      </w:r>
      <w:r>
        <w:rPr>
          <w:highlight w:val="none"/>
        </w:rPr>
        <w:fldChar w:fldCharType="separate"/>
      </w:r>
      <w:r>
        <w:rPr>
          <w:highlight w:val="none"/>
        </w:rPr>
        <w:t>5.5水土环境污染修复</w:t>
      </w:r>
      <w:r>
        <w:tab/>
      </w:r>
      <w:r>
        <w:fldChar w:fldCharType="begin"/>
      </w:r>
      <w:r>
        <w:instrText xml:space="preserve"> PAGEREF _Toc1426 </w:instrText>
      </w:r>
      <w:r>
        <w:fldChar w:fldCharType="separate"/>
      </w:r>
      <w:r>
        <w:t>64</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_Toc22893 </w:instrText>
      </w:r>
      <w:r>
        <w:rPr>
          <w:highlight w:val="none"/>
        </w:rPr>
        <w:fldChar w:fldCharType="separate"/>
      </w:r>
      <w:r>
        <w:rPr>
          <w:highlight w:val="none"/>
        </w:rPr>
        <w:t>5.6矿山地质环境监测</w:t>
      </w:r>
      <w:r>
        <w:tab/>
      </w:r>
      <w:r>
        <w:fldChar w:fldCharType="begin"/>
      </w:r>
      <w:r>
        <w:instrText xml:space="preserve"> PAGEREF _Toc22893 </w:instrText>
      </w:r>
      <w:r>
        <w:fldChar w:fldCharType="separate"/>
      </w:r>
      <w:r>
        <w:t>64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_Toc811 </w:instrText>
      </w:r>
      <w:r>
        <w:rPr>
          <w:highlight w:val="none"/>
        </w:rPr>
        <w:fldChar w:fldCharType="separate"/>
      </w:r>
      <w:r>
        <w:rPr>
          <w:highlight w:val="none"/>
        </w:rPr>
        <w:t>5.6.1目标任务</w:t>
      </w:r>
      <w:r>
        <w:tab/>
      </w:r>
      <w:r>
        <w:fldChar w:fldCharType="begin"/>
      </w:r>
      <w:r>
        <w:instrText xml:space="preserve"> PAGEREF _Toc811 </w:instrText>
      </w:r>
      <w:r>
        <w:fldChar w:fldCharType="separate"/>
      </w:r>
      <w:r>
        <w:t>64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_Toc1266 </w:instrText>
      </w:r>
      <w:r>
        <w:rPr>
          <w:highlight w:val="none"/>
        </w:rPr>
        <w:fldChar w:fldCharType="separate"/>
      </w:r>
      <w:r>
        <w:rPr>
          <w:highlight w:val="none"/>
        </w:rPr>
        <w:t>5.6.2工程设计</w:t>
      </w:r>
      <w:r>
        <w:tab/>
      </w:r>
      <w:r>
        <w:fldChar w:fldCharType="begin"/>
      </w:r>
      <w:r>
        <w:instrText xml:space="preserve"> PAGEREF _Toc1266 </w:instrText>
      </w:r>
      <w:r>
        <w:fldChar w:fldCharType="separate"/>
      </w:r>
      <w:r>
        <w:t>65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_Toc30150 </w:instrText>
      </w:r>
      <w:r>
        <w:rPr>
          <w:highlight w:val="none"/>
        </w:rPr>
        <w:fldChar w:fldCharType="separate"/>
      </w:r>
      <w:r>
        <w:rPr>
          <w:highlight w:val="none"/>
        </w:rPr>
        <w:t>5.6.3技术措施</w:t>
      </w:r>
      <w:r>
        <w:tab/>
      </w:r>
      <w:r>
        <w:fldChar w:fldCharType="begin"/>
      </w:r>
      <w:r>
        <w:instrText xml:space="preserve"> PAGEREF _Toc30150 </w:instrText>
      </w:r>
      <w:r>
        <w:fldChar w:fldCharType="separate"/>
      </w:r>
      <w:r>
        <w:t>67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_Toc10053 </w:instrText>
      </w:r>
      <w:r>
        <w:rPr>
          <w:highlight w:val="none"/>
        </w:rPr>
        <w:fldChar w:fldCharType="separate"/>
      </w:r>
      <w:r>
        <w:rPr>
          <w:highlight w:val="none"/>
        </w:rPr>
        <w:t>5.6.4主要工程量</w:t>
      </w:r>
      <w:r>
        <w:tab/>
      </w:r>
      <w:r>
        <w:fldChar w:fldCharType="begin"/>
      </w:r>
      <w:r>
        <w:instrText xml:space="preserve"> PAGEREF _Toc10053 </w:instrText>
      </w:r>
      <w:r>
        <w:fldChar w:fldCharType="separate"/>
      </w:r>
      <w:r>
        <w:t>68</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_Toc4997 </w:instrText>
      </w:r>
      <w:r>
        <w:rPr>
          <w:highlight w:val="none"/>
        </w:rPr>
        <w:fldChar w:fldCharType="separate"/>
      </w:r>
      <w:r>
        <w:rPr>
          <w:highlight w:val="none"/>
        </w:rPr>
        <w:t>5.7矿区土地复垦监测和管护</w:t>
      </w:r>
      <w:r>
        <w:tab/>
      </w:r>
      <w:r>
        <w:fldChar w:fldCharType="begin"/>
      </w:r>
      <w:r>
        <w:instrText xml:space="preserve"> PAGEREF _Toc4997 </w:instrText>
      </w:r>
      <w:r>
        <w:fldChar w:fldCharType="separate"/>
      </w:r>
      <w:r>
        <w:t>69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_Toc26236 </w:instrText>
      </w:r>
      <w:r>
        <w:rPr>
          <w:highlight w:val="none"/>
        </w:rPr>
        <w:fldChar w:fldCharType="separate"/>
      </w:r>
      <w:r>
        <w:rPr>
          <w:highlight w:val="none"/>
        </w:rPr>
        <w:t>5.</w:t>
      </w:r>
      <w:r>
        <w:rPr>
          <w:rFonts w:hint="eastAsia"/>
          <w:highlight w:val="none"/>
        </w:rPr>
        <w:t xml:space="preserve">7.1 </w:t>
      </w:r>
      <w:r>
        <w:rPr>
          <w:highlight w:val="none"/>
        </w:rPr>
        <w:t>目标任务</w:t>
      </w:r>
      <w:r>
        <w:tab/>
      </w:r>
      <w:r>
        <w:fldChar w:fldCharType="begin"/>
      </w:r>
      <w:r>
        <w:instrText xml:space="preserve"> PAGEREF _Toc26236 </w:instrText>
      </w:r>
      <w:r>
        <w:fldChar w:fldCharType="separate"/>
      </w:r>
      <w:r>
        <w:t>69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_Toc6307 </w:instrText>
      </w:r>
      <w:r>
        <w:rPr>
          <w:highlight w:val="none"/>
        </w:rPr>
        <w:fldChar w:fldCharType="separate"/>
      </w:r>
      <w:r>
        <w:rPr>
          <w:highlight w:val="none"/>
        </w:rPr>
        <w:t>5.7.2工程设计</w:t>
      </w:r>
      <w:r>
        <w:tab/>
      </w:r>
      <w:r>
        <w:fldChar w:fldCharType="begin"/>
      </w:r>
      <w:r>
        <w:instrText xml:space="preserve"> PAGEREF _Toc6307 </w:instrText>
      </w:r>
      <w:r>
        <w:fldChar w:fldCharType="separate"/>
      </w:r>
      <w:r>
        <w:t>69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_Toc27258 </w:instrText>
      </w:r>
      <w:r>
        <w:rPr>
          <w:highlight w:val="none"/>
        </w:rPr>
        <w:fldChar w:fldCharType="separate"/>
      </w:r>
      <w:r>
        <w:rPr>
          <w:highlight w:val="none"/>
        </w:rPr>
        <w:t>5.7.3技术措施</w:t>
      </w:r>
      <w:r>
        <w:tab/>
      </w:r>
      <w:r>
        <w:fldChar w:fldCharType="begin"/>
      </w:r>
      <w:r>
        <w:instrText xml:space="preserve"> PAGEREF _Toc27258 </w:instrText>
      </w:r>
      <w:r>
        <w:fldChar w:fldCharType="separate"/>
      </w:r>
      <w:r>
        <w:t>71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_Toc16318 </w:instrText>
      </w:r>
      <w:r>
        <w:rPr>
          <w:highlight w:val="none"/>
        </w:rPr>
        <w:fldChar w:fldCharType="separate"/>
      </w:r>
      <w:r>
        <w:rPr>
          <w:highlight w:val="none"/>
        </w:rPr>
        <w:t>5.7.4主要工程量</w:t>
      </w:r>
      <w:r>
        <w:tab/>
      </w:r>
      <w:r>
        <w:fldChar w:fldCharType="begin"/>
      </w:r>
      <w:r>
        <w:instrText xml:space="preserve"> PAGEREF _Toc16318 </w:instrText>
      </w:r>
      <w:r>
        <w:fldChar w:fldCharType="separate"/>
      </w:r>
      <w:r>
        <w:t>73</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_Toc5256 </w:instrText>
      </w:r>
      <w:r>
        <w:rPr>
          <w:highlight w:val="none"/>
        </w:rPr>
        <w:fldChar w:fldCharType="separate"/>
      </w:r>
      <w:r>
        <w:rPr>
          <w:highlight w:val="none"/>
        </w:rPr>
        <w:t>第六章矿山地质环境治理与土地复垦工程工作部署</w:t>
      </w:r>
      <w:r>
        <w:tab/>
      </w:r>
      <w:r>
        <w:fldChar w:fldCharType="begin"/>
      </w:r>
      <w:r>
        <w:instrText xml:space="preserve"> PAGEREF _Toc5256 </w:instrText>
      </w:r>
      <w:r>
        <w:fldChar w:fldCharType="separate"/>
      </w:r>
      <w:r>
        <w:t>75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_Toc14743 </w:instrText>
      </w:r>
      <w:r>
        <w:rPr>
          <w:highlight w:val="none"/>
        </w:rPr>
        <w:fldChar w:fldCharType="separate"/>
      </w:r>
      <w:r>
        <w:rPr>
          <w:highlight w:val="none"/>
        </w:rPr>
        <w:t>6.1总体工作部署</w:t>
      </w:r>
      <w:r>
        <w:tab/>
      </w:r>
      <w:r>
        <w:fldChar w:fldCharType="begin"/>
      </w:r>
      <w:r>
        <w:instrText xml:space="preserve"> PAGEREF _Toc14743 </w:instrText>
      </w:r>
      <w:r>
        <w:fldChar w:fldCharType="separate"/>
      </w:r>
      <w:r>
        <w:t>75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_Toc15509 </w:instrText>
      </w:r>
      <w:r>
        <w:rPr>
          <w:highlight w:val="none"/>
        </w:rPr>
        <w:fldChar w:fldCharType="separate"/>
      </w:r>
      <w:r>
        <w:rPr>
          <w:highlight w:val="none"/>
        </w:rPr>
        <w:t>6.2阶段实施计划</w:t>
      </w:r>
      <w:r>
        <w:tab/>
      </w:r>
      <w:r>
        <w:fldChar w:fldCharType="begin"/>
      </w:r>
      <w:r>
        <w:instrText xml:space="preserve"> PAGEREF _Toc15509 </w:instrText>
      </w:r>
      <w:r>
        <w:fldChar w:fldCharType="separate"/>
      </w:r>
      <w:r>
        <w:t>76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_Toc1993 </w:instrText>
      </w:r>
      <w:r>
        <w:rPr>
          <w:highlight w:val="none"/>
        </w:rPr>
        <w:fldChar w:fldCharType="separate"/>
      </w:r>
      <w:r>
        <w:rPr>
          <w:highlight w:val="none"/>
        </w:rPr>
        <w:t>6.3近期年度工作安排</w:t>
      </w:r>
      <w:r>
        <w:tab/>
      </w:r>
      <w:r>
        <w:fldChar w:fldCharType="begin"/>
      </w:r>
      <w:r>
        <w:instrText xml:space="preserve"> PAGEREF _Toc1993 </w:instrText>
      </w:r>
      <w:r>
        <w:fldChar w:fldCharType="separate"/>
      </w:r>
      <w:r>
        <w:t>77</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_Toc27024 </w:instrText>
      </w:r>
      <w:r>
        <w:rPr>
          <w:highlight w:val="none"/>
        </w:rPr>
        <w:fldChar w:fldCharType="separate"/>
      </w:r>
      <w:r>
        <w:rPr>
          <w:highlight w:val="none"/>
        </w:rPr>
        <w:t>第七章经费估算与进度安排</w:t>
      </w:r>
      <w:r>
        <w:tab/>
      </w:r>
      <w:r>
        <w:fldChar w:fldCharType="begin"/>
      </w:r>
      <w:r>
        <w:instrText xml:space="preserve"> PAGEREF _Toc27024 </w:instrText>
      </w:r>
      <w:r>
        <w:fldChar w:fldCharType="separate"/>
      </w:r>
      <w:r>
        <w:t>80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_Toc31302 </w:instrText>
      </w:r>
      <w:r>
        <w:rPr>
          <w:highlight w:val="none"/>
        </w:rPr>
        <w:fldChar w:fldCharType="separate"/>
      </w:r>
      <w:r>
        <w:rPr>
          <w:rFonts w:hint="eastAsia"/>
          <w:highlight w:val="none"/>
        </w:rPr>
        <w:t xml:space="preserve">7.1 </w:t>
      </w:r>
      <w:r>
        <w:rPr>
          <w:highlight w:val="none"/>
        </w:rPr>
        <w:t>经费估算依据</w:t>
      </w:r>
      <w:r>
        <w:tab/>
      </w:r>
      <w:r>
        <w:fldChar w:fldCharType="begin"/>
      </w:r>
      <w:r>
        <w:instrText xml:space="preserve"> PAGEREF _Toc31302 </w:instrText>
      </w:r>
      <w:r>
        <w:fldChar w:fldCharType="separate"/>
      </w:r>
      <w:r>
        <w:t>80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_Toc25976 </w:instrText>
      </w:r>
      <w:r>
        <w:rPr>
          <w:highlight w:val="none"/>
        </w:rPr>
        <w:fldChar w:fldCharType="separate"/>
      </w:r>
      <w:r>
        <w:rPr>
          <w:rFonts w:hint="eastAsia"/>
          <w:highlight w:val="none"/>
        </w:rPr>
        <w:t>7.1</w:t>
      </w:r>
      <w:r>
        <w:rPr>
          <w:highlight w:val="none"/>
        </w:rPr>
        <w:t>.1矿山地质环境恢复治理经费估算依据</w:t>
      </w:r>
      <w:r>
        <w:tab/>
      </w:r>
      <w:r>
        <w:fldChar w:fldCharType="begin"/>
      </w:r>
      <w:r>
        <w:instrText xml:space="preserve"> PAGEREF _Toc25976 </w:instrText>
      </w:r>
      <w:r>
        <w:fldChar w:fldCharType="separate"/>
      </w:r>
      <w:r>
        <w:t>80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_Toc19859 </w:instrText>
      </w:r>
      <w:r>
        <w:rPr>
          <w:highlight w:val="none"/>
        </w:rPr>
        <w:fldChar w:fldCharType="separate"/>
      </w:r>
      <w:r>
        <w:rPr>
          <w:rFonts w:hint="eastAsia"/>
          <w:highlight w:val="none"/>
        </w:rPr>
        <w:t>7.1</w:t>
      </w:r>
      <w:r>
        <w:rPr>
          <w:highlight w:val="none"/>
        </w:rPr>
        <w:t>.2土地复垦费用估算依据</w:t>
      </w:r>
      <w:r>
        <w:tab/>
      </w:r>
      <w:r>
        <w:fldChar w:fldCharType="begin"/>
      </w:r>
      <w:r>
        <w:instrText xml:space="preserve"> PAGEREF _Toc19859 </w:instrText>
      </w:r>
      <w:r>
        <w:fldChar w:fldCharType="separate"/>
      </w:r>
      <w:r>
        <w:t>84</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_Toc21277 </w:instrText>
      </w:r>
      <w:r>
        <w:rPr>
          <w:highlight w:val="none"/>
        </w:rPr>
        <w:fldChar w:fldCharType="separate"/>
      </w:r>
      <w:r>
        <w:rPr>
          <w:highlight w:val="none"/>
        </w:rPr>
        <w:t>7.2矿山地质环境治理工程经费估算</w:t>
      </w:r>
      <w:r>
        <w:tab/>
      </w:r>
      <w:r>
        <w:fldChar w:fldCharType="begin"/>
      </w:r>
      <w:r>
        <w:instrText xml:space="preserve"> PAGEREF _Toc21277 </w:instrText>
      </w:r>
      <w:r>
        <w:fldChar w:fldCharType="separate"/>
      </w:r>
      <w:r>
        <w:t>90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_Toc6177 </w:instrText>
      </w:r>
      <w:r>
        <w:rPr>
          <w:highlight w:val="none"/>
        </w:rPr>
        <w:fldChar w:fldCharType="separate"/>
      </w:r>
      <w:r>
        <w:rPr>
          <w:highlight w:val="none"/>
        </w:rPr>
        <w:t>7.2.1总工程量与投资估算</w:t>
      </w:r>
      <w:r>
        <w:tab/>
      </w:r>
      <w:r>
        <w:fldChar w:fldCharType="begin"/>
      </w:r>
      <w:r>
        <w:instrText xml:space="preserve"> PAGEREF _Toc6177 </w:instrText>
      </w:r>
      <w:r>
        <w:fldChar w:fldCharType="separate"/>
      </w:r>
      <w:r>
        <w:t>90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_Toc23199 </w:instrText>
      </w:r>
      <w:r>
        <w:rPr>
          <w:highlight w:val="none"/>
        </w:rPr>
        <w:fldChar w:fldCharType="separate"/>
      </w:r>
      <w:r>
        <w:rPr>
          <w:highlight w:val="none"/>
        </w:rPr>
        <w:t>7.2.2</w:t>
      </w:r>
      <w:r>
        <w:rPr>
          <w:rFonts w:ascii="宋体" w:hAnsi="宋体"/>
          <w:highlight w:val="none"/>
        </w:rPr>
        <w:t>投资估算</w:t>
      </w:r>
      <w:r>
        <w:tab/>
      </w:r>
      <w:r>
        <w:fldChar w:fldCharType="begin"/>
      </w:r>
      <w:r>
        <w:instrText xml:space="preserve"> PAGEREF _Toc23199 </w:instrText>
      </w:r>
      <w:r>
        <w:fldChar w:fldCharType="separate"/>
      </w:r>
      <w:r>
        <w:t>90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_Toc26422 </w:instrText>
      </w:r>
      <w:r>
        <w:rPr>
          <w:highlight w:val="none"/>
        </w:rPr>
        <w:fldChar w:fldCharType="separate"/>
      </w:r>
      <w:r>
        <w:rPr>
          <w:highlight w:val="none"/>
        </w:rPr>
        <w:t>7.3土地复垦工程经费估算</w:t>
      </w:r>
      <w:r>
        <w:tab/>
      </w:r>
      <w:r>
        <w:fldChar w:fldCharType="begin"/>
      </w:r>
      <w:r>
        <w:instrText xml:space="preserve"> PAGEREF _Toc26422 </w:instrText>
      </w:r>
      <w:r>
        <w:fldChar w:fldCharType="separate"/>
      </w:r>
      <w:r>
        <w:t>93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_Toc27439 </w:instrText>
      </w:r>
      <w:r>
        <w:rPr>
          <w:highlight w:val="none"/>
        </w:rPr>
        <w:fldChar w:fldCharType="separate"/>
      </w:r>
      <w:r>
        <w:rPr>
          <w:highlight w:val="none"/>
        </w:rPr>
        <w:t>7.3.1</w:t>
      </w:r>
      <w:r>
        <w:rPr>
          <w:rFonts w:ascii="宋体" w:hAnsi="宋体"/>
          <w:highlight w:val="none"/>
        </w:rPr>
        <w:t>总工程量</w:t>
      </w:r>
      <w:r>
        <w:tab/>
      </w:r>
      <w:r>
        <w:fldChar w:fldCharType="begin"/>
      </w:r>
      <w:r>
        <w:instrText xml:space="preserve"> PAGEREF _Toc27439 </w:instrText>
      </w:r>
      <w:r>
        <w:fldChar w:fldCharType="separate"/>
      </w:r>
      <w:r>
        <w:t>93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_Toc12346 </w:instrText>
      </w:r>
      <w:r>
        <w:rPr>
          <w:highlight w:val="none"/>
        </w:rPr>
        <w:fldChar w:fldCharType="separate"/>
      </w:r>
      <w:r>
        <w:rPr>
          <w:highlight w:val="none"/>
        </w:rPr>
        <w:t>7.3.2</w:t>
      </w:r>
      <w:r>
        <w:rPr>
          <w:rFonts w:ascii="宋体" w:hAnsi="宋体"/>
          <w:highlight w:val="none"/>
        </w:rPr>
        <w:t>投资估算</w:t>
      </w:r>
      <w:r>
        <w:tab/>
      </w:r>
      <w:r>
        <w:fldChar w:fldCharType="begin"/>
      </w:r>
      <w:r>
        <w:instrText xml:space="preserve"> PAGEREF _Toc12346 </w:instrText>
      </w:r>
      <w:r>
        <w:fldChar w:fldCharType="separate"/>
      </w:r>
      <w:r>
        <w:t>93</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_Toc17317 </w:instrText>
      </w:r>
      <w:r>
        <w:rPr>
          <w:highlight w:val="none"/>
        </w:rPr>
        <w:fldChar w:fldCharType="separate"/>
      </w:r>
      <w:r>
        <w:rPr>
          <w:highlight w:val="none"/>
        </w:rPr>
        <w:t>7.4总费用汇总与年度安排</w:t>
      </w:r>
      <w:r>
        <w:tab/>
      </w:r>
      <w:r>
        <w:fldChar w:fldCharType="begin"/>
      </w:r>
      <w:r>
        <w:instrText xml:space="preserve"> PAGEREF _Toc17317 </w:instrText>
      </w:r>
      <w:r>
        <w:fldChar w:fldCharType="separate"/>
      </w:r>
      <w:r>
        <w:t>95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_Toc8559 </w:instrText>
      </w:r>
      <w:r>
        <w:rPr>
          <w:highlight w:val="none"/>
        </w:rPr>
        <w:fldChar w:fldCharType="separate"/>
      </w:r>
      <w:r>
        <w:rPr>
          <w:highlight w:val="none"/>
        </w:rPr>
        <w:t>7.4.1总费用构成与汇总</w:t>
      </w:r>
      <w:r>
        <w:tab/>
      </w:r>
      <w:r>
        <w:fldChar w:fldCharType="begin"/>
      </w:r>
      <w:r>
        <w:instrText xml:space="preserve"> PAGEREF _Toc8559 </w:instrText>
      </w:r>
      <w:r>
        <w:fldChar w:fldCharType="separate"/>
      </w:r>
      <w:r>
        <w:t>95</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_Toc16607 </w:instrText>
      </w:r>
      <w:r>
        <w:rPr>
          <w:highlight w:val="none"/>
        </w:rPr>
        <w:fldChar w:fldCharType="separate"/>
      </w:r>
      <w:r>
        <w:rPr>
          <w:highlight w:val="none"/>
        </w:rPr>
        <w:t>7.4.2近期年度经费安排</w:t>
      </w:r>
      <w:r>
        <w:tab/>
      </w:r>
      <w:r>
        <w:fldChar w:fldCharType="begin"/>
      </w:r>
      <w:r>
        <w:instrText xml:space="preserve"> PAGEREF _Toc16607 </w:instrText>
      </w:r>
      <w:r>
        <w:fldChar w:fldCharType="separate"/>
      </w:r>
      <w:r>
        <w:t>96</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_Toc30038 </w:instrText>
      </w:r>
      <w:r>
        <w:rPr>
          <w:highlight w:val="none"/>
        </w:rPr>
        <w:fldChar w:fldCharType="separate"/>
      </w:r>
      <w:r>
        <w:rPr>
          <w:highlight w:val="none"/>
        </w:rPr>
        <w:t>第八章保障措施与效益分析</w:t>
      </w:r>
      <w:r>
        <w:tab/>
      </w:r>
      <w:r>
        <w:fldChar w:fldCharType="begin"/>
      </w:r>
      <w:r>
        <w:instrText xml:space="preserve"> PAGEREF _Toc30038 </w:instrText>
      </w:r>
      <w:r>
        <w:fldChar w:fldCharType="separate"/>
      </w:r>
      <w:r>
        <w:t>100</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_Toc10250 </w:instrText>
      </w:r>
      <w:r>
        <w:rPr>
          <w:highlight w:val="none"/>
        </w:rPr>
        <w:fldChar w:fldCharType="separate"/>
      </w:r>
      <w:r>
        <w:rPr>
          <w:highlight w:val="none"/>
        </w:rPr>
        <w:t>8.1</w:t>
      </w:r>
      <w:r>
        <w:rPr>
          <w:rFonts w:ascii="宋体" w:hAnsi="宋体"/>
          <w:highlight w:val="none"/>
        </w:rPr>
        <w:t>组织保障</w:t>
      </w:r>
      <w:r>
        <w:tab/>
      </w:r>
      <w:r>
        <w:fldChar w:fldCharType="begin"/>
      </w:r>
      <w:r>
        <w:instrText xml:space="preserve"> PAGEREF _Toc10250 </w:instrText>
      </w:r>
      <w:r>
        <w:fldChar w:fldCharType="separate"/>
      </w:r>
      <w:r>
        <w:t>100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_Toc18002 </w:instrText>
      </w:r>
      <w:r>
        <w:rPr>
          <w:highlight w:val="none"/>
        </w:rPr>
        <w:fldChar w:fldCharType="separate"/>
      </w:r>
      <w:r>
        <w:rPr>
          <w:highlight w:val="none"/>
        </w:rPr>
        <w:t>8.1.1</w:t>
      </w:r>
      <w:r>
        <w:rPr>
          <w:rFonts w:ascii="宋体" w:hAnsi="宋体"/>
          <w:highlight w:val="none"/>
        </w:rPr>
        <w:t>管理保障措施</w:t>
      </w:r>
      <w:r>
        <w:tab/>
      </w:r>
      <w:r>
        <w:fldChar w:fldCharType="begin"/>
      </w:r>
      <w:r>
        <w:instrText xml:space="preserve"> PAGEREF _Toc18002 </w:instrText>
      </w:r>
      <w:r>
        <w:fldChar w:fldCharType="separate"/>
      </w:r>
      <w:r>
        <w:t>100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_Toc5187 </w:instrText>
      </w:r>
      <w:r>
        <w:rPr>
          <w:highlight w:val="none"/>
        </w:rPr>
        <w:fldChar w:fldCharType="separate"/>
      </w:r>
      <w:r>
        <w:rPr>
          <w:highlight w:val="none"/>
        </w:rPr>
        <w:t>8.1.2</w:t>
      </w:r>
      <w:r>
        <w:rPr>
          <w:rFonts w:ascii="宋体" w:hAnsi="宋体"/>
          <w:highlight w:val="none"/>
        </w:rPr>
        <w:t>政策措施保障</w:t>
      </w:r>
      <w:r>
        <w:tab/>
      </w:r>
      <w:r>
        <w:fldChar w:fldCharType="begin"/>
      </w:r>
      <w:r>
        <w:instrText xml:space="preserve"> PAGEREF _Toc5187 </w:instrText>
      </w:r>
      <w:r>
        <w:fldChar w:fldCharType="separate"/>
      </w:r>
      <w:r>
        <w:t>101</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_Toc3140 </w:instrText>
      </w:r>
      <w:r>
        <w:rPr>
          <w:highlight w:val="none"/>
        </w:rPr>
        <w:fldChar w:fldCharType="separate"/>
      </w:r>
      <w:r>
        <w:rPr>
          <w:highlight w:val="none"/>
        </w:rPr>
        <w:t>8.2</w:t>
      </w:r>
      <w:r>
        <w:rPr>
          <w:rFonts w:ascii="宋体" w:hAnsi="宋体"/>
          <w:highlight w:val="none"/>
        </w:rPr>
        <w:t>技术保障</w:t>
      </w:r>
      <w:r>
        <w:tab/>
      </w:r>
      <w:r>
        <w:fldChar w:fldCharType="begin"/>
      </w:r>
      <w:r>
        <w:instrText xml:space="preserve"> PAGEREF _Toc3140 </w:instrText>
      </w:r>
      <w:r>
        <w:fldChar w:fldCharType="separate"/>
      </w:r>
      <w:r>
        <w:t>101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_Toc10803 </w:instrText>
      </w:r>
      <w:r>
        <w:rPr>
          <w:highlight w:val="none"/>
        </w:rPr>
        <w:fldChar w:fldCharType="separate"/>
      </w:r>
      <w:r>
        <w:rPr>
          <w:highlight w:val="none"/>
        </w:rPr>
        <w:t>8.2.1</w:t>
      </w:r>
      <w:r>
        <w:rPr>
          <w:rFonts w:ascii="宋体" w:hAnsi="宋体"/>
          <w:highlight w:val="none"/>
        </w:rPr>
        <w:t>技术指导</w:t>
      </w:r>
      <w:r>
        <w:tab/>
      </w:r>
      <w:r>
        <w:fldChar w:fldCharType="begin"/>
      </w:r>
      <w:r>
        <w:instrText xml:space="preserve"> PAGEREF _Toc10803 </w:instrText>
      </w:r>
      <w:r>
        <w:fldChar w:fldCharType="separate"/>
      </w:r>
      <w:r>
        <w:t>101</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_Toc31804 </w:instrText>
      </w:r>
      <w:r>
        <w:rPr>
          <w:highlight w:val="none"/>
        </w:rPr>
        <w:fldChar w:fldCharType="separate"/>
      </w:r>
      <w:r>
        <w:rPr>
          <w:highlight w:val="none"/>
        </w:rPr>
        <w:t>8.2.2</w:t>
      </w:r>
      <w:r>
        <w:rPr>
          <w:rFonts w:ascii="宋体" w:hAnsi="宋体"/>
          <w:highlight w:val="none"/>
        </w:rPr>
        <w:t>技术监督</w:t>
      </w:r>
      <w:r>
        <w:tab/>
      </w:r>
      <w:r>
        <w:fldChar w:fldCharType="begin"/>
      </w:r>
      <w:r>
        <w:instrText xml:space="preserve"> PAGEREF _Toc31804 </w:instrText>
      </w:r>
      <w:r>
        <w:fldChar w:fldCharType="separate"/>
      </w:r>
      <w:r>
        <w:t>102</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_Toc2450 </w:instrText>
      </w:r>
      <w:r>
        <w:rPr>
          <w:highlight w:val="none"/>
        </w:rPr>
        <w:fldChar w:fldCharType="separate"/>
      </w:r>
      <w:r>
        <w:rPr>
          <w:highlight w:val="none"/>
        </w:rPr>
        <w:t>8.2.3完善管理规章制度</w:t>
      </w:r>
      <w:r>
        <w:tab/>
      </w:r>
      <w:r>
        <w:fldChar w:fldCharType="begin"/>
      </w:r>
      <w:r>
        <w:instrText xml:space="preserve"> PAGEREF _Toc2450 </w:instrText>
      </w:r>
      <w:r>
        <w:fldChar w:fldCharType="separate"/>
      </w:r>
      <w:r>
        <w:t>102</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_Toc622 </w:instrText>
      </w:r>
      <w:r>
        <w:rPr>
          <w:highlight w:val="none"/>
        </w:rPr>
        <w:fldChar w:fldCharType="separate"/>
      </w:r>
      <w:r>
        <w:rPr>
          <w:highlight w:val="none"/>
        </w:rPr>
        <w:t>8.3</w:t>
      </w:r>
      <w:r>
        <w:rPr>
          <w:rFonts w:ascii="宋体" w:hAnsi="宋体"/>
          <w:highlight w:val="none"/>
        </w:rPr>
        <w:t>资金保障</w:t>
      </w:r>
      <w:r>
        <w:tab/>
      </w:r>
      <w:r>
        <w:fldChar w:fldCharType="begin"/>
      </w:r>
      <w:r>
        <w:instrText xml:space="preserve"> PAGEREF _Toc622 </w:instrText>
      </w:r>
      <w:r>
        <w:fldChar w:fldCharType="separate"/>
      </w:r>
      <w:r>
        <w:t>103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_Toc29618 </w:instrText>
      </w:r>
      <w:r>
        <w:rPr>
          <w:highlight w:val="none"/>
        </w:rPr>
        <w:fldChar w:fldCharType="separate"/>
      </w:r>
      <w:r>
        <w:rPr>
          <w:rFonts w:hint="eastAsia"/>
          <w:highlight w:val="none"/>
        </w:rPr>
        <w:t xml:space="preserve">8.3.1 </w:t>
      </w:r>
      <w:r>
        <w:rPr>
          <w:rFonts w:hint="eastAsia" w:ascii="宋体" w:hAnsi="宋体"/>
          <w:highlight w:val="none"/>
        </w:rPr>
        <w:t>资金来源</w:t>
      </w:r>
      <w:r>
        <w:tab/>
      </w:r>
      <w:r>
        <w:fldChar w:fldCharType="begin"/>
      </w:r>
      <w:r>
        <w:instrText xml:space="preserve"> PAGEREF _Toc29618 </w:instrText>
      </w:r>
      <w:r>
        <w:fldChar w:fldCharType="separate"/>
      </w:r>
      <w:r>
        <w:t>103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_Toc4362 </w:instrText>
      </w:r>
      <w:r>
        <w:rPr>
          <w:highlight w:val="none"/>
        </w:rPr>
        <w:fldChar w:fldCharType="separate"/>
      </w:r>
      <w:r>
        <w:rPr>
          <w:rFonts w:hint="eastAsia"/>
          <w:highlight w:val="none"/>
        </w:rPr>
        <w:t xml:space="preserve">8.3.2 </w:t>
      </w:r>
      <w:r>
        <w:rPr>
          <w:rFonts w:hint="eastAsia" w:ascii="宋体" w:hAnsi="宋体"/>
          <w:highlight w:val="none"/>
        </w:rPr>
        <w:t>提计和储存</w:t>
      </w:r>
      <w:r>
        <w:tab/>
      </w:r>
      <w:r>
        <w:fldChar w:fldCharType="begin"/>
      </w:r>
      <w:r>
        <w:instrText xml:space="preserve"> PAGEREF _Toc4362 </w:instrText>
      </w:r>
      <w:r>
        <w:fldChar w:fldCharType="separate"/>
      </w:r>
      <w:r>
        <w:t>103</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_Toc6024 </w:instrText>
      </w:r>
      <w:r>
        <w:rPr>
          <w:highlight w:val="none"/>
        </w:rPr>
        <w:fldChar w:fldCharType="separate"/>
      </w:r>
      <w:r>
        <w:rPr>
          <w:rFonts w:hint="eastAsia"/>
          <w:highlight w:val="none"/>
        </w:rPr>
        <w:t xml:space="preserve">8.3.3 </w:t>
      </w:r>
      <w:r>
        <w:rPr>
          <w:rFonts w:hint="eastAsia" w:ascii="宋体" w:hAnsi="宋体"/>
          <w:highlight w:val="none"/>
        </w:rPr>
        <w:t>管理</w:t>
      </w:r>
      <w:r>
        <w:tab/>
      </w:r>
      <w:r>
        <w:fldChar w:fldCharType="begin"/>
      </w:r>
      <w:r>
        <w:instrText xml:space="preserve"> PAGEREF _Toc6024 </w:instrText>
      </w:r>
      <w:r>
        <w:fldChar w:fldCharType="separate"/>
      </w:r>
      <w:r>
        <w:t>104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_Toc4782 </w:instrText>
      </w:r>
      <w:r>
        <w:rPr>
          <w:highlight w:val="none"/>
        </w:rPr>
        <w:fldChar w:fldCharType="separate"/>
      </w:r>
      <w:r>
        <w:rPr>
          <w:rFonts w:hint="eastAsia"/>
          <w:highlight w:val="none"/>
        </w:rPr>
        <w:t xml:space="preserve">8.3.4 </w:t>
      </w:r>
      <w:r>
        <w:rPr>
          <w:rFonts w:hint="eastAsia" w:ascii="宋体" w:hAnsi="宋体"/>
          <w:highlight w:val="none"/>
        </w:rPr>
        <w:t>使用</w:t>
      </w:r>
      <w:r>
        <w:tab/>
      </w:r>
      <w:r>
        <w:fldChar w:fldCharType="begin"/>
      </w:r>
      <w:r>
        <w:instrText xml:space="preserve"> PAGEREF _Toc4782 </w:instrText>
      </w:r>
      <w:r>
        <w:fldChar w:fldCharType="separate"/>
      </w:r>
      <w:r>
        <w:t>104</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_Toc14024 </w:instrText>
      </w:r>
      <w:r>
        <w:rPr>
          <w:highlight w:val="none"/>
        </w:rPr>
        <w:fldChar w:fldCharType="separate"/>
      </w:r>
      <w:r>
        <w:rPr>
          <w:rFonts w:hint="eastAsia"/>
          <w:highlight w:val="none"/>
        </w:rPr>
        <w:t xml:space="preserve">8.3.5 </w:t>
      </w:r>
      <w:r>
        <w:rPr>
          <w:rFonts w:hint="eastAsia" w:ascii="宋体" w:hAnsi="宋体"/>
          <w:highlight w:val="none"/>
        </w:rPr>
        <w:t>审计</w:t>
      </w:r>
      <w:r>
        <w:tab/>
      </w:r>
      <w:r>
        <w:fldChar w:fldCharType="begin"/>
      </w:r>
      <w:r>
        <w:instrText xml:space="preserve"> PAGEREF _Toc14024 </w:instrText>
      </w:r>
      <w:r>
        <w:fldChar w:fldCharType="separate"/>
      </w:r>
      <w:r>
        <w:t>105</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_Toc1416 </w:instrText>
      </w:r>
      <w:r>
        <w:rPr>
          <w:highlight w:val="none"/>
        </w:rPr>
        <w:fldChar w:fldCharType="separate"/>
      </w:r>
      <w:r>
        <w:rPr>
          <w:highlight w:val="none"/>
        </w:rPr>
        <w:t>8.4</w:t>
      </w:r>
      <w:r>
        <w:rPr>
          <w:rFonts w:ascii="宋体" w:hAnsi="宋体"/>
          <w:highlight w:val="none"/>
        </w:rPr>
        <w:t>监管保障</w:t>
      </w:r>
      <w:r>
        <w:tab/>
      </w:r>
      <w:r>
        <w:fldChar w:fldCharType="begin"/>
      </w:r>
      <w:r>
        <w:instrText xml:space="preserve"> PAGEREF _Toc1416 </w:instrText>
      </w:r>
      <w:r>
        <w:fldChar w:fldCharType="separate"/>
      </w:r>
      <w:r>
        <w:t>106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_Toc13580 </w:instrText>
      </w:r>
      <w:r>
        <w:rPr>
          <w:highlight w:val="none"/>
        </w:rPr>
        <w:fldChar w:fldCharType="separate"/>
      </w:r>
      <w:r>
        <w:rPr>
          <w:highlight w:val="none"/>
        </w:rPr>
        <w:t>8.5</w:t>
      </w:r>
      <w:r>
        <w:rPr>
          <w:rFonts w:ascii="宋体" w:hAnsi="宋体"/>
          <w:highlight w:val="none"/>
        </w:rPr>
        <w:t>效益分析</w:t>
      </w:r>
      <w:r>
        <w:tab/>
      </w:r>
      <w:r>
        <w:fldChar w:fldCharType="begin"/>
      </w:r>
      <w:r>
        <w:instrText xml:space="preserve"> PAGEREF _Toc13580 </w:instrText>
      </w:r>
      <w:r>
        <w:fldChar w:fldCharType="separate"/>
      </w:r>
      <w:r>
        <w:t>106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_Toc11363 </w:instrText>
      </w:r>
      <w:r>
        <w:rPr>
          <w:highlight w:val="none"/>
        </w:rPr>
        <w:fldChar w:fldCharType="separate"/>
      </w:r>
      <w:r>
        <w:rPr>
          <w:highlight w:val="none"/>
        </w:rPr>
        <w:t>8.5.1</w:t>
      </w:r>
      <w:r>
        <w:rPr>
          <w:rFonts w:ascii="宋体" w:hAnsi="宋体"/>
          <w:highlight w:val="none"/>
        </w:rPr>
        <w:t>社会效益</w:t>
      </w:r>
      <w:r>
        <w:tab/>
      </w:r>
      <w:r>
        <w:fldChar w:fldCharType="begin"/>
      </w:r>
      <w:r>
        <w:instrText xml:space="preserve"> PAGEREF _Toc11363 </w:instrText>
      </w:r>
      <w:r>
        <w:fldChar w:fldCharType="separate"/>
      </w:r>
      <w:r>
        <w:t>106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_Toc26920 </w:instrText>
      </w:r>
      <w:r>
        <w:rPr>
          <w:highlight w:val="none"/>
        </w:rPr>
        <w:fldChar w:fldCharType="separate"/>
      </w:r>
      <w:r>
        <w:rPr>
          <w:highlight w:val="none"/>
        </w:rPr>
        <w:t>8.5.2</w:t>
      </w:r>
      <w:r>
        <w:rPr>
          <w:rFonts w:ascii="宋体" w:hAnsi="宋体"/>
          <w:highlight w:val="none"/>
        </w:rPr>
        <w:t>环境效益</w:t>
      </w:r>
      <w:r>
        <w:tab/>
      </w:r>
      <w:r>
        <w:fldChar w:fldCharType="begin"/>
      </w:r>
      <w:r>
        <w:instrText xml:space="preserve"> PAGEREF _Toc26920 </w:instrText>
      </w:r>
      <w:r>
        <w:fldChar w:fldCharType="separate"/>
      </w:r>
      <w:r>
        <w:t>107</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_Toc27948 </w:instrText>
      </w:r>
      <w:r>
        <w:rPr>
          <w:highlight w:val="none"/>
        </w:rPr>
        <w:fldChar w:fldCharType="separate"/>
      </w:r>
      <w:r>
        <w:rPr>
          <w:highlight w:val="none"/>
        </w:rPr>
        <w:t>8.5.3</w:t>
      </w:r>
      <w:r>
        <w:rPr>
          <w:rFonts w:ascii="宋体" w:hAnsi="宋体"/>
          <w:highlight w:val="none"/>
        </w:rPr>
        <w:t>经济效益</w:t>
      </w:r>
      <w:r>
        <w:tab/>
      </w:r>
      <w:r>
        <w:fldChar w:fldCharType="begin"/>
      </w:r>
      <w:r>
        <w:instrText xml:space="preserve"> PAGEREF _Toc27948 </w:instrText>
      </w:r>
      <w:r>
        <w:fldChar w:fldCharType="separate"/>
      </w:r>
      <w:r>
        <w:t>107</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_Toc2577 </w:instrText>
      </w:r>
      <w:r>
        <w:rPr>
          <w:highlight w:val="none"/>
        </w:rPr>
        <w:fldChar w:fldCharType="separate"/>
      </w:r>
      <w:r>
        <w:rPr>
          <w:highlight w:val="none"/>
        </w:rPr>
        <w:t>8.6</w:t>
      </w:r>
      <w:r>
        <w:rPr>
          <w:rFonts w:ascii="宋体" w:hAnsi="宋体"/>
          <w:highlight w:val="none"/>
        </w:rPr>
        <w:t>公众参与</w:t>
      </w:r>
      <w:r>
        <w:tab/>
      </w:r>
      <w:r>
        <w:fldChar w:fldCharType="begin"/>
      </w:r>
      <w:r>
        <w:instrText xml:space="preserve"> PAGEREF _Toc2577 </w:instrText>
      </w:r>
      <w:r>
        <w:fldChar w:fldCharType="separate"/>
      </w:r>
      <w:r>
        <w:t>108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_Toc28867 </w:instrText>
      </w:r>
      <w:r>
        <w:rPr>
          <w:highlight w:val="none"/>
        </w:rPr>
        <w:fldChar w:fldCharType="separate"/>
      </w:r>
      <w:r>
        <w:rPr>
          <w:highlight w:val="none"/>
        </w:rPr>
        <w:t>8.6.1方案编制前期的公众参与</w:t>
      </w:r>
      <w:r>
        <w:tab/>
      </w:r>
      <w:r>
        <w:fldChar w:fldCharType="begin"/>
      </w:r>
      <w:r>
        <w:instrText xml:space="preserve"> PAGEREF _Toc28867 </w:instrText>
      </w:r>
      <w:r>
        <w:fldChar w:fldCharType="separate"/>
      </w:r>
      <w:r>
        <w:t>108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_Toc7166 </w:instrText>
      </w:r>
      <w:r>
        <w:rPr>
          <w:highlight w:val="none"/>
        </w:rPr>
        <w:fldChar w:fldCharType="separate"/>
      </w:r>
      <w:r>
        <w:rPr>
          <w:highlight w:val="none"/>
        </w:rPr>
        <w:t>8.6.2方案编制期间的公众参与</w:t>
      </w:r>
      <w:r>
        <w:tab/>
      </w:r>
      <w:r>
        <w:fldChar w:fldCharType="begin"/>
      </w:r>
      <w:r>
        <w:instrText xml:space="preserve"> PAGEREF _Toc7166 </w:instrText>
      </w:r>
      <w:r>
        <w:fldChar w:fldCharType="separate"/>
      </w:r>
      <w:r>
        <w:t>109</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_Toc30213 </w:instrText>
      </w:r>
      <w:r>
        <w:rPr>
          <w:highlight w:val="none"/>
        </w:rPr>
        <w:fldChar w:fldCharType="separate"/>
      </w:r>
      <w:r>
        <w:rPr>
          <w:highlight w:val="none"/>
        </w:rPr>
        <w:t>8.6.3方案实施过程中的全程全面参与计划</w:t>
      </w:r>
      <w:r>
        <w:tab/>
      </w:r>
      <w:r>
        <w:fldChar w:fldCharType="begin"/>
      </w:r>
      <w:r>
        <w:instrText xml:space="preserve"> PAGEREF _Toc30213 </w:instrText>
      </w:r>
      <w:r>
        <w:fldChar w:fldCharType="separate"/>
      </w:r>
      <w:r>
        <w:t>110</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_Toc10170 </w:instrText>
      </w:r>
      <w:r>
        <w:rPr>
          <w:highlight w:val="none"/>
        </w:rPr>
        <w:fldChar w:fldCharType="separate"/>
      </w:r>
      <w:r>
        <w:rPr>
          <w:rFonts w:hint="eastAsia"/>
          <w:highlight w:val="none"/>
        </w:rPr>
        <w:t>8.6.4地质灾害监测预警与群测群防</w:t>
      </w:r>
      <w:r>
        <w:tab/>
      </w:r>
      <w:r>
        <w:fldChar w:fldCharType="begin"/>
      </w:r>
      <w:r>
        <w:instrText xml:space="preserve"> PAGEREF _Toc10170 </w:instrText>
      </w:r>
      <w:r>
        <w:fldChar w:fldCharType="separate"/>
      </w:r>
      <w:r>
        <w:t>112</w:t>
      </w:r>
      <w:r>
        <w:fldChar w:fldCharType="end"/>
      </w:r>
      <w:r>
        <w:rPr>
          <w:color w:val="000000" w:themeColor="text1"/>
          <w:highlight w:val="none"/>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_Toc6771 </w:instrText>
      </w:r>
      <w:r>
        <w:rPr>
          <w:highlight w:val="none"/>
        </w:rPr>
        <w:fldChar w:fldCharType="separate"/>
      </w:r>
      <w:r>
        <w:rPr>
          <w:highlight w:val="none"/>
        </w:rPr>
        <w:t>第九章结论与建议</w:t>
      </w:r>
      <w:r>
        <w:tab/>
      </w:r>
      <w:r>
        <w:fldChar w:fldCharType="begin"/>
      </w:r>
      <w:r>
        <w:instrText xml:space="preserve"> PAGEREF _Toc6771 </w:instrText>
      </w:r>
      <w:r>
        <w:fldChar w:fldCharType="separate"/>
      </w:r>
      <w:r>
        <w:t>116</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_Toc5424 </w:instrText>
      </w:r>
      <w:r>
        <w:rPr>
          <w:highlight w:val="none"/>
        </w:rPr>
        <w:fldChar w:fldCharType="separate"/>
      </w:r>
      <w:r>
        <w:rPr>
          <w:highlight w:val="none"/>
        </w:rPr>
        <w:t>9.1</w:t>
      </w:r>
      <w:r>
        <w:rPr>
          <w:rFonts w:ascii="宋体" w:hAnsi="宋体"/>
          <w:highlight w:val="none"/>
        </w:rPr>
        <w:t>结论</w:t>
      </w:r>
      <w:r>
        <w:tab/>
      </w:r>
      <w:r>
        <w:fldChar w:fldCharType="begin"/>
      </w:r>
      <w:r>
        <w:instrText xml:space="preserve"> PAGEREF _Toc5424 </w:instrText>
      </w:r>
      <w:r>
        <w:fldChar w:fldCharType="separate"/>
      </w:r>
      <w:r>
        <w:t>116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_Toc11502 </w:instrText>
      </w:r>
      <w:r>
        <w:rPr>
          <w:highlight w:val="none"/>
        </w:rPr>
        <w:fldChar w:fldCharType="separate"/>
      </w:r>
      <w:r>
        <w:rPr>
          <w:highlight w:val="none"/>
        </w:rPr>
        <w:t>9.1.1</w:t>
      </w:r>
      <w:r>
        <w:rPr>
          <w:rFonts w:ascii="宋体" w:hAnsi="宋体"/>
          <w:highlight w:val="none"/>
        </w:rPr>
        <w:t>项目基本情况</w:t>
      </w:r>
      <w:r>
        <w:tab/>
      </w:r>
      <w:r>
        <w:fldChar w:fldCharType="begin"/>
      </w:r>
      <w:r>
        <w:instrText xml:space="preserve"> PAGEREF _Toc11502 </w:instrText>
      </w:r>
      <w:r>
        <w:fldChar w:fldCharType="separate"/>
      </w:r>
      <w:r>
        <w:t>116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_Toc3009 </w:instrText>
      </w:r>
      <w:r>
        <w:rPr>
          <w:highlight w:val="none"/>
        </w:rPr>
        <w:fldChar w:fldCharType="separate"/>
      </w:r>
      <w:r>
        <w:rPr>
          <w:highlight w:val="none"/>
        </w:rPr>
        <w:t>9.1.2矿山地质环境影响和土地损毁评估</w:t>
      </w:r>
      <w:r>
        <w:rPr>
          <w:rFonts w:hint="eastAsia"/>
          <w:highlight w:val="none"/>
        </w:rPr>
        <w:t>结论</w:t>
      </w:r>
      <w:r>
        <w:tab/>
      </w:r>
      <w:r>
        <w:fldChar w:fldCharType="begin"/>
      </w:r>
      <w:r>
        <w:instrText xml:space="preserve"> PAGEREF _Toc3009 </w:instrText>
      </w:r>
      <w:r>
        <w:fldChar w:fldCharType="separate"/>
      </w:r>
      <w:r>
        <w:t>116</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_Toc853 </w:instrText>
      </w:r>
      <w:r>
        <w:rPr>
          <w:highlight w:val="none"/>
        </w:rPr>
        <w:fldChar w:fldCharType="separate"/>
      </w:r>
      <w:r>
        <w:rPr>
          <w:highlight w:val="none"/>
        </w:rPr>
        <w:t>9.1.3矿山地质环境保护与恢复治理分区与土地复垦范围</w:t>
      </w:r>
      <w:r>
        <w:tab/>
      </w:r>
      <w:r>
        <w:fldChar w:fldCharType="begin"/>
      </w:r>
      <w:r>
        <w:instrText xml:space="preserve"> PAGEREF _Toc853 </w:instrText>
      </w:r>
      <w:r>
        <w:fldChar w:fldCharType="separate"/>
      </w:r>
      <w:r>
        <w:t>118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_Toc3556 </w:instrText>
      </w:r>
      <w:r>
        <w:rPr>
          <w:highlight w:val="none"/>
        </w:rPr>
        <w:fldChar w:fldCharType="separate"/>
      </w:r>
      <w:r>
        <w:rPr>
          <w:highlight w:val="none"/>
        </w:rPr>
        <w:t>9.1.4矿山地质环境治理与土地复垦工作部署</w:t>
      </w:r>
      <w:r>
        <w:tab/>
      </w:r>
      <w:r>
        <w:fldChar w:fldCharType="begin"/>
      </w:r>
      <w:r>
        <w:instrText xml:space="preserve"> PAGEREF _Toc3556 </w:instrText>
      </w:r>
      <w:r>
        <w:fldChar w:fldCharType="separate"/>
      </w:r>
      <w:r>
        <w:t>118</w:t>
      </w:r>
      <w:r>
        <w:fldChar w:fldCharType="end"/>
      </w:r>
      <w:r>
        <w:rPr>
          <w:color w:val="000000" w:themeColor="text1"/>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_Toc20999 </w:instrText>
      </w:r>
      <w:r>
        <w:rPr>
          <w:highlight w:val="none"/>
        </w:rPr>
        <w:fldChar w:fldCharType="separate"/>
      </w:r>
      <w:r>
        <w:rPr>
          <w:highlight w:val="none"/>
        </w:rPr>
        <w:t>9.1.5矿山地质环境治理与土地复垦投资估算</w:t>
      </w:r>
      <w:r>
        <w:tab/>
      </w:r>
      <w:r>
        <w:fldChar w:fldCharType="begin"/>
      </w:r>
      <w:r>
        <w:instrText xml:space="preserve"> PAGEREF _Toc20999 </w:instrText>
      </w:r>
      <w:r>
        <w:fldChar w:fldCharType="separate"/>
      </w:r>
      <w:r>
        <w:t>119</w:t>
      </w:r>
      <w:r>
        <w:fldChar w:fldCharType="end"/>
      </w:r>
      <w:r>
        <w:rPr>
          <w:color w:val="000000" w:themeColor="text1"/>
          <w:highlight w:val="none"/>
        </w:rPr>
        <w:fldChar w:fldCharType="end"/>
      </w:r>
    </w:p>
    <w:p>
      <w:pPr>
        <w:pStyle w:val="26"/>
        <w:keepNext w:val="0"/>
        <w:keepLines w:val="0"/>
        <w:pageBreakBefore w:val="0"/>
        <w:widowControl w:val="0"/>
        <w:tabs>
          <w:tab w:val="right" w:leader="dot" w:pos="8306"/>
        </w:tabs>
        <w:kinsoku/>
        <w:wordWrap/>
        <w:overflowPunct/>
        <w:topLinePunct w:val="0"/>
        <w:autoSpaceDE/>
        <w:autoSpaceDN/>
        <w:bidi w:val="0"/>
        <w:adjustRightInd w:val="0"/>
        <w:snapToGrid w:val="0"/>
        <w:spacing w:line="340" w:lineRule="exact"/>
        <w:ind w:firstLine="0" w:firstLineChars="0"/>
        <w:textAlignment w:val="auto"/>
      </w:pPr>
      <w:r>
        <w:rPr>
          <w:color w:val="000000" w:themeColor="text1"/>
          <w:highlight w:val="none"/>
        </w:rPr>
        <w:fldChar w:fldCharType="begin"/>
      </w:r>
      <w:r>
        <w:rPr>
          <w:highlight w:val="none"/>
        </w:rPr>
        <w:instrText xml:space="preserve"> HYPERLINK \l _Toc29465 </w:instrText>
      </w:r>
      <w:r>
        <w:rPr>
          <w:highlight w:val="none"/>
        </w:rPr>
        <w:fldChar w:fldCharType="separate"/>
      </w:r>
      <w:r>
        <w:rPr>
          <w:highlight w:val="none"/>
        </w:rPr>
        <w:t>9.2</w:t>
      </w:r>
      <w:r>
        <w:rPr>
          <w:rFonts w:ascii="宋体" w:hAnsi="宋体"/>
          <w:highlight w:val="none"/>
        </w:rPr>
        <w:t>建议</w:t>
      </w:r>
      <w:r>
        <w:tab/>
      </w:r>
      <w:r>
        <w:fldChar w:fldCharType="begin"/>
      </w:r>
      <w:r>
        <w:instrText xml:space="preserve"> PAGEREF _Toc29465 </w:instrText>
      </w:r>
      <w:r>
        <w:fldChar w:fldCharType="separate"/>
      </w:r>
      <w:r>
        <w:t>119</w:t>
      </w:r>
      <w:r>
        <w:fldChar w:fldCharType="end"/>
      </w:r>
      <w:r>
        <w:rPr>
          <w:color w:val="000000" w:themeColor="text1"/>
          <w:highlight w:val="none"/>
        </w:rPr>
        <w:fldChar w:fldCharType="end"/>
      </w:r>
    </w:p>
    <w:p>
      <w:pPr>
        <w:spacing w:line="400" w:lineRule="exact"/>
        <w:ind w:firstLine="0" w:firstLineChars="0"/>
        <w:jc w:val="center"/>
        <w:rPr>
          <w:color w:val="000000" w:themeColor="text1"/>
          <w:highlight w:val="none"/>
        </w:rPr>
      </w:pPr>
      <w:r>
        <w:rPr>
          <w:color w:val="000000" w:themeColor="text1"/>
          <w:highlight w:val="none"/>
        </w:rPr>
        <w:fldChar w:fldCharType="end"/>
      </w:r>
      <w:r>
        <w:rPr>
          <w:color w:val="000000" w:themeColor="text1"/>
          <w:highlight w:val="none"/>
        </w:rPr>
        <w:t xml:space="preserve"> </w:t>
      </w:r>
    </w:p>
    <w:p>
      <w:pPr>
        <w:rPr>
          <w:color w:val="000000" w:themeColor="text1"/>
          <w:highlight w:val="none"/>
        </w:rPr>
        <w:sectPr>
          <w:footerReference r:id="rId9" w:type="default"/>
          <w:pgSz w:w="11906" w:h="16838"/>
          <w:pgMar w:top="1440" w:right="1800" w:bottom="1440" w:left="1800" w:header="624" w:footer="992" w:gutter="0"/>
          <w:pgNumType w:fmt="upperRoman" w:start="1"/>
          <w:cols w:space="425" w:num="1"/>
          <w:docGrid w:type="linesAndChars" w:linePitch="312" w:charSpace="0"/>
        </w:sectPr>
      </w:pPr>
    </w:p>
    <w:p>
      <w:pPr>
        <w:pStyle w:val="3"/>
        <w:rPr>
          <w:color w:val="000000" w:themeColor="text1"/>
          <w:highlight w:val="none"/>
        </w:rPr>
      </w:pPr>
      <w:bookmarkStart w:id="1" w:name="_Toc28203"/>
      <w:r>
        <w:rPr>
          <w:color w:val="000000" w:themeColor="text1"/>
          <w:highlight w:val="none"/>
        </w:rPr>
        <w:t>前言</w:t>
      </w:r>
      <w:bookmarkEnd w:id="0"/>
      <w:bookmarkEnd w:id="1"/>
    </w:p>
    <w:p>
      <w:pPr>
        <w:pStyle w:val="4"/>
        <w:spacing w:before="82" w:after="82"/>
        <w:rPr>
          <w:color w:val="000000" w:themeColor="text1"/>
          <w:highlight w:val="none"/>
        </w:rPr>
      </w:pPr>
      <w:bookmarkStart w:id="2" w:name="_Toc12485"/>
      <w:bookmarkStart w:id="3" w:name="_Toc26093"/>
      <w:r>
        <w:rPr>
          <w:color w:val="000000" w:themeColor="text1"/>
          <w:highlight w:val="none"/>
        </w:rPr>
        <w:t>1任务的由来</w:t>
      </w:r>
      <w:bookmarkEnd w:id="2"/>
      <w:bookmarkEnd w:id="3"/>
    </w:p>
    <w:p>
      <w:pPr>
        <w:rPr>
          <w:color w:val="000000" w:themeColor="text1"/>
          <w:highlight w:val="none"/>
        </w:rPr>
      </w:pPr>
      <w:r>
        <w:rPr>
          <w:rFonts w:hint="eastAsia"/>
          <w:color w:val="000000" w:themeColor="text1"/>
          <w:highlight w:val="none"/>
        </w:rPr>
        <w:t>随着国民经济的快速发展以及人们生产生活的需要，大量矿产资源被开采利用。矿产资源的开发利用在支持国家经济建设、改善人民物质生活提供足够资源的同时，其开采活动也引发了一系列的环境与资源问题，其中比较突出的是土地资源问题，体现在土地的挖损、压占、塌陷等损毁形式，损毁了原有土地的生态环境，同时也使得土地丧失其原有功能，为了使被损毁的土地得以恢复利用价值，需要在科学分析土地损毁现状和可行性评价的基础上，按照一定的技术标准，采取一系列的土壤重构工程、植被重建工程和配套工程等复垦工程措施，按照一定的复垦工作计划，使原有土地恢复其可利用状态或最优利用状态，改善原有土地的生态环境，优化原有土地的利用结构，实现土地可持续利用和土地利用生态、经济和社会效益的最大化，这也就是开展矿山土地复垦工作的由来。</w:t>
      </w:r>
    </w:p>
    <w:p>
      <w:pPr>
        <w:rPr>
          <w:color w:val="000000" w:themeColor="text1"/>
          <w:highlight w:val="none"/>
        </w:rPr>
      </w:pPr>
      <w:r>
        <w:rPr>
          <w:rFonts w:hint="eastAsia"/>
          <w:color w:val="000000" w:themeColor="text1"/>
          <w:highlight w:val="none"/>
        </w:rPr>
        <w:t>搞好土地复垦工作是坚持最严格的耕地保护制度，实施土地可持续利用的重要举措，对恢复和改善生态环境、发展循环经济、推进社会主义新农村建设、建设资源节约型、环境友好型社会、促进经济社会全面协调可持续发展都具有十分重要的意义。</w:t>
      </w:r>
    </w:p>
    <w:p>
      <w:pPr>
        <w:rPr>
          <w:color w:val="000000" w:themeColor="text1"/>
          <w:highlight w:val="none"/>
        </w:rPr>
      </w:pPr>
      <w:r>
        <w:rPr>
          <w:rFonts w:hint="eastAsia"/>
          <w:color w:val="000000" w:themeColor="text1"/>
          <w:highlight w:val="none"/>
        </w:rPr>
        <w:t>“谁损毁、谁复垦”是土地复垦工作的基本原则。所有复垦义务人在生产建设活动中要按照“统一规划、源头控制、防复结合”的要求，尽量控制或减少对土地资源不必要的损毁，做到土地复垦与生产建设统一规划，把土地复垦指标纳入生产建设计划。土地复垦与生产建设同步设计、同步施工，努力实现“边生产、边建设、边复垦”。有复垦任务的生产建设项目，并据此编制土地复垦方案，落实土地复垦费用。</w:t>
      </w:r>
    </w:p>
    <w:p>
      <w:pPr>
        <w:rPr>
          <w:rFonts w:hint="eastAsia" w:eastAsia="宋体"/>
          <w:color w:val="000000" w:themeColor="text1"/>
          <w:highlight w:val="none"/>
          <w:lang w:eastAsia="zh-CN"/>
        </w:rPr>
      </w:pPr>
      <w:r>
        <w:rPr>
          <w:rFonts w:hint="eastAsia"/>
          <w:color w:val="000000" w:themeColor="text1"/>
          <w:highlight w:val="none"/>
        </w:rPr>
        <w:t>旺苍县</w:t>
      </w:r>
      <w:r>
        <w:rPr>
          <w:rFonts w:hint="eastAsia"/>
          <w:color w:val="000000" w:themeColor="text1"/>
          <w:highlight w:val="none"/>
          <w:lang w:eastAsia="zh-CN"/>
        </w:rPr>
        <w:t>三江镇战旗石灰石矿</w:t>
      </w:r>
      <w:r>
        <w:rPr>
          <w:rFonts w:hint="eastAsia"/>
          <w:color w:val="000000" w:themeColor="text1"/>
          <w:highlight w:val="none"/>
        </w:rPr>
        <w:t>属于对土地有损毁的生产项目，根据《土地复垦条例》（2011年3月5日国务院令第592号）和有关部委文件要求需开展土地复垦工作，</w:t>
      </w:r>
      <w:r>
        <w:rPr>
          <w:rFonts w:hint="eastAsia"/>
          <w:color w:val="000000" w:themeColor="text1"/>
          <w:highlight w:val="none"/>
          <w:lang w:eastAsia="zh-CN"/>
        </w:rPr>
        <w:t>旺苍县华隆建材有限公司</w:t>
      </w:r>
      <w:r>
        <w:rPr>
          <w:rFonts w:hint="eastAsia"/>
          <w:color w:val="000000" w:themeColor="text1"/>
          <w:highlight w:val="none"/>
        </w:rPr>
        <w:t>为该项目的生产单位及土地复垦义务人。为加强土地复垦工作，明确复垦土地的利用方向，避免复垦工程的盲目性，保证土地复垦与项目建设协调运行，本着珍惜和合理利用每一寸土地，改善矿区周边生态环境，实现土地资源可持续利用，促进经济、社会与环境的和谐发展的原则</w:t>
      </w:r>
      <w:r>
        <w:rPr>
          <w:rFonts w:hint="eastAsia"/>
          <w:color w:val="000000" w:themeColor="text1"/>
          <w:highlight w:val="none"/>
          <w:lang w:eastAsia="zh-CN"/>
        </w:rPr>
        <w:t>，同时由于矿山采矿权范围变更，需办理新的采矿许可证，需要对矿山地质环境保护与土地复垦方案进行重新编制</w:t>
      </w:r>
      <w:r>
        <w:rPr>
          <w:rFonts w:hint="eastAsia"/>
          <w:color w:val="000000" w:themeColor="text1"/>
          <w:highlight w:val="none"/>
        </w:rPr>
        <w:t>。</w:t>
      </w:r>
      <w:r>
        <w:rPr>
          <w:bCs/>
          <w:color w:val="000000" w:themeColor="text1"/>
          <w:highlight w:val="none"/>
        </w:rPr>
        <w:t>因此</w:t>
      </w:r>
      <w:r>
        <w:rPr>
          <w:rFonts w:hint="eastAsia"/>
          <w:color w:val="000000" w:themeColor="text1"/>
          <w:highlight w:val="none"/>
          <w:lang w:eastAsia="zh-CN"/>
        </w:rPr>
        <w:t>旺苍县华隆建材有限公司</w:t>
      </w:r>
      <w:r>
        <w:rPr>
          <w:color w:val="000000" w:themeColor="text1"/>
          <w:highlight w:val="none"/>
        </w:rPr>
        <w:t>委托</w:t>
      </w:r>
      <w:r>
        <w:rPr>
          <w:rFonts w:hint="eastAsia"/>
          <w:color w:val="000000" w:themeColor="text1"/>
          <w:highlight w:val="none"/>
          <w:lang w:eastAsia="zh-CN"/>
        </w:rPr>
        <w:t>四川天梦星地质勘查技术有限公司</w:t>
      </w:r>
      <w:r>
        <w:rPr>
          <w:color w:val="000000" w:themeColor="text1"/>
          <w:highlight w:val="none"/>
        </w:rPr>
        <w:t>编制</w:t>
      </w:r>
      <w:r>
        <w:rPr>
          <w:rFonts w:hint="eastAsia"/>
          <w:color w:val="000000" w:themeColor="text1"/>
          <w:highlight w:val="none"/>
        </w:rPr>
        <w:t>《广元市</w:t>
      </w:r>
      <w:r>
        <w:rPr>
          <w:rFonts w:hint="eastAsia"/>
          <w:color w:val="000000" w:themeColor="text1"/>
          <w:highlight w:val="none"/>
          <w:lang w:eastAsia="zh-CN"/>
        </w:rPr>
        <w:t>旺苍县华隆建材有限公司三江镇战旗石灰石矿</w:t>
      </w:r>
      <w:r>
        <w:rPr>
          <w:rFonts w:hint="eastAsia"/>
          <w:color w:val="000000" w:themeColor="text1"/>
          <w:highlight w:val="none"/>
        </w:rPr>
        <w:t>矿山地质环境保护与土地复垦方案》。</w:t>
      </w:r>
      <w:r>
        <w:rPr>
          <w:rFonts w:hint="eastAsia"/>
          <w:color w:val="000000" w:themeColor="text1"/>
          <w:highlight w:val="none"/>
          <w:lang w:eastAsia="zh-CN"/>
        </w:rPr>
        <w:t>原方案由四川天骞矿产资源咨询服务有限公司20</w:t>
      </w:r>
      <w:r>
        <w:rPr>
          <w:rFonts w:hint="eastAsia"/>
          <w:color w:val="000000" w:themeColor="text1"/>
          <w:highlight w:val="none"/>
          <w:lang w:val="en-US" w:eastAsia="zh-CN"/>
        </w:rPr>
        <w:t>17</w:t>
      </w:r>
      <w:r>
        <w:rPr>
          <w:rFonts w:hint="eastAsia"/>
          <w:color w:val="000000" w:themeColor="text1"/>
          <w:highlight w:val="none"/>
          <w:lang w:eastAsia="zh-CN"/>
        </w:rPr>
        <w:t>年</w:t>
      </w:r>
      <w:r>
        <w:rPr>
          <w:rFonts w:hint="eastAsia"/>
          <w:color w:val="000000" w:themeColor="text1"/>
          <w:highlight w:val="none"/>
          <w:lang w:val="en-US" w:eastAsia="zh-CN"/>
        </w:rPr>
        <w:t>12</w:t>
      </w:r>
      <w:r>
        <w:rPr>
          <w:rFonts w:hint="eastAsia"/>
          <w:color w:val="000000" w:themeColor="text1"/>
          <w:highlight w:val="none"/>
          <w:lang w:eastAsia="zh-CN"/>
        </w:rPr>
        <w:t>月编制，在四川省自然资源厅通过评审备案。</w:t>
      </w:r>
    </w:p>
    <w:p>
      <w:pPr>
        <w:rPr>
          <w:color w:val="000000" w:themeColor="text1"/>
          <w:highlight w:val="none"/>
        </w:rPr>
      </w:pPr>
      <w:r>
        <w:rPr>
          <w:color w:val="000000" w:themeColor="text1"/>
          <w:highlight w:val="none"/>
        </w:rPr>
        <w:t>接到委托后，我单位编制人员于</w:t>
      </w:r>
      <w:r>
        <w:rPr>
          <w:rFonts w:hint="eastAsia"/>
          <w:color w:val="000000" w:themeColor="text1"/>
          <w:highlight w:val="none"/>
        </w:rPr>
        <w:t>202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10</w:t>
      </w:r>
      <w:r>
        <w:rPr>
          <w:color w:val="000000" w:themeColor="text1"/>
          <w:highlight w:val="none"/>
        </w:rPr>
        <w:t>月赴现场进行踏勘和资料收集。调查了矿山建设及生产情况、矿山</w:t>
      </w:r>
      <w:r>
        <w:rPr>
          <w:color w:val="000000" w:themeColor="text1"/>
          <w:kern w:val="0"/>
          <w:highlight w:val="none"/>
        </w:rPr>
        <w:t>地质环境</w:t>
      </w:r>
      <w:r>
        <w:rPr>
          <w:color w:val="000000" w:themeColor="text1"/>
          <w:highlight w:val="none"/>
        </w:rPr>
        <w:t>、土地利用现状</w:t>
      </w:r>
      <w:r>
        <w:rPr>
          <w:color w:val="000000" w:themeColor="text1"/>
          <w:kern w:val="0"/>
          <w:highlight w:val="none"/>
        </w:rPr>
        <w:t>和</w:t>
      </w:r>
      <w:r>
        <w:rPr>
          <w:color w:val="000000" w:themeColor="text1"/>
          <w:highlight w:val="none"/>
        </w:rPr>
        <w:t>土壤情况、农业生产及农民收入状况、材料价格及人工费用情况等</w:t>
      </w:r>
      <w:r>
        <w:rPr>
          <w:color w:val="000000" w:themeColor="text1"/>
          <w:kern w:val="0"/>
          <w:highlight w:val="none"/>
        </w:rPr>
        <w:t>；在当地自然资源主管部门收集了</w:t>
      </w:r>
      <w:r>
        <w:rPr>
          <w:color w:val="000000" w:themeColor="text1"/>
          <w:highlight w:val="none"/>
        </w:rPr>
        <w:t>土地利用现状图和土地利用总体规划图等技术资料。在方案的编制过程中，我单位多次与当地</w:t>
      </w:r>
      <w:r>
        <w:rPr>
          <w:color w:val="000000" w:themeColor="text1"/>
          <w:kern w:val="0"/>
          <w:highlight w:val="none"/>
        </w:rPr>
        <w:t>自然资源主管部门</w:t>
      </w:r>
      <w:r>
        <w:rPr>
          <w:color w:val="000000" w:themeColor="text1"/>
          <w:highlight w:val="none"/>
        </w:rPr>
        <w:t>、</w:t>
      </w:r>
      <w:r>
        <w:rPr>
          <w:rFonts w:hint="eastAsia"/>
          <w:color w:val="000000" w:themeColor="text1"/>
          <w:highlight w:val="none"/>
          <w:lang w:eastAsia="zh-CN"/>
        </w:rPr>
        <w:t>旺苍县华隆建材有限公司</w:t>
      </w:r>
      <w:r>
        <w:rPr>
          <w:color w:val="000000" w:themeColor="text1"/>
          <w:highlight w:val="none"/>
        </w:rPr>
        <w:t>进行汇报交流，最终形成此矿山地质环境保护与土地复垦方案。</w:t>
      </w:r>
    </w:p>
    <w:p>
      <w:pPr>
        <w:pStyle w:val="4"/>
        <w:spacing w:before="82" w:after="82"/>
        <w:rPr>
          <w:color w:val="000000" w:themeColor="text1"/>
          <w:highlight w:val="none"/>
        </w:rPr>
      </w:pPr>
      <w:bookmarkStart w:id="4" w:name="_Toc1011"/>
      <w:bookmarkStart w:id="5" w:name="_Toc20691"/>
      <w:r>
        <w:rPr>
          <w:color w:val="000000" w:themeColor="text1"/>
          <w:highlight w:val="none"/>
        </w:rPr>
        <w:t>2编制目的</w:t>
      </w:r>
      <w:bookmarkEnd w:id="4"/>
      <w:bookmarkEnd w:id="5"/>
    </w:p>
    <w:p>
      <w:pPr>
        <w:rPr>
          <w:color w:val="000000" w:themeColor="text1"/>
          <w:highlight w:val="none"/>
        </w:rPr>
      </w:pPr>
      <w:r>
        <w:rPr>
          <w:rFonts w:hint="eastAsia"/>
          <w:color w:val="000000" w:themeColor="text1"/>
          <w:highlight w:val="none"/>
          <w:lang w:eastAsia="zh-CN"/>
        </w:rPr>
        <w:t>旺苍县华隆建材有限公司三江镇战旗石灰石矿</w:t>
      </w:r>
      <w:r>
        <w:rPr>
          <w:color w:val="000000" w:themeColor="text1"/>
          <w:highlight w:val="none"/>
        </w:rPr>
        <w:t>为在生产矿山，</w:t>
      </w:r>
      <w:r>
        <w:rPr>
          <w:rFonts w:hint="eastAsia"/>
          <w:color w:val="000000" w:themeColor="text1"/>
          <w:highlight w:val="none"/>
          <w:lang w:eastAsia="zh-CN"/>
        </w:rPr>
        <w:t>由于矿山采矿权范围变更，需办理新的采矿许可证，</w:t>
      </w:r>
      <w:r>
        <w:rPr>
          <w:color w:val="000000" w:themeColor="text1"/>
          <w:highlight w:val="none"/>
        </w:rPr>
        <w:t>按规定需提交矿山地质环境保护与土地复垦方案。方案编制的主要目的：查明矿山地质环境问题、矿区地质灾害现状及隐患、矿区土地利用类型和矿山建设以来矿区各类土地的损毁及土地复垦情况，对矿山生产活动造成的土地损毁与矿山地质环境影响进行现状和预测评估，并根据评估结果确定土地复垦责任范围和矿山地质环境保护与治理恢复分区，制定矿山地质环境保护与恢复治理及土地复垦工程措施；使矿山开采对地质环境、土地资源的影响和破坏程度降到最低，促进矿区经济的可持续发展。为实施矿山地质环境保护、治理、监测及土地复垦提供技术依据，同时为自然资源主管部门对矿山地质环境保护与土地复垦实施情况的监管提供了依据。</w:t>
      </w:r>
    </w:p>
    <w:p>
      <w:pPr>
        <w:rPr>
          <w:color w:val="000000" w:themeColor="text1"/>
          <w:highlight w:val="none"/>
        </w:rPr>
      </w:pPr>
      <w:r>
        <w:rPr>
          <w:color w:val="000000" w:themeColor="text1"/>
          <w:highlight w:val="none"/>
        </w:rPr>
        <w:t>主要任务为：</w:t>
      </w:r>
    </w:p>
    <w:p>
      <w:pPr>
        <w:rPr>
          <w:color w:val="000000" w:themeColor="text1"/>
          <w:highlight w:val="none"/>
        </w:rPr>
      </w:pPr>
      <w:r>
        <w:rPr>
          <w:color w:val="000000" w:themeColor="text1"/>
          <w:highlight w:val="none"/>
        </w:rPr>
        <w:t>1、通过收集资料与野外调查，实地开展矿山地质环境及土地资源等调查，查明矿山概况、矿区地质环境条件和土地资源利用现状；</w:t>
      </w:r>
    </w:p>
    <w:p>
      <w:pPr>
        <w:rPr>
          <w:color w:val="000000" w:themeColor="text1"/>
          <w:highlight w:val="none"/>
        </w:rPr>
      </w:pPr>
      <w:r>
        <w:rPr>
          <w:color w:val="000000" w:themeColor="text1"/>
          <w:highlight w:val="none"/>
        </w:rPr>
        <w:t>2、查明矿区地质环境问题、地质灾害发育现状及造成的危害，矿山开采以来矿区各类土地的损毁情况，分析研究主要地质环境问题的分布规律、形成机理及影响因素，论述土地损毁环节与时序；根据调查情况、矿山开发利用方案、采矿地质环境条件对评估区矿山地质环境影响和土地损毁进行现状和预测评估；</w:t>
      </w:r>
    </w:p>
    <w:p>
      <w:pPr>
        <w:rPr>
          <w:color w:val="000000" w:themeColor="text1"/>
          <w:highlight w:val="none"/>
        </w:rPr>
      </w:pPr>
      <w:r>
        <w:rPr>
          <w:color w:val="000000" w:themeColor="text1"/>
          <w:highlight w:val="none"/>
        </w:rPr>
        <w:t>3、在评估的基础上，进行矿山地质环境保护与恢复治理分区和确定土地复垦区与复垦责任范围；</w:t>
      </w:r>
    </w:p>
    <w:p>
      <w:pPr>
        <w:rPr>
          <w:color w:val="000000" w:themeColor="text1"/>
          <w:highlight w:val="none"/>
        </w:rPr>
      </w:pPr>
      <w:r>
        <w:rPr>
          <w:color w:val="000000" w:themeColor="text1"/>
          <w:highlight w:val="none"/>
        </w:rPr>
        <w:t>4、从技术、经济、土地适宜性和水土资源平衡等方面进行矿山地质环境治理与土地复垦可行性进行分析；</w:t>
      </w:r>
    </w:p>
    <w:p>
      <w:pPr>
        <w:rPr>
          <w:color w:val="000000" w:themeColor="text1"/>
          <w:highlight w:val="none"/>
        </w:rPr>
      </w:pPr>
      <w:r>
        <w:rPr>
          <w:color w:val="000000" w:themeColor="text1"/>
          <w:highlight w:val="none"/>
        </w:rPr>
        <w:t>5、提出矿山地质环境治理、修复与土地复垦技术措施，矿山地质环境监测、土地复垦监测和管护方案，明确各项工作的目标任务；</w:t>
      </w:r>
    </w:p>
    <w:p>
      <w:pPr>
        <w:rPr>
          <w:color w:val="000000" w:themeColor="text1"/>
          <w:highlight w:val="none"/>
        </w:rPr>
      </w:pPr>
      <w:r>
        <w:rPr>
          <w:color w:val="000000" w:themeColor="text1"/>
          <w:highlight w:val="none"/>
        </w:rPr>
        <w:t>6、对矿山地质环境治理与土地复垦工作分阶段进行工作部署，并明确近五年工作安排情况；</w:t>
      </w:r>
    </w:p>
    <w:p>
      <w:pPr>
        <w:rPr>
          <w:color w:val="000000" w:themeColor="text1"/>
          <w:highlight w:val="none"/>
        </w:rPr>
      </w:pPr>
      <w:r>
        <w:rPr>
          <w:color w:val="000000" w:themeColor="text1"/>
          <w:highlight w:val="none"/>
        </w:rPr>
        <w:t>7、进行矿山地质环境治理工程、土地复垦工程的经费估算，提出矿山地质环境保护与土地复垦的保障措施。</w:t>
      </w:r>
    </w:p>
    <w:p>
      <w:pPr>
        <w:pStyle w:val="4"/>
        <w:spacing w:before="82" w:after="82"/>
        <w:rPr>
          <w:color w:val="000000" w:themeColor="text1"/>
          <w:highlight w:val="none"/>
        </w:rPr>
      </w:pPr>
      <w:bookmarkStart w:id="6" w:name="_Toc14779"/>
      <w:bookmarkStart w:id="7" w:name="_Toc25644"/>
      <w:r>
        <w:rPr>
          <w:color w:val="000000" w:themeColor="text1"/>
          <w:highlight w:val="none"/>
        </w:rPr>
        <w:t>3编制依据</w:t>
      </w:r>
      <w:bookmarkEnd w:id="6"/>
      <w:bookmarkEnd w:id="7"/>
    </w:p>
    <w:p>
      <w:pPr>
        <w:pStyle w:val="5"/>
        <w:spacing w:before="82" w:after="82"/>
        <w:rPr>
          <w:color w:val="000000" w:themeColor="text1"/>
          <w:highlight w:val="none"/>
        </w:rPr>
      </w:pPr>
      <w:bookmarkStart w:id="8" w:name="_Toc30227"/>
      <w:bookmarkStart w:id="9" w:name="_Toc29625"/>
      <w:bookmarkStart w:id="10" w:name="_Toc227072668"/>
      <w:r>
        <w:rPr>
          <w:color w:val="000000" w:themeColor="text1"/>
          <w:highlight w:val="none"/>
        </w:rPr>
        <w:t>3.1法律法规</w:t>
      </w:r>
      <w:bookmarkEnd w:id="8"/>
      <w:bookmarkEnd w:id="9"/>
      <w:bookmarkEnd w:id="10"/>
    </w:p>
    <w:p>
      <w:pPr>
        <w:rPr>
          <w:color w:val="000000" w:themeColor="text1"/>
          <w:highlight w:val="none"/>
        </w:rPr>
      </w:pPr>
      <w:r>
        <w:rPr>
          <w:color w:val="000000" w:themeColor="text1"/>
          <w:highlight w:val="none"/>
        </w:rPr>
        <w:t>1、《矿山地质环境保护规定》（</w:t>
      </w:r>
      <w:r>
        <w:rPr>
          <w:bCs/>
          <w:color w:val="000000" w:themeColor="text1"/>
          <w:highlight w:val="none"/>
        </w:rPr>
        <w:t>自然资源部令第5号</w:t>
      </w:r>
      <w:r>
        <w:rPr>
          <w:color w:val="000000" w:themeColor="text1"/>
          <w:highlight w:val="none"/>
        </w:rPr>
        <w:t>）（2019.07.24）；</w:t>
      </w:r>
    </w:p>
    <w:p>
      <w:pPr>
        <w:rPr>
          <w:color w:val="000000" w:themeColor="text1"/>
          <w:highlight w:val="none"/>
        </w:rPr>
      </w:pPr>
      <w:r>
        <w:rPr>
          <w:color w:val="000000" w:themeColor="text1"/>
          <w:highlight w:val="none"/>
        </w:rPr>
        <w:t>2、《地质灾害防治条例》（国务院第394号令）（2003.11.24）；</w:t>
      </w:r>
    </w:p>
    <w:p>
      <w:pPr>
        <w:rPr>
          <w:color w:val="000000" w:themeColor="text1"/>
          <w:highlight w:val="none"/>
        </w:rPr>
      </w:pPr>
      <w:r>
        <w:rPr>
          <w:color w:val="000000" w:themeColor="text1"/>
          <w:highlight w:val="none"/>
        </w:rPr>
        <w:t>3、《中华人民共和国土地管理法（修订）》（</w:t>
      </w:r>
      <w:r>
        <w:rPr>
          <w:rFonts w:hint="eastAsia"/>
          <w:color w:val="000000" w:themeColor="text1"/>
          <w:highlight w:val="none"/>
        </w:rPr>
        <w:t>全国人民代表大会常务委员会</w:t>
      </w:r>
      <w:r>
        <w:rPr>
          <w:color w:val="000000" w:themeColor="text1"/>
          <w:highlight w:val="none"/>
        </w:rPr>
        <w:t>颁布</w:t>
      </w:r>
      <w:r>
        <w:rPr>
          <w:rFonts w:hint="eastAsia"/>
          <w:color w:val="000000" w:themeColor="text1"/>
          <w:highlight w:val="none"/>
        </w:rPr>
        <w:t>主席令第28号</w:t>
      </w:r>
      <w:r>
        <w:rPr>
          <w:color w:val="000000" w:themeColor="text1"/>
          <w:highlight w:val="none"/>
        </w:rPr>
        <w:t>）（2019-08-26）；</w:t>
      </w:r>
    </w:p>
    <w:p>
      <w:pPr>
        <w:rPr>
          <w:color w:val="000000" w:themeColor="text1"/>
          <w:highlight w:val="none"/>
        </w:rPr>
      </w:pPr>
      <w:r>
        <w:rPr>
          <w:color w:val="000000" w:themeColor="text1"/>
          <w:highlight w:val="none"/>
        </w:rPr>
        <w:t>4、《土地复垦条例》（国务院令第592号）（2011.03.05）；</w:t>
      </w:r>
    </w:p>
    <w:p>
      <w:pPr>
        <w:rPr>
          <w:color w:val="000000" w:themeColor="text1"/>
          <w:highlight w:val="none"/>
        </w:rPr>
      </w:pPr>
      <w:r>
        <w:rPr>
          <w:color w:val="000000" w:themeColor="text1"/>
          <w:highlight w:val="none"/>
        </w:rPr>
        <w:t>5、《中华人民共和国水土保持法（修订）》（2011.03.01）；</w:t>
      </w:r>
    </w:p>
    <w:p>
      <w:pPr>
        <w:rPr>
          <w:color w:val="000000" w:themeColor="text1"/>
          <w:highlight w:val="none"/>
        </w:rPr>
      </w:pPr>
      <w:r>
        <w:rPr>
          <w:color w:val="000000" w:themeColor="text1"/>
          <w:highlight w:val="none"/>
        </w:rPr>
        <w:t>6、《中华人民共和国环境保护法》（2015.01.01）；</w:t>
      </w:r>
    </w:p>
    <w:p>
      <w:pPr>
        <w:rPr>
          <w:color w:val="000000" w:themeColor="text1"/>
          <w:highlight w:val="none"/>
        </w:rPr>
      </w:pPr>
      <w:r>
        <w:rPr>
          <w:color w:val="000000" w:themeColor="text1"/>
          <w:highlight w:val="none"/>
        </w:rPr>
        <w:t>7、《中华人民共和国矿产资源法（</w:t>
      </w:r>
      <w:r>
        <w:rPr>
          <w:rFonts w:hint="eastAsia"/>
          <w:color w:val="000000" w:themeColor="text1"/>
          <w:highlight w:val="none"/>
        </w:rPr>
        <w:t>2009</w:t>
      </w:r>
      <w:r>
        <w:rPr>
          <w:color w:val="000000" w:themeColor="text1"/>
          <w:highlight w:val="none"/>
        </w:rPr>
        <w:t>修订）》（</w:t>
      </w:r>
      <w:r>
        <w:rPr>
          <w:rFonts w:hint="eastAsia"/>
          <w:color w:val="000000" w:themeColor="text1"/>
          <w:highlight w:val="none"/>
        </w:rPr>
        <w:t>2009</w:t>
      </w:r>
      <w:r>
        <w:rPr>
          <w:color w:val="000000" w:themeColor="text1"/>
          <w:highlight w:val="none"/>
        </w:rPr>
        <w:t>.</w:t>
      </w:r>
      <w:r>
        <w:rPr>
          <w:rFonts w:hint="eastAsia"/>
          <w:color w:val="000000" w:themeColor="text1"/>
          <w:highlight w:val="none"/>
        </w:rPr>
        <w:t>08</w:t>
      </w:r>
      <w:r>
        <w:rPr>
          <w:color w:val="000000" w:themeColor="text1"/>
          <w:highlight w:val="none"/>
        </w:rPr>
        <w:t>.</w:t>
      </w:r>
      <w:r>
        <w:rPr>
          <w:rFonts w:hint="eastAsia"/>
          <w:color w:val="000000" w:themeColor="text1"/>
          <w:highlight w:val="none"/>
        </w:rPr>
        <w:t>27</w:t>
      </w:r>
      <w:r>
        <w:rPr>
          <w:color w:val="000000" w:themeColor="text1"/>
          <w:highlight w:val="none"/>
        </w:rPr>
        <w:t>）；</w:t>
      </w:r>
    </w:p>
    <w:p>
      <w:pPr>
        <w:rPr>
          <w:color w:val="000000" w:themeColor="text1"/>
          <w:highlight w:val="none"/>
        </w:rPr>
      </w:pPr>
      <w:r>
        <w:rPr>
          <w:color w:val="000000" w:themeColor="text1"/>
          <w:highlight w:val="none"/>
        </w:rPr>
        <w:t>8、《中华人民共和国森林法（</w:t>
      </w:r>
      <w:r>
        <w:rPr>
          <w:rFonts w:hint="eastAsia"/>
          <w:color w:val="000000" w:themeColor="text1"/>
          <w:highlight w:val="none"/>
        </w:rPr>
        <w:t>2019</w:t>
      </w:r>
      <w:r>
        <w:rPr>
          <w:color w:val="000000" w:themeColor="text1"/>
          <w:highlight w:val="none"/>
        </w:rPr>
        <w:t>修订）》（</w:t>
      </w:r>
      <w:r>
        <w:rPr>
          <w:rFonts w:hint="eastAsia"/>
          <w:color w:val="000000" w:themeColor="text1"/>
          <w:highlight w:val="none"/>
        </w:rPr>
        <w:t>2019</w:t>
      </w:r>
      <w:r>
        <w:rPr>
          <w:color w:val="000000" w:themeColor="text1"/>
          <w:highlight w:val="none"/>
        </w:rPr>
        <w:t>.</w:t>
      </w:r>
      <w:r>
        <w:rPr>
          <w:rFonts w:hint="eastAsia"/>
          <w:color w:val="000000" w:themeColor="text1"/>
          <w:highlight w:val="none"/>
        </w:rPr>
        <w:t>12</w:t>
      </w:r>
      <w:r>
        <w:rPr>
          <w:color w:val="000000" w:themeColor="text1"/>
          <w:highlight w:val="none"/>
        </w:rPr>
        <w:t>.</w:t>
      </w:r>
      <w:r>
        <w:rPr>
          <w:rFonts w:hint="eastAsia"/>
          <w:color w:val="000000" w:themeColor="text1"/>
          <w:highlight w:val="none"/>
        </w:rPr>
        <w:t>28</w:t>
      </w:r>
      <w:r>
        <w:rPr>
          <w:color w:val="000000" w:themeColor="text1"/>
          <w:highlight w:val="none"/>
        </w:rPr>
        <w:t>）；</w:t>
      </w:r>
    </w:p>
    <w:p>
      <w:pPr>
        <w:rPr>
          <w:color w:val="000000" w:themeColor="text1"/>
          <w:highlight w:val="none"/>
        </w:rPr>
      </w:pPr>
      <w:r>
        <w:rPr>
          <w:color w:val="000000" w:themeColor="text1"/>
          <w:highlight w:val="none"/>
        </w:rPr>
        <w:t>9、《中华人民共和国草原法（修订）》（2013.06.29）；</w:t>
      </w:r>
    </w:p>
    <w:p>
      <w:pPr>
        <w:rPr>
          <w:color w:val="000000" w:themeColor="text1"/>
          <w:highlight w:val="none"/>
        </w:rPr>
      </w:pPr>
      <w:r>
        <w:rPr>
          <w:color w:val="000000" w:themeColor="text1"/>
          <w:highlight w:val="none"/>
        </w:rPr>
        <w:t>10、《中华人民共和国水土保持法实施条例》（国务院令第120号）（2011.01.08修订）；</w:t>
      </w:r>
    </w:p>
    <w:p>
      <w:pPr>
        <w:rPr>
          <w:color w:val="000000" w:themeColor="text1"/>
          <w:highlight w:val="none"/>
        </w:rPr>
      </w:pPr>
      <w:r>
        <w:rPr>
          <w:color w:val="000000" w:themeColor="text1"/>
          <w:highlight w:val="none"/>
        </w:rPr>
        <w:t>11、《中华人民共和国水污染防治法》（2018.01.01）；</w:t>
      </w:r>
    </w:p>
    <w:p>
      <w:pPr>
        <w:rPr>
          <w:color w:val="000000" w:themeColor="text1"/>
          <w:highlight w:val="none"/>
        </w:rPr>
      </w:pPr>
      <w:r>
        <w:rPr>
          <w:color w:val="000000" w:themeColor="text1"/>
          <w:highlight w:val="none"/>
        </w:rPr>
        <w:t>12、《中华人民共和国固体废弃物污染环境防治法（</w:t>
      </w:r>
      <w:r>
        <w:rPr>
          <w:rFonts w:hint="eastAsia"/>
          <w:color w:val="000000" w:themeColor="text1"/>
          <w:highlight w:val="none"/>
        </w:rPr>
        <w:t>2019</w:t>
      </w:r>
      <w:r>
        <w:rPr>
          <w:color w:val="000000" w:themeColor="text1"/>
          <w:highlight w:val="none"/>
        </w:rPr>
        <w:t>修订）》（20</w:t>
      </w:r>
      <w:r>
        <w:rPr>
          <w:rFonts w:hint="eastAsia"/>
          <w:color w:val="000000" w:themeColor="text1"/>
          <w:highlight w:val="none"/>
        </w:rPr>
        <w:t>18</w:t>
      </w:r>
      <w:r>
        <w:rPr>
          <w:color w:val="000000" w:themeColor="text1"/>
          <w:highlight w:val="none"/>
        </w:rPr>
        <w:t>.</w:t>
      </w:r>
      <w:r>
        <w:rPr>
          <w:rFonts w:hint="eastAsia"/>
          <w:color w:val="000000" w:themeColor="text1"/>
          <w:highlight w:val="none"/>
        </w:rPr>
        <w:t>04</w:t>
      </w:r>
      <w:r>
        <w:rPr>
          <w:color w:val="000000" w:themeColor="text1"/>
          <w:highlight w:val="none"/>
        </w:rPr>
        <w:t>.</w:t>
      </w:r>
      <w:r>
        <w:rPr>
          <w:rFonts w:hint="eastAsia"/>
          <w:color w:val="000000" w:themeColor="text1"/>
          <w:highlight w:val="none"/>
        </w:rPr>
        <w:t>24</w:t>
      </w:r>
      <w:r>
        <w:rPr>
          <w:color w:val="000000" w:themeColor="text1"/>
          <w:highlight w:val="none"/>
        </w:rPr>
        <w:t>）；</w:t>
      </w:r>
    </w:p>
    <w:p>
      <w:pPr>
        <w:rPr>
          <w:color w:val="000000" w:themeColor="text1"/>
          <w:highlight w:val="none"/>
        </w:rPr>
      </w:pPr>
      <w:r>
        <w:rPr>
          <w:color w:val="000000" w:themeColor="text1"/>
          <w:highlight w:val="none"/>
        </w:rPr>
        <w:t>13、《矿产资源法实施细则》（国务院令第152号）（1994.03.26）；</w:t>
      </w:r>
    </w:p>
    <w:p>
      <w:pPr>
        <w:rPr>
          <w:rFonts w:hint="eastAsia" w:eastAsia="宋体"/>
          <w:color w:val="000000" w:themeColor="text1"/>
          <w:highlight w:val="none"/>
          <w:lang w:eastAsia="zh-CN"/>
        </w:rPr>
      </w:pPr>
      <w:r>
        <w:rPr>
          <w:color w:val="000000" w:themeColor="text1"/>
          <w:highlight w:val="none"/>
        </w:rPr>
        <w:t>14、《基本农田保护条例</w:t>
      </w:r>
      <w:r>
        <w:rPr>
          <w:rFonts w:hint="eastAsia"/>
          <w:color w:val="000000" w:themeColor="text1"/>
          <w:highlight w:val="none"/>
        </w:rPr>
        <w:t>（2011年修正）</w:t>
      </w:r>
      <w:r>
        <w:rPr>
          <w:color w:val="000000" w:themeColor="text1"/>
          <w:highlight w:val="none"/>
        </w:rPr>
        <w:t>》（</w:t>
      </w:r>
      <w:r>
        <w:rPr>
          <w:rFonts w:hint="eastAsia"/>
          <w:color w:val="000000" w:themeColor="text1"/>
          <w:highlight w:val="none"/>
        </w:rPr>
        <w:t>中华人民共和国国务院令第588号</w:t>
      </w:r>
      <w:r>
        <w:rPr>
          <w:color w:val="000000" w:themeColor="text1"/>
          <w:highlight w:val="none"/>
        </w:rPr>
        <w:t>）（</w:t>
      </w:r>
      <w:r>
        <w:rPr>
          <w:rFonts w:hint="eastAsia"/>
          <w:color w:val="000000" w:themeColor="text1"/>
          <w:highlight w:val="none"/>
        </w:rPr>
        <w:t>2011.01.08</w:t>
      </w:r>
      <w:r>
        <w:rPr>
          <w:color w:val="000000" w:themeColor="text1"/>
          <w:highlight w:val="none"/>
        </w:rPr>
        <w:t>）</w:t>
      </w:r>
      <w:r>
        <w:rPr>
          <w:rFonts w:hint="eastAsia"/>
          <w:color w:val="000000" w:themeColor="text1"/>
          <w:highlight w:val="none"/>
          <w:lang w:eastAsia="zh-CN"/>
        </w:rPr>
        <w:t>；</w:t>
      </w:r>
    </w:p>
    <w:p>
      <w:pPr>
        <w:rPr>
          <w:color w:val="000000" w:themeColor="text1"/>
          <w:highlight w:val="none"/>
        </w:rPr>
      </w:pPr>
      <w:r>
        <w:rPr>
          <w:rFonts w:hint="eastAsia"/>
          <w:color w:val="000000" w:themeColor="text1"/>
          <w:highlight w:val="none"/>
          <w:lang w:val="en-US" w:eastAsia="zh-CN"/>
        </w:rPr>
        <w:t>15、《中华人民共和国长江保护法》（中华人民共和国主席令 第六十五号）（2020.12.26）</w:t>
      </w:r>
      <w:r>
        <w:rPr>
          <w:color w:val="000000" w:themeColor="text1"/>
          <w:highlight w:val="none"/>
        </w:rPr>
        <w:t>。</w:t>
      </w:r>
    </w:p>
    <w:p>
      <w:pPr>
        <w:pStyle w:val="5"/>
        <w:spacing w:before="82" w:after="82"/>
        <w:rPr>
          <w:color w:val="000000" w:themeColor="text1"/>
          <w:highlight w:val="none"/>
        </w:rPr>
      </w:pPr>
      <w:bookmarkStart w:id="11" w:name="_Toc14285"/>
      <w:bookmarkStart w:id="12" w:name="_Toc481328129"/>
      <w:bookmarkStart w:id="13" w:name="_Toc17492"/>
      <w:r>
        <w:rPr>
          <w:color w:val="000000" w:themeColor="text1"/>
          <w:highlight w:val="none"/>
        </w:rPr>
        <w:t>3.2规章文件</w:t>
      </w:r>
      <w:bookmarkEnd w:id="11"/>
      <w:bookmarkEnd w:id="12"/>
      <w:bookmarkEnd w:id="13"/>
    </w:p>
    <w:p>
      <w:pPr>
        <w:rPr>
          <w:color w:val="000000" w:themeColor="text1"/>
          <w:highlight w:val="none"/>
        </w:rPr>
      </w:pPr>
      <w:bookmarkStart w:id="14" w:name="_Toc227072670"/>
      <w:r>
        <w:rPr>
          <w:color w:val="000000" w:themeColor="text1"/>
          <w:highlight w:val="none"/>
        </w:rPr>
        <w:t>1、《中共中央、国务院关于进一步加强土地管理切实保护耕地的通知》（1999.4）；</w:t>
      </w:r>
    </w:p>
    <w:p>
      <w:pPr>
        <w:rPr>
          <w:color w:val="000000" w:themeColor="text1"/>
          <w:highlight w:val="none"/>
        </w:rPr>
      </w:pPr>
      <w:r>
        <w:rPr>
          <w:color w:val="000000" w:themeColor="text1"/>
          <w:highlight w:val="none"/>
        </w:rPr>
        <w:t>2、《国务院关于深化改革严格土地管理的决定》（国发</w:t>
      </w:r>
      <w:r>
        <w:rPr>
          <w:rFonts w:hint="eastAsia"/>
          <w:color w:val="000000" w:themeColor="text1"/>
          <w:highlight w:val="none"/>
        </w:rPr>
        <w:t>〔</w:t>
      </w:r>
      <w:r>
        <w:rPr>
          <w:color w:val="000000" w:themeColor="text1"/>
          <w:highlight w:val="none"/>
        </w:rPr>
        <w:t>2004</w:t>
      </w:r>
      <w:r>
        <w:rPr>
          <w:rFonts w:hint="eastAsia"/>
          <w:color w:val="000000" w:themeColor="text1"/>
          <w:highlight w:val="none"/>
        </w:rPr>
        <w:t>〕</w:t>
      </w:r>
      <w:r>
        <w:rPr>
          <w:color w:val="000000" w:themeColor="text1"/>
          <w:highlight w:val="none"/>
        </w:rPr>
        <w:t>28号）（2004.10.21）；</w:t>
      </w:r>
    </w:p>
    <w:p>
      <w:pPr>
        <w:rPr>
          <w:color w:val="000000" w:themeColor="text1"/>
          <w:highlight w:val="none"/>
        </w:rPr>
      </w:pPr>
      <w:r>
        <w:rPr>
          <w:color w:val="000000" w:themeColor="text1"/>
          <w:highlight w:val="none"/>
        </w:rPr>
        <w:t>3、《土地复垦条例实施办法》</w:t>
      </w:r>
      <w:r>
        <w:rPr>
          <w:rFonts w:hint="eastAsia"/>
          <w:color w:val="000000" w:themeColor="text1"/>
          <w:highlight w:val="none"/>
        </w:rPr>
        <w:t>（2019年修正）</w:t>
      </w:r>
      <w:r>
        <w:rPr>
          <w:color w:val="000000" w:themeColor="text1"/>
          <w:highlight w:val="none"/>
        </w:rPr>
        <w:t>（</w:t>
      </w:r>
      <w:r>
        <w:rPr>
          <w:rFonts w:hint="eastAsia"/>
          <w:color w:val="000000" w:themeColor="text1"/>
          <w:highlight w:val="none"/>
        </w:rPr>
        <w:t>2019.07.16</w:t>
      </w:r>
      <w:r>
        <w:rPr>
          <w:color w:val="000000" w:themeColor="text1"/>
          <w:highlight w:val="none"/>
        </w:rPr>
        <w:t>）；</w:t>
      </w:r>
    </w:p>
    <w:p>
      <w:pPr>
        <w:rPr>
          <w:color w:val="000000" w:themeColor="text1"/>
          <w:highlight w:val="none"/>
        </w:rPr>
      </w:pPr>
      <w:r>
        <w:rPr>
          <w:color w:val="000000" w:themeColor="text1"/>
          <w:highlight w:val="none"/>
        </w:rPr>
        <w:t>4、《关于加强矿山生态环境保护工作的通知》（国土资源部国土资发</w:t>
      </w:r>
      <w:r>
        <w:rPr>
          <w:rFonts w:hint="eastAsia"/>
          <w:color w:val="000000" w:themeColor="text1"/>
          <w:highlight w:val="none"/>
        </w:rPr>
        <w:t>〔</w:t>
      </w:r>
      <w:r>
        <w:rPr>
          <w:color w:val="000000" w:themeColor="text1"/>
          <w:highlight w:val="none"/>
        </w:rPr>
        <w:t>1999</w:t>
      </w:r>
      <w:r>
        <w:rPr>
          <w:rFonts w:hint="eastAsia"/>
          <w:color w:val="000000" w:themeColor="text1"/>
          <w:highlight w:val="none"/>
        </w:rPr>
        <w:t>〕</w:t>
      </w:r>
      <w:r>
        <w:rPr>
          <w:color w:val="000000" w:themeColor="text1"/>
          <w:highlight w:val="none"/>
        </w:rPr>
        <w:t>36号）；</w:t>
      </w:r>
    </w:p>
    <w:p>
      <w:pPr>
        <w:rPr>
          <w:color w:val="000000" w:themeColor="text1"/>
          <w:highlight w:val="none"/>
        </w:rPr>
      </w:pPr>
      <w:r>
        <w:rPr>
          <w:color w:val="000000" w:themeColor="text1"/>
          <w:highlight w:val="none"/>
        </w:rPr>
        <w:t>5、《关于进一步加强矿产资源规划实施管理工作的通知》（国土资发</w:t>
      </w:r>
      <w:r>
        <w:rPr>
          <w:rFonts w:hint="eastAsia"/>
          <w:color w:val="000000" w:themeColor="text1"/>
          <w:highlight w:val="none"/>
        </w:rPr>
        <w:t>〔</w:t>
      </w:r>
      <w:r>
        <w:rPr>
          <w:color w:val="000000" w:themeColor="text1"/>
          <w:highlight w:val="none"/>
        </w:rPr>
        <w:t>2004</w:t>
      </w:r>
      <w:r>
        <w:rPr>
          <w:rFonts w:hint="eastAsia"/>
          <w:color w:val="000000" w:themeColor="text1"/>
          <w:highlight w:val="none"/>
        </w:rPr>
        <w:t>〕</w:t>
      </w:r>
      <w:r>
        <w:rPr>
          <w:color w:val="000000" w:themeColor="text1"/>
          <w:highlight w:val="none"/>
        </w:rPr>
        <w:t>29号）；</w:t>
      </w:r>
    </w:p>
    <w:p>
      <w:pPr>
        <w:rPr>
          <w:color w:val="000000" w:themeColor="text1"/>
          <w:highlight w:val="none"/>
        </w:rPr>
      </w:pPr>
      <w:r>
        <w:rPr>
          <w:color w:val="000000" w:themeColor="text1"/>
          <w:highlight w:val="none"/>
        </w:rPr>
        <w:t>6、《关于加强生产建设项目土地复垦管理工作的通知》（国土资发</w:t>
      </w:r>
      <w:r>
        <w:rPr>
          <w:rFonts w:hint="eastAsia"/>
          <w:color w:val="000000" w:themeColor="text1"/>
          <w:highlight w:val="none"/>
        </w:rPr>
        <w:t>〔</w:t>
      </w:r>
      <w:r>
        <w:rPr>
          <w:color w:val="000000" w:themeColor="text1"/>
          <w:highlight w:val="none"/>
        </w:rPr>
        <w:t>2006</w:t>
      </w:r>
      <w:r>
        <w:rPr>
          <w:rFonts w:hint="eastAsia"/>
          <w:color w:val="000000" w:themeColor="text1"/>
          <w:highlight w:val="none"/>
        </w:rPr>
        <w:t>〕</w:t>
      </w:r>
      <w:r>
        <w:rPr>
          <w:color w:val="000000" w:themeColor="text1"/>
          <w:highlight w:val="none"/>
        </w:rPr>
        <w:t>225号）（2006.9.30）；</w:t>
      </w:r>
    </w:p>
    <w:p>
      <w:pPr>
        <w:rPr>
          <w:color w:val="000000" w:themeColor="text1"/>
          <w:highlight w:val="none"/>
        </w:rPr>
      </w:pPr>
      <w:r>
        <w:rPr>
          <w:color w:val="000000" w:themeColor="text1"/>
          <w:highlight w:val="none"/>
        </w:rPr>
        <w:t>7、《关于进一步加强土地整理复垦开发工作的通知》（国土资发</w:t>
      </w:r>
      <w:r>
        <w:rPr>
          <w:rFonts w:hint="eastAsia"/>
          <w:color w:val="000000" w:themeColor="text1"/>
          <w:highlight w:val="none"/>
        </w:rPr>
        <w:t>〔</w:t>
      </w:r>
      <w:r>
        <w:rPr>
          <w:color w:val="000000" w:themeColor="text1"/>
          <w:highlight w:val="none"/>
        </w:rPr>
        <w:t>2008</w:t>
      </w:r>
      <w:r>
        <w:rPr>
          <w:rFonts w:hint="eastAsia"/>
          <w:color w:val="000000" w:themeColor="text1"/>
          <w:highlight w:val="none"/>
        </w:rPr>
        <w:t>〕</w:t>
      </w:r>
      <w:r>
        <w:rPr>
          <w:color w:val="000000" w:themeColor="text1"/>
          <w:highlight w:val="none"/>
        </w:rPr>
        <w:t>176号）（2008.8.29）；</w:t>
      </w:r>
    </w:p>
    <w:p>
      <w:pPr>
        <w:rPr>
          <w:color w:val="000000" w:themeColor="text1"/>
          <w:highlight w:val="none"/>
        </w:rPr>
      </w:pPr>
      <w:r>
        <w:rPr>
          <w:color w:val="000000" w:themeColor="text1"/>
          <w:highlight w:val="none"/>
        </w:rPr>
        <w:t>8、《国土资源部办公厅关于做好矿山地质环境保护土地复垦方案编报有关工作的通知》（国土资厅发</w:t>
      </w:r>
      <w:r>
        <w:rPr>
          <w:rFonts w:hint="eastAsia"/>
          <w:color w:val="000000" w:themeColor="text1"/>
          <w:highlight w:val="none"/>
        </w:rPr>
        <w:t>〔</w:t>
      </w:r>
      <w:r>
        <w:rPr>
          <w:color w:val="000000" w:themeColor="text1"/>
          <w:highlight w:val="none"/>
        </w:rPr>
        <w:t>2016</w:t>
      </w:r>
      <w:r>
        <w:rPr>
          <w:rFonts w:hint="eastAsia"/>
          <w:color w:val="000000" w:themeColor="text1"/>
          <w:highlight w:val="none"/>
        </w:rPr>
        <w:t>〕</w:t>
      </w:r>
      <w:r>
        <w:rPr>
          <w:color w:val="000000" w:themeColor="text1"/>
          <w:highlight w:val="none"/>
        </w:rPr>
        <w:t>21号）；</w:t>
      </w:r>
    </w:p>
    <w:p>
      <w:pPr>
        <w:rPr>
          <w:color w:val="000000" w:themeColor="text1"/>
          <w:highlight w:val="none"/>
        </w:rPr>
      </w:pPr>
      <w:r>
        <w:rPr>
          <w:color w:val="000000" w:themeColor="text1"/>
          <w:highlight w:val="none"/>
        </w:rPr>
        <w:t>9、《关于加强矿山地质环境恢复和综合治理的指导意见》（国土资发〔2016〕63号</w:t>
      </w:r>
      <w:r>
        <w:rPr>
          <w:rFonts w:hint="eastAsia"/>
          <w:color w:val="000000" w:themeColor="text1"/>
          <w:highlight w:val="none"/>
        </w:rPr>
        <w:t>）</w:t>
      </w:r>
      <w:r>
        <w:rPr>
          <w:color w:val="000000" w:themeColor="text1"/>
          <w:highlight w:val="none"/>
        </w:rPr>
        <w:t>；</w:t>
      </w:r>
    </w:p>
    <w:p>
      <w:pPr>
        <w:rPr>
          <w:rFonts w:hint="eastAsia"/>
          <w:color w:val="000000" w:themeColor="text1"/>
          <w:highlight w:val="none"/>
          <w:lang w:eastAsia="zh-CN"/>
        </w:rPr>
      </w:pPr>
      <w:r>
        <w:rPr>
          <w:color w:val="000000" w:themeColor="text1"/>
          <w:highlight w:val="none"/>
        </w:rPr>
        <w:t>10、《四川省国土资源厅关于做好矿山地质环境保护与土地复垦方案编报工作的通知》（川国土资发</w:t>
      </w:r>
      <w:r>
        <w:rPr>
          <w:rFonts w:hint="eastAsia"/>
          <w:color w:val="000000" w:themeColor="text1"/>
          <w:highlight w:val="none"/>
        </w:rPr>
        <w:t>〔</w:t>
      </w:r>
      <w:r>
        <w:rPr>
          <w:color w:val="000000" w:themeColor="text1"/>
          <w:highlight w:val="none"/>
        </w:rPr>
        <w:t>2017</w:t>
      </w:r>
      <w:r>
        <w:rPr>
          <w:rFonts w:hint="eastAsia"/>
          <w:color w:val="000000" w:themeColor="text1"/>
          <w:highlight w:val="none"/>
        </w:rPr>
        <w:t>〕</w:t>
      </w:r>
      <w:r>
        <w:rPr>
          <w:color w:val="000000" w:themeColor="text1"/>
          <w:highlight w:val="none"/>
        </w:rPr>
        <w:t>74号）</w:t>
      </w:r>
      <w:r>
        <w:rPr>
          <w:rFonts w:hint="eastAsia"/>
          <w:color w:val="000000" w:themeColor="text1"/>
          <w:highlight w:val="none"/>
          <w:lang w:eastAsia="zh-CN"/>
        </w:rPr>
        <w:t>。</w:t>
      </w:r>
    </w:p>
    <w:p>
      <w:pPr>
        <w:rPr>
          <w:rFonts w:hint="eastAsia"/>
          <w:color w:val="000000" w:themeColor="text1"/>
          <w:highlight w:val="none"/>
          <w:lang w:val="en-US" w:eastAsia="zh-CN"/>
        </w:rPr>
      </w:pPr>
      <w:r>
        <w:rPr>
          <w:rFonts w:hint="eastAsia"/>
          <w:color w:val="000000" w:themeColor="text1"/>
          <w:highlight w:val="none"/>
          <w:lang w:val="en-US" w:eastAsia="zh-CN"/>
        </w:rPr>
        <w:t>11、《四川省在建与生产矿山生态修复管理办法》（川自然资发</w:t>
      </w:r>
      <w:r>
        <w:rPr>
          <w:color w:val="000000" w:themeColor="text1"/>
          <w:highlight w:val="none"/>
        </w:rPr>
        <w:t>〔</w:t>
      </w:r>
      <w:r>
        <w:rPr>
          <w:rFonts w:hint="eastAsia"/>
          <w:color w:val="000000" w:themeColor="text1"/>
          <w:highlight w:val="none"/>
          <w:lang w:val="en-US" w:eastAsia="zh-CN"/>
        </w:rPr>
        <w:t>2021</w:t>
      </w:r>
      <w:r>
        <w:rPr>
          <w:color w:val="000000" w:themeColor="text1"/>
          <w:highlight w:val="none"/>
        </w:rPr>
        <w:t>〕</w:t>
      </w:r>
      <w:r>
        <w:rPr>
          <w:rFonts w:hint="eastAsia"/>
          <w:color w:val="000000" w:themeColor="text1"/>
          <w:highlight w:val="none"/>
          <w:lang w:val="en-US" w:eastAsia="zh-CN"/>
        </w:rPr>
        <w:t>27号）。</w:t>
      </w:r>
    </w:p>
    <w:p>
      <w:pPr>
        <w:rPr>
          <w:color w:val="000000" w:themeColor="text1"/>
          <w:highlight w:val="none"/>
        </w:rPr>
      </w:pPr>
      <w:r>
        <w:rPr>
          <w:rFonts w:hint="eastAsia"/>
          <w:color w:val="000000" w:themeColor="text1"/>
          <w:highlight w:val="none"/>
          <w:lang w:val="en-US" w:eastAsia="zh-CN"/>
        </w:rPr>
        <w:t>12、《四川省林业和草原局关于印发恢复植被和林业生产条件、树木补种标准的通知》（川林规发〔2021〕6号）</w:t>
      </w:r>
      <w:r>
        <w:rPr>
          <w:color w:val="000000" w:themeColor="text1"/>
          <w:highlight w:val="none"/>
        </w:rPr>
        <w:t>。</w:t>
      </w:r>
    </w:p>
    <w:bookmarkEnd w:id="14"/>
    <w:p>
      <w:pPr>
        <w:pStyle w:val="5"/>
        <w:spacing w:before="82" w:after="82"/>
        <w:rPr>
          <w:color w:val="000000" w:themeColor="text1"/>
          <w:highlight w:val="none"/>
        </w:rPr>
      </w:pPr>
      <w:bookmarkStart w:id="15" w:name="_Toc15006"/>
      <w:bookmarkStart w:id="16" w:name="_Toc25816"/>
      <w:r>
        <w:rPr>
          <w:color w:val="000000" w:themeColor="text1"/>
          <w:highlight w:val="none"/>
        </w:rPr>
        <w:t>3.3标准规范</w:t>
      </w:r>
      <w:bookmarkEnd w:id="15"/>
      <w:bookmarkEnd w:id="16"/>
    </w:p>
    <w:tbl>
      <w:tblPr>
        <w:tblStyle w:val="31"/>
        <w:tblW w:w="8879" w:type="dxa"/>
        <w:tblInd w:w="0" w:type="dxa"/>
        <w:tblLayout w:type="autofit"/>
        <w:tblCellMar>
          <w:top w:w="0" w:type="dxa"/>
          <w:left w:w="108" w:type="dxa"/>
          <w:bottom w:w="0" w:type="dxa"/>
          <w:right w:w="108" w:type="dxa"/>
        </w:tblCellMar>
      </w:tblPr>
      <w:tblGrid>
        <w:gridCol w:w="3294"/>
        <w:gridCol w:w="5585"/>
      </w:tblGrid>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1、DZ/T0223-2011</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矿山地质环境保护与恢复治理方案编制规范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2、TD/T1031.1-2011</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土地复垦方案编制规程（第一部分：通则）</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3</w:t>
            </w:r>
            <w:r>
              <w:rPr>
                <w:color w:val="000000" w:themeColor="text1"/>
                <w:highlight w:val="none"/>
              </w:rPr>
              <w:t>、DZT0286-2015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地质灾害危险性评估规范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4</w:t>
            </w:r>
            <w:r>
              <w:rPr>
                <w:color w:val="000000" w:themeColor="text1"/>
                <w:highlight w:val="none"/>
              </w:rPr>
              <w:t>、GB50330-2013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建筑边坡工程技术规范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5</w:t>
            </w:r>
            <w:r>
              <w:rPr>
                <w:color w:val="000000" w:themeColor="text1"/>
                <w:highlight w:val="none"/>
              </w:rPr>
              <w:t>、GB/T958-2015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区域地质图图图例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6</w:t>
            </w:r>
            <w:r>
              <w:rPr>
                <w:color w:val="000000" w:themeColor="text1"/>
                <w:highlight w:val="none"/>
              </w:rPr>
              <w:t>、GB/T21010－2007</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土地利用现状分类</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7</w:t>
            </w:r>
            <w:r>
              <w:rPr>
                <w:color w:val="000000" w:themeColor="text1"/>
                <w:highlight w:val="none"/>
              </w:rPr>
              <w:t>、GB50021-2001（2009年版）</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岩土工程勘察规范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8</w:t>
            </w:r>
            <w:r>
              <w:rPr>
                <w:color w:val="000000" w:themeColor="text1"/>
                <w:highlight w:val="none"/>
              </w:rPr>
              <w:t>、GB3100-3102-1993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量和单位</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9</w:t>
            </w:r>
            <w:r>
              <w:rPr>
                <w:color w:val="000000" w:themeColor="text1"/>
                <w:highlight w:val="none"/>
              </w:rPr>
              <w:t>、GB3838-2002</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地表水环境质量标准</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10</w:t>
            </w:r>
            <w:r>
              <w:rPr>
                <w:color w:val="000000" w:themeColor="text1"/>
                <w:highlight w:val="none"/>
              </w:rPr>
              <w:t>、GB11607-1989</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渔业水质标准</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1</w:t>
            </w:r>
            <w:r>
              <w:rPr>
                <w:color w:val="000000" w:themeColor="text1"/>
                <w:highlight w:val="none"/>
              </w:rPr>
              <w:t>、</w:t>
            </w:r>
            <w:r>
              <w:rPr>
                <w:rFonts w:hint="eastAsia"/>
                <w:color w:val="000000" w:themeColor="text1"/>
                <w:highlight w:val="none"/>
              </w:rPr>
              <w:t>GB36600-2018</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土壤环境质量 建设用地土壤污染风险管控标准（试行）</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2</w:t>
            </w:r>
            <w:r>
              <w:rPr>
                <w:color w:val="000000" w:themeColor="text1"/>
                <w:highlight w:val="none"/>
              </w:rPr>
              <w:t>、GB/T16453-2008</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水土保持综合治理技术规范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3</w:t>
            </w:r>
            <w:r>
              <w:rPr>
                <w:color w:val="000000" w:themeColor="text1"/>
                <w:highlight w:val="none"/>
              </w:rPr>
              <w:t>、GB/T18337.2-2001</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生态公益林建设技术规程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4</w:t>
            </w:r>
            <w:r>
              <w:rPr>
                <w:color w:val="000000" w:themeColor="text1"/>
                <w:highlight w:val="none"/>
              </w:rPr>
              <w:t>、GB/T19231—2003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土地基本术语</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5</w:t>
            </w:r>
            <w:r>
              <w:rPr>
                <w:color w:val="000000" w:themeColor="text1"/>
                <w:highlight w:val="none"/>
              </w:rPr>
              <w:t>、DZ/T0517-1995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lang w:eastAsia="zh-CN"/>
              </w:rPr>
              <w:t>：</w:t>
            </w:r>
            <w:r>
              <w:rPr>
                <w:color w:val="000000" w:themeColor="text1"/>
                <w:highlight w:val="none"/>
              </w:rPr>
              <w:t>50000地质图地理底图编绘规范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6</w:t>
            </w:r>
            <w:r>
              <w:rPr>
                <w:color w:val="000000" w:themeColor="text1"/>
                <w:highlight w:val="none"/>
              </w:rPr>
              <w:t>、DZ/T0179-1997</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地质图用色标准及用色原则（1：50000）</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7</w:t>
            </w:r>
            <w:r>
              <w:rPr>
                <w:color w:val="000000" w:themeColor="text1"/>
                <w:highlight w:val="none"/>
              </w:rPr>
              <w:t>、DZ/T0218-2006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滑坡防治工程勘查规范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1</w:t>
            </w:r>
            <w:r>
              <w:rPr>
                <w:rFonts w:hint="eastAsia"/>
                <w:color w:val="000000" w:themeColor="text1"/>
                <w:highlight w:val="none"/>
              </w:rPr>
              <w:t>8</w:t>
            </w:r>
            <w:r>
              <w:rPr>
                <w:color w:val="000000" w:themeColor="text1"/>
                <w:highlight w:val="none"/>
              </w:rPr>
              <w:t>、DZ/T0219-2006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滑坡防治工程设计与施工技术规范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19</w:t>
            </w:r>
            <w:r>
              <w:rPr>
                <w:color w:val="000000" w:themeColor="text1"/>
                <w:highlight w:val="none"/>
              </w:rPr>
              <w:t>、DZ/T0220-2006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泥石流灾害防治工程勘查规范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0</w:t>
            </w:r>
            <w:r>
              <w:rPr>
                <w:color w:val="000000" w:themeColor="text1"/>
                <w:highlight w:val="none"/>
              </w:rPr>
              <w:t>、DZ/T0221-2006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崩塌、滑坡、泥石流监测规范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1</w:t>
            </w:r>
            <w:r>
              <w:rPr>
                <w:color w:val="000000" w:themeColor="text1"/>
                <w:highlight w:val="none"/>
              </w:rPr>
              <w:t>、SL/T183-2005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地下水监测规范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2</w:t>
            </w:r>
            <w:r>
              <w:rPr>
                <w:color w:val="000000" w:themeColor="text1"/>
                <w:highlight w:val="none"/>
              </w:rPr>
              <w:t>、TD/T1012-2000</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土地开发整理项目规划设计规范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3</w:t>
            </w:r>
            <w:r>
              <w:rPr>
                <w:color w:val="000000" w:themeColor="text1"/>
                <w:highlight w:val="none"/>
              </w:rPr>
              <w:t>、HJ/T192-2015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生态环境状况评价技术规范（试行）</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4</w:t>
            </w:r>
            <w:r>
              <w:rPr>
                <w:color w:val="000000" w:themeColor="text1"/>
                <w:highlight w:val="none"/>
              </w:rPr>
              <w:t>、</w:t>
            </w:r>
            <w:r>
              <w:rPr>
                <w:rFonts w:hint="eastAsia"/>
                <w:color w:val="000000" w:themeColor="text1"/>
                <w:highlight w:val="none"/>
              </w:rPr>
              <w:t>GBT 15776-2016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造林</w:t>
            </w:r>
            <w:r>
              <w:rPr>
                <w:rFonts w:hint="eastAsia"/>
                <w:color w:val="000000" w:themeColor="text1"/>
                <w:highlight w:val="none"/>
                <w:lang w:eastAsia="zh-CN"/>
              </w:rPr>
              <w:t>技术</w:t>
            </w:r>
            <w:r>
              <w:rPr>
                <w:color w:val="000000" w:themeColor="text1"/>
                <w:highlight w:val="none"/>
              </w:rPr>
              <w:t>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5</w:t>
            </w:r>
            <w:r>
              <w:rPr>
                <w:color w:val="000000" w:themeColor="text1"/>
                <w:highlight w:val="none"/>
              </w:rPr>
              <w:t>、NY/T1120-2006</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耕地质量验收技术规范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6</w:t>
            </w:r>
            <w:r>
              <w:rPr>
                <w:color w:val="000000" w:themeColor="text1"/>
                <w:highlight w:val="none"/>
              </w:rPr>
              <w:t>、NY/T1634-2008</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耕地地力调查与质量评价技术规程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7</w:t>
            </w:r>
            <w:r>
              <w:rPr>
                <w:color w:val="000000" w:themeColor="text1"/>
                <w:highlight w:val="none"/>
              </w:rPr>
              <w:t>、NY/T1342-2007</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人工草地建设技术规程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2</w:t>
            </w:r>
            <w:r>
              <w:rPr>
                <w:rFonts w:hint="eastAsia"/>
                <w:color w:val="000000" w:themeColor="text1"/>
                <w:highlight w:val="none"/>
              </w:rPr>
              <w:t>8</w:t>
            </w:r>
            <w:r>
              <w:rPr>
                <w:color w:val="000000" w:themeColor="text1"/>
                <w:highlight w:val="none"/>
              </w:rPr>
              <w:t>、TD/T1007-2003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耕地后备资源调查与评价技术规程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29</w:t>
            </w:r>
            <w:r>
              <w:rPr>
                <w:color w:val="000000" w:themeColor="text1"/>
                <w:highlight w:val="none"/>
              </w:rPr>
              <w:t>、TD/T1014-2007</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第二次全国土地调查技术规程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3</w:t>
            </w:r>
            <w:r>
              <w:rPr>
                <w:rFonts w:hint="eastAsia"/>
                <w:color w:val="000000" w:themeColor="text1"/>
                <w:highlight w:val="none"/>
              </w:rPr>
              <w:t>0</w:t>
            </w:r>
            <w:r>
              <w:rPr>
                <w:color w:val="000000" w:themeColor="text1"/>
                <w:highlight w:val="none"/>
              </w:rPr>
              <w:t>、TD/T1036-2013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土地复垦质量控制标准</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3</w:t>
            </w:r>
            <w:r>
              <w:rPr>
                <w:rFonts w:hint="eastAsia"/>
                <w:color w:val="000000" w:themeColor="text1"/>
                <w:highlight w:val="none"/>
              </w:rPr>
              <w:t>1</w:t>
            </w:r>
            <w:r>
              <w:rPr>
                <w:color w:val="000000" w:themeColor="text1"/>
                <w:highlight w:val="none"/>
              </w:rPr>
              <w:t>、TD/T1044-2014</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生产项目土地复垦验收规程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3</w:t>
            </w:r>
            <w:r>
              <w:rPr>
                <w:rFonts w:hint="eastAsia"/>
                <w:color w:val="000000" w:themeColor="text1"/>
                <w:highlight w:val="none"/>
              </w:rPr>
              <w:t>2</w:t>
            </w:r>
            <w:r>
              <w:rPr>
                <w:color w:val="000000" w:themeColor="text1"/>
                <w:highlight w:val="none"/>
              </w:rPr>
              <w:t>、GB50288—1999</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灌溉与排水工程技术规范</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3</w:t>
            </w:r>
            <w:r>
              <w:rPr>
                <w:rFonts w:hint="eastAsia"/>
                <w:color w:val="000000" w:themeColor="text1"/>
                <w:highlight w:val="none"/>
              </w:rPr>
              <w:t>3</w:t>
            </w:r>
            <w:r>
              <w:rPr>
                <w:color w:val="000000" w:themeColor="text1"/>
                <w:highlight w:val="none"/>
              </w:rPr>
              <w:t>、DZ/T0287-2015</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矿山地质环境检测技术规程</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3</w:t>
            </w:r>
            <w:r>
              <w:rPr>
                <w:rFonts w:hint="eastAsia"/>
                <w:color w:val="000000" w:themeColor="text1"/>
                <w:highlight w:val="none"/>
              </w:rPr>
              <w:t>4</w:t>
            </w:r>
            <w:r>
              <w:rPr>
                <w:color w:val="000000" w:themeColor="text1"/>
                <w:highlight w:val="none"/>
              </w:rPr>
              <w:t>、HJ615-2013</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color w:val="000000" w:themeColor="text1"/>
                <w:highlight w:val="none"/>
              </w:rPr>
              <w:t>矿山生态环境保护与恢复治理技术规范（试行）</w:t>
            </w:r>
          </w:p>
        </w:tc>
      </w:tr>
      <w:tr>
        <w:tblPrEx>
          <w:tblCellMar>
            <w:top w:w="0" w:type="dxa"/>
            <w:left w:w="108" w:type="dxa"/>
            <w:bottom w:w="0" w:type="dxa"/>
            <w:right w:w="108" w:type="dxa"/>
          </w:tblCellMar>
        </w:tblPrEx>
        <w:trPr>
          <w:trHeight w:val="397" w:hRule="atLeast"/>
        </w:trPr>
        <w:tc>
          <w:tcPr>
            <w:tcW w:w="3294"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highlight w:val="none"/>
                <w:lang w:val="en-US" w:eastAsia="zh-CN"/>
              </w:rPr>
            </w:pPr>
            <w:bookmarkStart w:id="17" w:name="_Toc17293"/>
            <w:bookmarkStart w:id="18" w:name="_Toc227072671"/>
            <w:bookmarkStart w:id="19" w:name="_Toc11723"/>
            <w:r>
              <w:rPr>
                <w:rFonts w:hint="eastAsia"/>
                <w:color w:val="000000" w:themeColor="text1"/>
                <w:highlight w:val="none"/>
                <w:lang w:val="en-US" w:eastAsia="zh-CN"/>
              </w:rPr>
              <w:t>35、GB/7908-1999</w:t>
            </w:r>
          </w:p>
        </w:tc>
        <w:tc>
          <w:tcPr>
            <w:tcW w:w="5585" w:type="dxa"/>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highlight w:val="none"/>
              </w:rPr>
            </w:pPr>
            <w:r>
              <w:rPr>
                <w:rFonts w:hint="eastAsia"/>
                <w:color w:val="000000" w:themeColor="text1"/>
                <w:highlight w:val="none"/>
              </w:rPr>
              <w:t>林木种子质量分级表</w:t>
            </w:r>
          </w:p>
        </w:tc>
      </w:tr>
    </w:tbl>
    <w:p>
      <w:pPr>
        <w:pStyle w:val="5"/>
        <w:spacing w:before="82" w:after="82"/>
        <w:rPr>
          <w:color w:val="000000" w:themeColor="text1"/>
          <w:highlight w:val="none"/>
        </w:rPr>
      </w:pPr>
      <w:r>
        <w:rPr>
          <w:color w:val="000000" w:themeColor="text1"/>
          <w:highlight w:val="none"/>
        </w:rPr>
        <w:t>3.4技术文件及技术资料</w:t>
      </w:r>
      <w:bookmarkEnd w:id="17"/>
      <w:bookmarkEnd w:id="18"/>
      <w:bookmarkEnd w:id="19"/>
    </w:p>
    <w:p>
      <w:pPr>
        <w:rPr>
          <w:color w:val="000000" w:themeColor="text1"/>
          <w:highlight w:val="none"/>
        </w:rPr>
      </w:pPr>
      <w:r>
        <w:rPr>
          <w:color w:val="000000" w:themeColor="text1"/>
          <w:highlight w:val="none"/>
        </w:rPr>
        <w:t>1、</w:t>
      </w:r>
      <w:r>
        <w:rPr>
          <w:rFonts w:hint="eastAsia"/>
          <w:color w:val="000000" w:themeColor="text1"/>
          <w:highlight w:val="none"/>
        </w:rPr>
        <w:t>《</w:t>
      </w:r>
      <w:r>
        <w:rPr>
          <w:rFonts w:hint="eastAsia"/>
          <w:color w:val="000000" w:themeColor="text1"/>
          <w:highlight w:val="none"/>
          <w:lang w:eastAsia="zh-CN"/>
        </w:rPr>
        <w:t>旺苍县三江镇战旗石灰石矿资源储量核实报告</w:t>
      </w:r>
      <w:r>
        <w:rPr>
          <w:rFonts w:hint="eastAsia"/>
          <w:color w:val="000000" w:themeColor="text1"/>
          <w:highlight w:val="none"/>
        </w:rPr>
        <w:t>》，四川天梦星地质勘查技术有限公司</w:t>
      </w:r>
      <w:r>
        <w:rPr>
          <w:rFonts w:hint="eastAsia"/>
          <w:color w:val="000000" w:themeColor="text1"/>
          <w:highlight w:val="none"/>
          <w:lang w:eastAsia="zh-CN"/>
        </w:rPr>
        <w:t>，</w:t>
      </w:r>
      <w:r>
        <w:rPr>
          <w:rFonts w:hint="eastAsia"/>
          <w:color w:val="000000" w:themeColor="text1"/>
          <w:highlight w:val="none"/>
          <w:lang w:val="en-US" w:eastAsia="zh-CN"/>
        </w:rPr>
        <w:t>2022</w:t>
      </w:r>
      <w:r>
        <w:rPr>
          <w:rFonts w:hint="eastAsia"/>
          <w:color w:val="000000" w:themeColor="text1"/>
          <w:highlight w:val="none"/>
          <w:lang w:eastAsia="zh-CN"/>
        </w:rPr>
        <w:t>年</w:t>
      </w:r>
      <w:r>
        <w:rPr>
          <w:rFonts w:hint="eastAsia"/>
          <w:color w:val="000000" w:themeColor="text1"/>
          <w:highlight w:val="none"/>
          <w:lang w:val="en-US" w:eastAsia="zh-CN"/>
        </w:rPr>
        <w:t>1</w:t>
      </w:r>
      <w:r>
        <w:rPr>
          <w:rFonts w:hint="eastAsia"/>
          <w:color w:val="000000" w:themeColor="text1"/>
          <w:highlight w:val="none"/>
          <w:lang w:eastAsia="zh-CN"/>
        </w:rPr>
        <w:t>月</w:t>
      </w:r>
      <w:r>
        <w:rPr>
          <w:rFonts w:hint="eastAsia"/>
          <w:color w:val="000000" w:themeColor="text1"/>
          <w:highlight w:val="none"/>
        </w:rPr>
        <w:t>；</w:t>
      </w:r>
    </w:p>
    <w:p>
      <w:pPr>
        <w:rPr>
          <w:color w:val="000000" w:themeColor="text1"/>
          <w:highlight w:val="none"/>
        </w:rPr>
      </w:pPr>
      <w:r>
        <w:rPr>
          <w:color w:val="000000" w:themeColor="text1"/>
          <w:highlight w:val="none"/>
        </w:rPr>
        <w:t>2、</w:t>
      </w:r>
      <w:r>
        <w:rPr>
          <w:rFonts w:hint="eastAsia"/>
          <w:color w:val="000000" w:themeColor="text1"/>
          <w:highlight w:val="none"/>
        </w:rPr>
        <w:t>《旺苍县三江镇战旗石灰石矿矿产资源开发利用方案》</w:t>
      </w:r>
      <w:r>
        <w:rPr>
          <w:rFonts w:hint="eastAsia"/>
          <w:color w:val="000000" w:themeColor="text1"/>
          <w:highlight w:val="none"/>
          <w:lang w:eastAsia="zh-CN"/>
        </w:rPr>
        <w:t>，四川天梦星地质勘查技术有限公司，</w:t>
      </w:r>
      <w:r>
        <w:rPr>
          <w:rFonts w:hint="eastAsia"/>
          <w:color w:val="000000" w:themeColor="text1"/>
          <w:highlight w:val="none"/>
          <w:lang w:val="en-US" w:eastAsia="zh-CN"/>
        </w:rPr>
        <w:t>2022</w:t>
      </w:r>
      <w:r>
        <w:rPr>
          <w:rFonts w:hint="eastAsia"/>
          <w:color w:val="000000" w:themeColor="text1"/>
          <w:highlight w:val="none"/>
          <w:lang w:eastAsia="zh-CN"/>
        </w:rPr>
        <w:t>年</w:t>
      </w:r>
      <w:r>
        <w:rPr>
          <w:rFonts w:hint="eastAsia"/>
          <w:color w:val="000000" w:themeColor="text1"/>
          <w:highlight w:val="none"/>
          <w:lang w:val="en-US" w:eastAsia="zh-CN"/>
        </w:rPr>
        <w:t>1</w:t>
      </w:r>
      <w:r>
        <w:rPr>
          <w:rFonts w:hint="eastAsia"/>
          <w:color w:val="000000" w:themeColor="text1"/>
          <w:highlight w:val="none"/>
          <w:lang w:eastAsia="zh-CN"/>
        </w:rPr>
        <w:t>月</w:t>
      </w:r>
      <w:r>
        <w:rPr>
          <w:rFonts w:hint="eastAsia"/>
          <w:color w:val="000000" w:themeColor="text1"/>
          <w:highlight w:val="none"/>
        </w:rPr>
        <w:t>；</w:t>
      </w:r>
    </w:p>
    <w:p>
      <w:pPr>
        <w:rPr>
          <w:color w:val="000000" w:themeColor="text1"/>
          <w:highlight w:val="none"/>
        </w:rPr>
      </w:pPr>
      <w:r>
        <w:rPr>
          <w:color w:val="000000" w:themeColor="text1"/>
          <w:highlight w:val="none"/>
        </w:rPr>
        <w:t>3、</w:t>
      </w:r>
      <w:r>
        <w:rPr>
          <w:rFonts w:hint="eastAsia"/>
          <w:color w:val="000000" w:themeColor="text1"/>
          <w:highlight w:val="none"/>
        </w:rPr>
        <w:t>矿山采矿权许可证（证号</w:t>
      </w:r>
      <w:r>
        <w:rPr>
          <w:rFonts w:hint="eastAsia"/>
          <w:color w:val="000000" w:themeColor="text1"/>
          <w:highlight w:val="none"/>
          <w:lang w:eastAsia="zh-CN"/>
        </w:rPr>
        <w:t>C5108002010127130086349</w:t>
      </w:r>
      <w:r>
        <w:rPr>
          <w:rFonts w:hint="eastAsia"/>
          <w:color w:val="000000" w:themeColor="text1"/>
          <w:highlight w:val="none"/>
        </w:rPr>
        <w:t>）；</w:t>
      </w:r>
    </w:p>
    <w:p>
      <w:pPr>
        <w:rPr>
          <w:color w:val="000000" w:themeColor="text1"/>
          <w:highlight w:val="none"/>
        </w:rPr>
      </w:pPr>
      <w:r>
        <w:rPr>
          <w:color w:val="000000" w:themeColor="text1"/>
          <w:highlight w:val="none"/>
        </w:rPr>
        <w:t>4</w:t>
      </w:r>
      <w:r>
        <w:rPr>
          <w:rFonts w:hint="eastAsia"/>
          <w:color w:val="000000" w:themeColor="text1"/>
          <w:highlight w:val="none"/>
        </w:rPr>
        <w:t>、实地踏勘、调查资料</w:t>
      </w:r>
      <w:r>
        <w:rPr>
          <w:color w:val="000000" w:themeColor="text1"/>
          <w:highlight w:val="none"/>
        </w:rPr>
        <w:t>。</w:t>
      </w:r>
    </w:p>
    <w:p>
      <w:pPr>
        <w:pStyle w:val="4"/>
        <w:spacing w:before="82" w:after="82"/>
        <w:rPr>
          <w:color w:val="000000" w:themeColor="text1"/>
          <w:highlight w:val="none"/>
        </w:rPr>
      </w:pPr>
      <w:bookmarkStart w:id="20" w:name="_Toc9878"/>
      <w:bookmarkStart w:id="21" w:name="_Toc16605"/>
      <w:r>
        <w:rPr>
          <w:color w:val="000000" w:themeColor="text1"/>
          <w:highlight w:val="none"/>
        </w:rPr>
        <w:t>4方案适用年限</w:t>
      </w:r>
      <w:bookmarkEnd w:id="20"/>
      <w:bookmarkEnd w:id="21"/>
    </w:p>
    <w:p>
      <w:pPr>
        <w:pStyle w:val="5"/>
        <w:spacing w:before="82" w:after="82"/>
        <w:rPr>
          <w:color w:val="000000" w:themeColor="text1"/>
          <w:highlight w:val="none"/>
        </w:rPr>
      </w:pPr>
      <w:bookmarkStart w:id="22" w:name="_Toc2034"/>
      <w:bookmarkStart w:id="23" w:name="OLE_LINK164"/>
      <w:r>
        <w:rPr>
          <w:color w:val="000000" w:themeColor="text1"/>
          <w:highlight w:val="none"/>
        </w:rPr>
        <w:t>4.1矿山服务年限</w:t>
      </w:r>
      <w:bookmarkEnd w:id="22"/>
    </w:p>
    <w:p>
      <w:pPr>
        <w:rPr>
          <w:rFonts w:hint="eastAsia"/>
          <w:color w:val="000000" w:themeColor="text1"/>
          <w:highlight w:val="none"/>
        </w:rPr>
      </w:pPr>
      <w:r>
        <w:rPr>
          <w:color w:val="000000" w:themeColor="text1"/>
          <w:highlight w:val="none"/>
        </w:rPr>
        <w:t>根据</w:t>
      </w:r>
      <w:r>
        <w:rPr>
          <w:rFonts w:hint="eastAsia"/>
          <w:color w:val="000000" w:themeColor="text1"/>
          <w:highlight w:val="none"/>
        </w:rPr>
        <w:t>《</w:t>
      </w:r>
      <w:r>
        <w:rPr>
          <w:rFonts w:hint="eastAsia"/>
          <w:color w:val="000000" w:themeColor="text1"/>
          <w:highlight w:val="none"/>
          <w:lang w:eastAsia="zh-CN"/>
        </w:rPr>
        <w:t>旺苍县三江镇战旗石灰石矿矿产资源开发利用方案</w:t>
      </w:r>
      <w:r>
        <w:rPr>
          <w:rFonts w:hint="eastAsia"/>
          <w:color w:val="000000" w:themeColor="text1"/>
          <w:highlight w:val="none"/>
        </w:rPr>
        <w:t>》，矿山生产规模</w:t>
      </w:r>
      <w:r>
        <w:rPr>
          <w:rFonts w:hint="eastAsia"/>
          <w:color w:val="000000" w:themeColor="text1"/>
          <w:highlight w:val="none"/>
          <w:lang w:eastAsia="zh-CN"/>
        </w:rPr>
        <w:t>30万吨</w:t>
      </w:r>
      <w:r>
        <w:rPr>
          <w:rFonts w:hint="eastAsia"/>
          <w:color w:val="000000" w:themeColor="text1"/>
          <w:highlight w:val="none"/>
        </w:rPr>
        <w:t>/年，矿石回采率</w:t>
      </w:r>
      <w:r>
        <w:rPr>
          <w:rFonts w:hint="eastAsia"/>
          <w:color w:val="000000" w:themeColor="text1"/>
          <w:highlight w:val="none"/>
          <w:lang w:eastAsia="zh-CN"/>
        </w:rPr>
        <w:t>95%</w:t>
      </w:r>
      <w:r>
        <w:rPr>
          <w:rFonts w:hint="eastAsia"/>
          <w:color w:val="000000" w:themeColor="text1"/>
          <w:highlight w:val="none"/>
        </w:rPr>
        <w:t>，贫化率为</w:t>
      </w:r>
      <w:r>
        <w:rPr>
          <w:rFonts w:hint="eastAsia"/>
          <w:color w:val="000000" w:themeColor="text1"/>
          <w:highlight w:val="none"/>
          <w:lang w:val="en-US" w:eastAsia="zh-CN"/>
        </w:rPr>
        <w:t>5</w:t>
      </w:r>
      <w:r>
        <w:rPr>
          <w:rFonts w:hint="eastAsia"/>
          <w:color w:val="000000" w:themeColor="text1"/>
          <w:highlight w:val="none"/>
        </w:rPr>
        <w:t>%</w:t>
      </w:r>
      <w:r>
        <w:rPr>
          <w:bCs/>
          <w:color w:val="000000" w:themeColor="text1"/>
          <w:highlight w:val="none"/>
        </w:rPr>
        <w:t>；</w:t>
      </w:r>
      <w:r>
        <w:rPr>
          <w:color w:val="000000" w:themeColor="text1"/>
          <w:highlight w:val="none"/>
        </w:rPr>
        <w:t>根据</w:t>
      </w:r>
      <w:r>
        <w:rPr>
          <w:rFonts w:hint="eastAsia"/>
          <w:color w:val="000000" w:themeColor="text1"/>
          <w:highlight w:val="none"/>
        </w:rPr>
        <w:t>四川天梦星地质勘查技术有限公司20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w:t>
      </w:r>
      <w:r>
        <w:rPr>
          <w:color w:val="000000" w:themeColor="text1"/>
          <w:highlight w:val="none"/>
        </w:rPr>
        <w:t>月提交的《</w:t>
      </w:r>
      <w:r>
        <w:rPr>
          <w:rFonts w:hint="eastAsia"/>
          <w:color w:val="000000" w:themeColor="text1"/>
          <w:highlight w:val="none"/>
          <w:lang w:eastAsia="zh-CN"/>
        </w:rPr>
        <w:t>旺苍县三江镇战旗石灰石矿资源储量核实报告</w:t>
      </w:r>
      <w:r>
        <w:rPr>
          <w:color w:val="000000" w:themeColor="text1"/>
          <w:highlight w:val="none"/>
        </w:rPr>
        <w:t>》</w:t>
      </w:r>
      <w:r>
        <w:rPr>
          <w:rFonts w:hint="eastAsia"/>
          <w:color w:val="000000" w:themeColor="text1"/>
          <w:highlight w:val="none"/>
          <w:lang w:eastAsia="zh-CN"/>
        </w:rPr>
        <w:t>，</w:t>
      </w:r>
      <w:r>
        <w:rPr>
          <w:rFonts w:hint="eastAsia"/>
          <w:color w:val="000000" w:themeColor="text1"/>
          <w:highlight w:val="none"/>
        </w:rPr>
        <w:t>境界内的矿石量约为270.17万吨，均为保有控制资源量。</w:t>
      </w:r>
    </w:p>
    <w:p>
      <w:pPr>
        <w:rPr>
          <w:rFonts w:hint="eastAsia"/>
          <w:color w:val="000000" w:themeColor="text1"/>
          <w:highlight w:val="none"/>
        </w:rPr>
      </w:pPr>
      <w:r>
        <w:rPr>
          <w:rFonts w:hint="eastAsia"/>
          <w:color w:val="000000" w:themeColor="text1"/>
          <w:highlight w:val="none"/>
        </w:rPr>
        <w:t>按回采率95%，生产规模50万吨/年计算，资源量服务年限为：</w:t>
      </w:r>
    </w:p>
    <w:p>
      <w:pPr>
        <w:ind w:left="0" w:leftChars="0" w:right="0" w:rightChars="0" w:firstLine="0" w:firstLineChars="0"/>
        <w:jc w:val="center"/>
        <w:rPr>
          <w:rFonts w:hint="eastAsia"/>
          <w:color w:val="000000" w:themeColor="text1"/>
          <w:highlight w:val="none"/>
        </w:rPr>
      </w:pPr>
      <w:r>
        <w:rPr>
          <w:rFonts w:hint="eastAsia"/>
          <w:color w:val="000000" w:themeColor="text1"/>
          <w:highlight w:val="none"/>
        </w:rPr>
        <w:t>T=Qη/A=270.17×95%/50≈5.1年。</w:t>
      </w:r>
    </w:p>
    <w:p>
      <w:pPr>
        <w:rPr>
          <w:color w:val="000000" w:themeColor="text1"/>
          <w:highlight w:val="none"/>
        </w:rPr>
      </w:pPr>
      <w:r>
        <w:rPr>
          <w:color w:val="000000" w:themeColor="text1"/>
          <w:highlight w:val="none"/>
        </w:rPr>
        <w:t>以</w:t>
      </w:r>
      <w:r>
        <w:rPr>
          <w:rFonts w:hint="eastAsia"/>
          <w:color w:val="000000" w:themeColor="text1"/>
          <w:highlight w:val="none"/>
        </w:rPr>
        <w:t>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月为准，矿</w:t>
      </w:r>
      <w:r>
        <w:rPr>
          <w:rFonts w:hint="eastAsia"/>
          <w:color w:val="000000" w:themeColor="text1"/>
          <w:highlight w:val="none"/>
          <w:lang w:eastAsia="zh-CN"/>
        </w:rPr>
        <w:t>石</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p>
    <w:bookmarkEnd w:id="23"/>
    <w:p>
      <w:pPr>
        <w:pStyle w:val="5"/>
        <w:spacing w:before="82" w:after="82"/>
        <w:rPr>
          <w:color w:val="000000" w:themeColor="text1"/>
          <w:highlight w:val="none"/>
        </w:rPr>
      </w:pPr>
      <w:bookmarkStart w:id="24" w:name="_Toc30869"/>
      <w:bookmarkStart w:id="25" w:name="OLE_LINK165"/>
      <w:r>
        <w:rPr>
          <w:color w:val="000000" w:themeColor="text1"/>
          <w:highlight w:val="none"/>
        </w:rPr>
        <w:t>4.2矿山地质环境保护与土地复垦方案服务年限</w:t>
      </w:r>
      <w:bookmarkEnd w:id="24"/>
    </w:p>
    <w:p>
      <w:pPr>
        <w:rPr>
          <w:color w:val="000000" w:themeColor="text1"/>
          <w:highlight w:val="none"/>
        </w:rPr>
      </w:pPr>
      <w:bookmarkStart w:id="26" w:name="_Toc23506"/>
      <w:r>
        <w:rPr>
          <w:rFonts w:hint="eastAsia"/>
          <w:color w:val="000000" w:themeColor="text1"/>
          <w:highlight w:val="none"/>
        </w:rPr>
        <w:t>1</w:t>
      </w:r>
      <w:r>
        <w:rPr>
          <w:color w:val="000000" w:themeColor="text1"/>
          <w:highlight w:val="none"/>
        </w:rPr>
        <w:t>、方案服务年限</w:t>
      </w:r>
    </w:p>
    <w:p>
      <w:pPr>
        <w:rPr>
          <w:color w:val="000000" w:themeColor="text1"/>
          <w:highlight w:val="none"/>
        </w:rPr>
      </w:pPr>
      <w:r>
        <w:rPr>
          <w:rFonts w:hint="eastAsia"/>
          <w:color w:val="000000" w:themeColor="text1"/>
          <w:highlight w:val="none"/>
        </w:rPr>
        <w:t>本矿山采矿证尚未到期，</w:t>
      </w:r>
      <w:r>
        <w:rPr>
          <w:rFonts w:hint="eastAsia"/>
          <w:color w:val="000000" w:themeColor="text1"/>
          <w:highlight w:val="none"/>
          <w:lang w:eastAsia="zh-CN"/>
        </w:rPr>
        <w:t>由于矿权范围变更，需重新申请新的采矿许可证，</w:t>
      </w:r>
      <w:r>
        <w:rPr>
          <w:rFonts w:hint="eastAsia"/>
          <w:color w:val="000000" w:themeColor="text1"/>
          <w:highlight w:val="none"/>
        </w:rPr>
        <w:t>方案服务年限根据</w:t>
      </w:r>
      <w:r>
        <w:rPr>
          <w:rFonts w:hint="eastAsia"/>
          <w:color w:val="000000" w:themeColor="text1"/>
          <w:highlight w:val="none"/>
          <w:lang w:eastAsia="zh-CN"/>
        </w:rPr>
        <w:t>矿山剩余服务年限确定</w:t>
      </w:r>
      <w:r>
        <w:rPr>
          <w:rFonts w:hint="eastAsia"/>
          <w:color w:val="000000" w:themeColor="text1"/>
          <w:highlight w:val="none"/>
        </w:rPr>
        <w:t>，</w:t>
      </w:r>
      <w:r>
        <w:rPr>
          <w:rFonts w:hint="eastAsia"/>
          <w:color w:val="000000" w:themeColor="text1"/>
          <w:highlight w:val="none"/>
          <w:lang w:eastAsia="zh-CN"/>
        </w:rPr>
        <w:t>矿山</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r>
        <w:rPr>
          <w:rFonts w:hint="eastAsia"/>
          <w:color w:val="000000" w:themeColor="text1"/>
          <w:highlight w:val="none"/>
        </w:rPr>
        <w:t>，截止</w:t>
      </w:r>
      <w:r>
        <w:rPr>
          <w:rFonts w:hint="eastAsia"/>
          <w:color w:val="000000" w:themeColor="text1"/>
          <w:highlight w:val="none"/>
          <w:lang w:eastAsia="zh-CN"/>
        </w:rPr>
        <w:t>至</w:t>
      </w:r>
      <w:r>
        <w:rPr>
          <w:rFonts w:hint="eastAsia"/>
          <w:color w:val="000000" w:themeColor="text1"/>
          <w:highlight w:val="none"/>
        </w:rPr>
        <w:t>20</w:t>
      </w:r>
      <w:r>
        <w:rPr>
          <w:rFonts w:hint="eastAsia"/>
          <w:color w:val="000000" w:themeColor="text1"/>
          <w:highlight w:val="none"/>
          <w:lang w:val="en-US" w:eastAsia="zh-CN"/>
        </w:rPr>
        <w:t>27</w:t>
      </w:r>
      <w:r>
        <w:rPr>
          <w:rFonts w:hint="eastAsia"/>
          <w:color w:val="000000" w:themeColor="text1"/>
          <w:highlight w:val="none"/>
        </w:rPr>
        <w:t>年</w:t>
      </w:r>
      <w:r>
        <w:rPr>
          <w:rFonts w:hint="eastAsia"/>
          <w:color w:val="000000" w:themeColor="text1"/>
          <w:highlight w:val="none"/>
          <w:lang w:val="en-US" w:eastAsia="zh-CN"/>
        </w:rPr>
        <w:t>2</w:t>
      </w:r>
      <w:r>
        <w:rPr>
          <w:rFonts w:hint="eastAsia"/>
          <w:color w:val="000000" w:themeColor="text1"/>
          <w:highlight w:val="none"/>
        </w:rPr>
        <w:t>月，矿山地质环境治理与</w:t>
      </w:r>
      <w:r>
        <w:rPr>
          <w:color w:val="000000" w:themeColor="text1"/>
          <w:highlight w:val="none"/>
        </w:rPr>
        <w:t>土地复垦</w:t>
      </w:r>
      <w:r>
        <w:rPr>
          <w:rFonts w:hint="eastAsia"/>
          <w:color w:val="000000" w:themeColor="text1"/>
          <w:highlight w:val="none"/>
        </w:rPr>
        <w:t>总</w:t>
      </w:r>
      <w:r>
        <w:rPr>
          <w:color w:val="000000" w:themeColor="text1"/>
          <w:highlight w:val="none"/>
        </w:rPr>
        <w:t>工期设计为</w:t>
      </w:r>
      <w:r>
        <w:rPr>
          <w:rFonts w:hint="eastAsia"/>
          <w:color w:val="000000" w:themeColor="text1"/>
          <w:highlight w:val="none"/>
        </w:rPr>
        <w:t>0.5</w:t>
      </w:r>
      <w:r>
        <w:rPr>
          <w:color w:val="000000" w:themeColor="text1"/>
          <w:highlight w:val="none"/>
        </w:rPr>
        <w:t>年，监测管护期3</w:t>
      </w:r>
      <w:r>
        <w:rPr>
          <w:rFonts w:hint="eastAsia"/>
          <w:color w:val="000000" w:themeColor="text1"/>
          <w:highlight w:val="none"/>
        </w:rPr>
        <w:t>年</w:t>
      </w:r>
      <w:r>
        <w:rPr>
          <w:color w:val="000000" w:themeColor="text1"/>
          <w:highlight w:val="none"/>
        </w:rPr>
        <w:t>，因此，复垦方案服务年限自20</w:t>
      </w:r>
      <w:r>
        <w:rPr>
          <w:rFonts w:hint="eastAsia"/>
          <w:color w:val="000000" w:themeColor="text1"/>
          <w:highlight w:val="none"/>
        </w:rPr>
        <w:t>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w:t>
      </w:r>
      <w:r>
        <w:rPr>
          <w:color w:val="000000" w:themeColor="text1"/>
          <w:highlight w:val="none"/>
        </w:rPr>
        <w:t>至2</w:t>
      </w:r>
      <w:r>
        <w:rPr>
          <w:rFonts w:hint="eastAsia"/>
          <w:color w:val="000000" w:themeColor="text1"/>
          <w:highlight w:val="none"/>
          <w:lang w:val="en-US" w:eastAsia="zh-CN"/>
        </w:rPr>
        <w:t>030</w:t>
      </w:r>
      <w:r>
        <w:rPr>
          <w:color w:val="000000" w:themeColor="text1"/>
          <w:highlight w:val="none"/>
        </w:rPr>
        <w:t>年</w:t>
      </w:r>
      <w:r>
        <w:rPr>
          <w:rFonts w:hint="eastAsia"/>
          <w:color w:val="000000" w:themeColor="text1"/>
          <w:highlight w:val="none"/>
          <w:lang w:val="en-US" w:eastAsia="zh-CN"/>
        </w:rPr>
        <w:t>8</w:t>
      </w:r>
      <w:r>
        <w:rPr>
          <w:rFonts w:hint="eastAsia"/>
          <w:color w:val="000000" w:themeColor="text1"/>
          <w:highlight w:val="none"/>
        </w:rPr>
        <w:t>月</w:t>
      </w:r>
      <w:r>
        <w:rPr>
          <w:color w:val="000000" w:themeColor="text1"/>
          <w:highlight w:val="none"/>
        </w:rPr>
        <w:t>，共</w:t>
      </w:r>
      <w:r>
        <w:rPr>
          <w:rFonts w:hint="eastAsia"/>
          <w:color w:val="000000" w:themeColor="text1"/>
          <w:highlight w:val="none"/>
          <w:lang w:val="en-US" w:eastAsia="zh-CN"/>
        </w:rPr>
        <w:t>7.7</w:t>
      </w:r>
      <w:r>
        <w:rPr>
          <w:rFonts w:hint="eastAsia"/>
          <w:color w:val="000000" w:themeColor="text1"/>
          <w:highlight w:val="none"/>
        </w:rPr>
        <w:t>年</w:t>
      </w:r>
      <w:r>
        <w:rPr>
          <w:color w:val="000000" w:themeColor="text1"/>
          <w:highlight w:val="none"/>
        </w:rPr>
        <w:t>。</w:t>
      </w:r>
    </w:p>
    <w:p>
      <w:pPr>
        <w:rPr>
          <w:color w:val="000000" w:themeColor="text1"/>
          <w:highlight w:val="none"/>
        </w:rPr>
      </w:pPr>
      <w:r>
        <w:rPr>
          <w:rFonts w:hint="eastAsia"/>
          <w:color w:val="000000" w:themeColor="text1"/>
          <w:highlight w:val="none"/>
        </w:rPr>
        <w:t>2</w:t>
      </w:r>
      <w:r>
        <w:rPr>
          <w:color w:val="000000" w:themeColor="text1"/>
          <w:highlight w:val="none"/>
        </w:rPr>
        <w:t>、方案的适用年限</w:t>
      </w:r>
    </w:p>
    <w:p>
      <w:pPr>
        <w:rPr>
          <w:color w:val="000000" w:themeColor="text1"/>
          <w:highlight w:val="none"/>
        </w:rPr>
      </w:pPr>
      <w:r>
        <w:rPr>
          <w:color w:val="000000" w:themeColor="text1"/>
          <w:highlight w:val="none"/>
        </w:rPr>
        <w:t>由于矿山服务年限较长，考虑到矿山开采期间开发利用方案有可能进行调整，因此本方案应每5</w:t>
      </w:r>
      <w:r>
        <w:rPr>
          <w:rFonts w:hint="eastAsia"/>
          <w:color w:val="000000" w:themeColor="text1"/>
          <w:highlight w:val="none"/>
        </w:rPr>
        <w:t>年</w:t>
      </w:r>
      <w:r>
        <w:rPr>
          <w:color w:val="000000" w:themeColor="text1"/>
          <w:highlight w:val="none"/>
        </w:rPr>
        <w:t>对其进行一次修订，本方案的适用年限为5</w:t>
      </w:r>
      <w:r>
        <w:rPr>
          <w:rFonts w:hint="eastAsia"/>
          <w:color w:val="000000" w:themeColor="text1"/>
          <w:highlight w:val="none"/>
        </w:rPr>
        <w:t>年</w:t>
      </w:r>
      <w:r>
        <w:rPr>
          <w:color w:val="000000" w:themeColor="text1"/>
          <w:highlight w:val="none"/>
        </w:rPr>
        <w:t>。但当开采方法、扩大规模等变更开采方式时，应重新编制矿山地质环境保护与土地复垦方案。</w:t>
      </w:r>
    </w:p>
    <w:p>
      <w:pPr>
        <w:pStyle w:val="4"/>
        <w:spacing w:before="82" w:after="82"/>
        <w:rPr>
          <w:color w:val="000000" w:themeColor="text1"/>
          <w:highlight w:val="none"/>
        </w:rPr>
      </w:pPr>
      <w:bookmarkStart w:id="27" w:name="_Toc16563"/>
      <w:r>
        <w:rPr>
          <w:color w:val="000000" w:themeColor="text1"/>
          <w:highlight w:val="none"/>
        </w:rPr>
        <w:t>5编制工作概况</w:t>
      </w:r>
      <w:bookmarkEnd w:id="26"/>
      <w:bookmarkEnd w:id="27"/>
    </w:p>
    <w:bookmarkEnd w:id="25"/>
    <w:p>
      <w:pPr>
        <w:pStyle w:val="5"/>
        <w:spacing w:before="82" w:after="82"/>
        <w:rPr>
          <w:color w:val="000000" w:themeColor="text1"/>
          <w:highlight w:val="none"/>
        </w:rPr>
      </w:pPr>
      <w:bookmarkStart w:id="28" w:name="_Toc29875"/>
      <w:bookmarkStart w:id="29" w:name="_Toc20917"/>
      <w:r>
        <w:rPr>
          <w:color w:val="000000" w:themeColor="text1"/>
          <w:highlight w:val="none"/>
        </w:rPr>
        <w:t>5.1工作程序</w:t>
      </w:r>
      <w:bookmarkEnd w:id="28"/>
      <w:bookmarkEnd w:id="29"/>
    </w:p>
    <w:p>
      <w:pPr>
        <w:rPr>
          <w:color w:val="000000" w:themeColor="text1"/>
          <w:highlight w:val="none"/>
          <w:lang w:val="zh-CN"/>
        </w:rPr>
      </w:pPr>
      <w:r>
        <w:rPr>
          <w:color w:val="000000" w:themeColor="text1"/>
          <w:highlight w:val="none"/>
          <w:lang w:val="zh-CN"/>
        </w:rPr>
        <w:t>本次方案编制工作严格按照《土地复垦方案编制规程》（TD/T1031-2011）、《矿山地质环境保护与恢复治理方案编制规范》（DZ/T223－2011）以及自然资源部颁发的《国土资源部办公厅关于做好地质环境保护与土地复垦方案编报有关工作的通知》（国土资规[2016]21号）文件规定的程序进行。主要工作程序为资料收集及现场踏勘→矿山地质环境及土地资源等调查→确定矿山地质环境评估范围和复垦区→开展矿山地质环境影响评估和土地复垦适宜性评价→矿山地质环境保护与土地复垦分区→部署矿山地质环境保护与土地复垦工程→编制矿山地质环境保护与土地复垦方案文本。本次矿山地质环境保护和土地复垦方案的具体技术路线见下图0-1。</w:t>
      </w:r>
    </w:p>
    <w:p>
      <w:pPr>
        <w:pStyle w:val="67"/>
        <w:rPr>
          <w:color w:val="000000" w:themeColor="text1"/>
          <w:highlight w:val="none"/>
        </w:rPr>
      </w:pPr>
      <w:r>
        <w:rPr>
          <w:color w:val="000000" w:themeColor="text1"/>
          <w:highlight w:val="none"/>
        </w:rPr>
        <w:drawing>
          <wp:inline distT="0" distB="0" distL="0" distR="0">
            <wp:extent cx="2160270" cy="2674620"/>
            <wp:effectExtent l="0" t="0" r="11430" b="11430"/>
            <wp:docPr id="8" name="图片 8" descr="工作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作流程图"/>
                    <pic:cNvPicPr>
                      <a:picLocks noChangeAspect="1" noChangeArrowheads="1"/>
                    </pic:cNvPicPr>
                  </pic:nvPicPr>
                  <pic:blipFill>
                    <a:blip r:embed="rId17" cstate="print">
                      <a:extLst>
                        <a:ext uri="{28A0092B-C50C-407E-A947-70E740481C1C}">
                          <a14:useLocalDpi xmlns:a14="http://schemas.microsoft.com/office/drawing/2010/main" val="0"/>
                        </a:ext>
                      </a:extLst>
                    </a:blip>
                    <a:srcRect t="6604" b="6604"/>
                    <a:stretch>
                      <a:fillRect/>
                    </a:stretch>
                  </pic:blipFill>
                  <pic:spPr>
                    <a:xfrm>
                      <a:off x="0" y="0"/>
                      <a:ext cx="2160270" cy="2674620"/>
                    </a:xfrm>
                    <a:prstGeom prst="rect">
                      <a:avLst/>
                    </a:prstGeom>
                    <a:noFill/>
                    <a:ln>
                      <a:noFill/>
                    </a:ln>
                    <a:effectLst/>
                  </pic:spPr>
                </pic:pic>
              </a:graphicData>
            </a:graphic>
          </wp:inline>
        </w:drawing>
      </w:r>
    </w:p>
    <w:p>
      <w:pPr>
        <w:pStyle w:val="67"/>
        <w:rPr>
          <w:color w:val="000000" w:themeColor="text1"/>
          <w:highlight w:val="none"/>
        </w:rPr>
      </w:pPr>
      <w:r>
        <w:rPr>
          <w:color w:val="000000" w:themeColor="text1"/>
          <w:highlight w:val="none"/>
        </w:rPr>
        <w:t>图0-1工作程序图</w:t>
      </w:r>
    </w:p>
    <w:p>
      <w:pPr>
        <w:pStyle w:val="5"/>
        <w:spacing w:before="82" w:after="82"/>
        <w:rPr>
          <w:color w:val="000000" w:themeColor="text1"/>
          <w:highlight w:val="none"/>
        </w:rPr>
      </w:pPr>
      <w:bookmarkStart w:id="30" w:name="_Toc31822"/>
      <w:bookmarkStart w:id="31" w:name="_Toc17798"/>
      <w:r>
        <w:rPr>
          <w:color w:val="000000" w:themeColor="text1"/>
          <w:highlight w:val="none"/>
        </w:rPr>
        <w:t>5.2工作方法</w:t>
      </w:r>
      <w:bookmarkEnd w:id="30"/>
      <w:bookmarkEnd w:id="31"/>
    </w:p>
    <w:p>
      <w:pPr>
        <w:rPr>
          <w:color w:val="000000" w:themeColor="text1"/>
          <w:highlight w:val="none"/>
        </w:rPr>
      </w:pPr>
      <w:r>
        <w:rPr>
          <w:rFonts w:hint="eastAsia"/>
          <w:color w:val="000000" w:themeColor="text1"/>
          <w:highlight w:val="none"/>
          <w:lang w:eastAsia="zh-CN"/>
        </w:rPr>
        <w:t>四川天梦星地质勘查技术有限公司</w:t>
      </w:r>
      <w:r>
        <w:rPr>
          <w:color w:val="000000" w:themeColor="text1"/>
          <w:highlight w:val="none"/>
        </w:rPr>
        <w:t>在接到委托任务后，严格按</w:t>
      </w:r>
      <w:r>
        <w:rPr>
          <w:color w:val="000000" w:themeColor="text1"/>
          <w:highlight w:val="none"/>
          <w:lang w:val="zh-CN"/>
        </w:rPr>
        <w:t>照</w:t>
      </w:r>
      <w:r>
        <w:rPr>
          <w:color w:val="000000" w:themeColor="text1"/>
          <w:highlight w:val="none"/>
        </w:rPr>
        <w:t>《</w:t>
      </w:r>
      <w:r>
        <w:rPr>
          <w:color w:val="000000" w:themeColor="text1"/>
          <w:highlight w:val="none"/>
          <w:lang w:val="zh-CN"/>
        </w:rPr>
        <w:t>矿山地质环境保护与恢复治理方案编制规范</w:t>
      </w:r>
      <w:r>
        <w:rPr>
          <w:color w:val="000000" w:themeColor="text1"/>
          <w:highlight w:val="none"/>
        </w:rPr>
        <w:t>》</w:t>
      </w:r>
      <w:r>
        <w:rPr>
          <w:color w:val="000000" w:themeColor="text1"/>
          <w:highlight w:val="none"/>
          <w:lang w:val="zh-CN"/>
        </w:rPr>
        <w:t>（DZ/T223－2011）、《土地复垦方案编制实务》、</w:t>
      </w:r>
      <w:r>
        <w:rPr>
          <w:color w:val="000000" w:themeColor="text1"/>
          <w:highlight w:val="none"/>
        </w:rPr>
        <w:t>《</w:t>
      </w:r>
      <w:r>
        <w:rPr>
          <w:color w:val="000000" w:themeColor="text1"/>
          <w:highlight w:val="none"/>
          <w:lang w:val="zh-CN"/>
        </w:rPr>
        <w:t>矿山地质环境保护与土地复垦方案编制指南</w:t>
      </w:r>
      <w:r>
        <w:rPr>
          <w:color w:val="000000" w:themeColor="text1"/>
          <w:highlight w:val="none"/>
        </w:rPr>
        <w:t>》中要求的工作程序进行。在充分收集、综合分析建设项目相关资料的基础上，</w:t>
      </w:r>
      <w:r>
        <w:rPr>
          <w:color w:val="000000" w:themeColor="text1"/>
          <w:highlight w:val="none"/>
          <w:lang w:val="zh-CN"/>
        </w:rPr>
        <w:t>确定调查范围。于</w:t>
      </w:r>
      <w:r>
        <w:rPr>
          <w:rFonts w:hint="eastAsia"/>
          <w:color w:val="000000" w:themeColor="text1"/>
          <w:highlight w:val="none"/>
          <w:lang w:val="zh-CN"/>
        </w:rPr>
        <w:t>202</w:t>
      </w:r>
      <w:r>
        <w:rPr>
          <w:rFonts w:hint="eastAsia"/>
          <w:color w:val="000000" w:themeColor="text1"/>
          <w:highlight w:val="none"/>
          <w:lang w:val="en-US" w:eastAsia="zh-CN"/>
        </w:rPr>
        <w:t>2</w:t>
      </w:r>
      <w:r>
        <w:rPr>
          <w:color w:val="000000" w:themeColor="text1"/>
          <w:highlight w:val="none"/>
          <w:lang w:val="zh-CN"/>
        </w:rPr>
        <w:t>年</w:t>
      </w:r>
      <w:r>
        <w:rPr>
          <w:rFonts w:hint="eastAsia"/>
          <w:color w:val="000000" w:themeColor="text1"/>
          <w:highlight w:val="none"/>
          <w:lang w:val="en-US" w:eastAsia="zh-CN"/>
        </w:rPr>
        <w:t>10</w:t>
      </w:r>
      <w:r>
        <w:rPr>
          <w:color w:val="000000" w:themeColor="text1"/>
          <w:highlight w:val="none"/>
          <w:lang w:val="zh-CN"/>
        </w:rPr>
        <w:t>月派出地质、测量技术人员到野外实地调查、访问，开展矿山地质环境现状和土地资源调查，广泛征询土地复垦义务人、政府相关部门、土地使用权人和社会公众的意愿。经资料整理分析，进行矿山地质环境影响和土地损毁评估；在此基础上，进行矿山地质环境保护与恢复治理分区和土地复垦范围确定，</w:t>
      </w:r>
      <w:r>
        <w:rPr>
          <w:rFonts w:hint="eastAsia"/>
          <w:color w:val="000000" w:themeColor="text1"/>
          <w:highlight w:val="none"/>
          <w:lang w:val="zh-CN"/>
        </w:rPr>
        <w:t>制定</w:t>
      </w:r>
      <w:r>
        <w:rPr>
          <w:color w:val="000000" w:themeColor="text1"/>
          <w:highlight w:val="none"/>
          <w:lang w:val="zh-CN"/>
        </w:rPr>
        <w:t>恢复治理措施和复垦方案，提出保护和预防、恢复治理工程，拟定监测方案，并进行治理经费估算和效益分析。对初步拟定的矿山地质环境保护与土地复垦方案广泛征询土地复垦义务人、政府相关部门、土地使用权人和社会公众的意愿，从组织、经济、技术、公众接受程度等方面进行可行性论证。最后依据方案协调论证结果，确定土地复垦标准，优化工程设计，完善工程量测算及投资估算，细化地质环境保护与土地复垦实施计划安排以及资金、技术和组织管理保障措施等。</w:t>
      </w:r>
    </w:p>
    <w:p>
      <w:pPr>
        <w:rPr>
          <w:color w:val="000000" w:themeColor="text1"/>
          <w:highlight w:val="none"/>
          <w:lang w:val="zh-CN"/>
        </w:rPr>
      </w:pPr>
      <w:r>
        <w:rPr>
          <w:color w:val="000000" w:themeColor="text1"/>
          <w:highlight w:val="none"/>
          <w:lang w:val="zh-CN"/>
        </w:rPr>
        <w:t>1、资料收集与分析</w:t>
      </w:r>
    </w:p>
    <w:p>
      <w:pPr>
        <w:rPr>
          <w:color w:val="000000" w:themeColor="text1"/>
          <w:highlight w:val="none"/>
          <w:lang w:val="zh-CN"/>
        </w:rPr>
      </w:pPr>
      <w:r>
        <w:rPr>
          <w:color w:val="000000" w:themeColor="text1"/>
          <w:highlight w:val="none"/>
          <w:lang w:val="zh-CN"/>
        </w:rPr>
        <w:t>在开展野外调查工作前，充分收集、整理、分析相关资料，了解评估区地质环境条件和土地资源状况，分析已有资料情况，确定补充资料内容，初步确定野外调查方法、调查路线和调查内容。</w:t>
      </w:r>
    </w:p>
    <w:p>
      <w:pPr>
        <w:rPr>
          <w:color w:val="000000" w:themeColor="text1"/>
          <w:highlight w:val="none"/>
          <w:lang w:val="zh-CN"/>
        </w:rPr>
      </w:pPr>
      <w:r>
        <w:rPr>
          <w:color w:val="000000" w:themeColor="text1"/>
          <w:highlight w:val="none"/>
          <w:lang w:val="zh-CN"/>
        </w:rPr>
        <w:t>2、野外调查</w:t>
      </w:r>
    </w:p>
    <w:p>
      <w:pPr>
        <w:rPr>
          <w:color w:val="000000" w:themeColor="text1"/>
          <w:highlight w:val="none"/>
        </w:rPr>
      </w:pPr>
      <w:r>
        <w:rPr>
          <w:color w:val="000000" w:themeColor="text1"/>
          <w:highlight w:val="none"/>
          <w:lang w:val="zh-CN"/>
        </w:rPr>
        <w:t>野外调查采用路线穿插，地质环境点重点追索的调查方法进行。做到了逢人必问、遇沟必看，访问调查与实际调查相结合。野外采用1：5000地形图作野外手图，调查点采用GPS和地形地物校核定位，对可能因采矿活动而受影响的范围进行重点调查，并对地质灾害点和重要地质现象进行详细记录和拍照，保证了调查的质量。</w:t>
      </w:r>
    </w:p>
    <w:p>
      <w:pPr>
        <w:rPr>
          <w:color w:val="000000" w:themeColor="text1"/>
          <w:highlight w:val="none"/>
        </w:rPr>
      </w:pPr>
      <w:r>
        <w:rPr>
          <w:color w:val="000000" w:themeColor="text1"/>
          <w:highlight w:val="none"/>
        </w:rPr>
        <w:t>（1）搜集区内已有储量核实、水保、环评和开发利用方案、土地现状及规划等资料。</w:t>
      </w:r>
    </w:p>
    <w:p>
      <w:pPr>
        <w:rPr>
          <w:color w:val="000000" w:themeColor="text1"/>
          <w:highlight w:val="none"/>
        </w:rPr>
      </w:pPr>
      <w:r>
        <w:rPr>
          <w:color w:val="000000" w:themeColor="text1"/>
          <w:highlight w:val="none"/>
        </w:rPr>
        <w:t>（2）确定调查范围：评估范围以矿区范围为基础，考虑到矿体采动后对地表的影响，调查范围在影响范围基础上再外扩50m，若遇泥石流沟，则扩大调查范围至500~2000m，总面积约</w:t>
      </w:r>
      <w:r>
        <w:rPr>
          <w:rFonts w:hint="eastAsia"/>
          <w:color w:val="000000" w:themeColor="text1"/>
          <w:highlight w:val="none"/>
          <w:lang w:val="en-US" w:eastAsia="zh-CN"/>
        </w:rPr>
        <w:t>0.2661</w:t>
      </w:r>
      <w:r>
        <w:rPr>
          <w:color w:val="000000" w:themeColor="text1"/>
          <w:highlight w:val="none"/>
        </w:rPr>
        <w:t>km</w:t>
      </w:r>
      <w:r>
        <w:rPr>
          <w:color w:val="000000" w:themeColor="text1"/>
          <w:highlight w:val="none"/>
          <w:vertAlign w:val="superscript"/>
        </w:rPr>
        <w:t>2</w:t>
      </w:r>
      <w:r>
        <w:rPr>
          <w:color w:val="000000" w:themeColor="text1"/>
          <w:highlight w:val="none"/>
        </w:rPr>
        <w:t>。</w:t>
      </w:r>
    </w:p>
    <w:p>
      <w:pPr>
        <w:rPr>
          <w:color w:val="000000" w:themeColor="text1"/>
          <w:highlight w:val="none"/>
        </w:rPr>
      </w:pPr>
      <w:r>
        <w:rPr>
          <w:color w:val="000000" w:themeColor="text1"/>
          <w:highlight w:val="none"/>
        </w:rPr>
        <w:t>（3）野外调查内容：</w:t>
      </w:r>
      <w:r>
        <w:rPr>
          <w:color w:val="000000" w:themeColor="text1"/>
          <w:highlight w:val="none"/>
          <w:lang w:val="zh-CN"/>
        </w:rPr>
        <w:t>主要对区内交通、矿山建设情况、居民饮用水井、村庄、植被覆盖率、地形地貌、现状下地质环境条件及土地损毁情况等进行了调查，</w:t>
      </w:r>
      <w:r>
        <w:rPr>
          <w:color w:val="000000" w:themeColor="text1"/>
          <w:highlight w:val="none"/>
        </w:rPr>
        <w:t>基本查明了评估区内的地质环境和土地损毁问题。</w:t>
      </w:r>
    </w:p>
    <w:p>
      <w:pPr>
        <w:rPr>
          <w:color w:val="000000" w:themeColor="text1"/>
          <w:highlight w:val="none"/>
        </w:rPr>
      </w:pPr>
      <w:r>
        <w:rPr>
          <w:color w:val="000000" w:themeColor="text1"/>
          <w:highlight w:val="none"/>
        </w:rPr>
        <w:t>3、室内资料整理及综合分析</w:t>
      </w:r>
    </w:p>
    <w:p>
      <w:pPr>
        <w:rPr>
          <w:color w:val="000000" w:themeColor="text1"/>
          <w:highlight w:val="none"/>
        </w:rPr>
      </w:pPr>
      <w:r>
        <w:rPr>
          <w:color w:val="000000" w:themeColor="text1"/>
          <w:highlight w:val="none"/>
        </w:rPr>
        <w:t>在综合分析研究已有资料和实际调查资料的基础上，按照《矿山地质环境保护与土地复垦方案编制指南》的工作程序，进行矿山地质环境影响及土地复垦现状评估、预测评估，编制相关图件，进行防治分区和复垦责任范围划分，确定恢复治理、土地复垦目标与治理工程，进行治理经费估算，最终提交《广元市</w:t>
      </w:r>
      <w:r>
        <w:rPr>
          <w:rFonts w:hint="eastAsia"/>
          <w:color w:val="000000" w:themeColor="text1"/>
          <w:highlight w:val="none"/>
          <w:lang w:eastAsia="zh-CN"/>
        </w:rPr>
        <w:t>旺苍县华隆建材有限公司三江镇战旗石灰石矿</w:t>
      </w:r>
      <w:r>
        <w:rPr>
          <w:color w:val="000000" w:themeColor="text1"/>
          <w:highlight w:val="none"/>
        </w:rPr>
        <w:t>矿山地质环境保护与土地复垦方案》报告书、估算书、附件及附图。</w:t>
      </w:r>
    </w:p>
    <w:p>
      <w:pPr>
        <w:pStyle w:val="5"/>
        <w:spacing w:before="82" w:after="82"/>
        <w:rPr>
          <w:color w:val="000000" w:themeColor="text1"/>
          <w:highlight w:val="none"/>
        </w:rPr>
      </w:pPr>
      <w:bookmarkStart w:id="32" w:name="_Toc317499451"/>
      <w:bookmarkStart w:id="33" w:name="_Toc317496140"/>
      <w:bookmarkStart w:id="34" w:name="_Toc22165"/>
      <w:bookmarkStart w:id="35" w:name="_Toc325634030"/>
      <w:bookmarkStart w:id="36" w:name="_Toc333940497"/>
      <w:bookmarkStart w:id="37" w:name="_Toc481328136"/>
      <w:bookmarkStart w:id="38" w:name="_Toc13982"/>
      <w:r>
        <w:rPr>
          <w:color w:val="000000" w:themeColor="text1"/>
          <w:highlight w:val="none"/>
        </w:rPr>
        <w:t>5.3现场调查工作量</w:t>
      </w:r>
      <w:bookmarkEnd w:id="32"/>
      <w:bookmarkEnd w:id="33"/>
      <w:bookmarkEnd w:id="34"/>
      <w:bookmarkEnd w:id="35"/>
      <w:bookmarkEnd w:id="36"/>
      <w:bookmarkEnd w:id="37"/>
      <w:bookmarkEnd w:id="38"/>
    </w:p>
    <w:p>
      <w:pPr>
        <w:rPr>
          <w:color w:val="000000" w:themeColor="text1"/>
          <w:highlight w:val="none"/>
          <w:lang w:val="zh-CN"/>
        </w:rPr>
      </w:pPr>
      <w:r>
        <w:rPr>
          <w:color w:val="000000" w:themeColor="text1"/>
          <w:highlight w:val="none"/>
          <w:lang w:val="zh-CN"/>
        </w:rPr>
        <w:t>本方案编制工作前期，资料收集较全面，地质环境现场调查工作基本按国家现行有关技术规范进行，工作精度符合现行技术规范要求，基本达到了预期工作目的。现场调查工作量见表0-1。</w:t>
      </w:r>
    </w:p>
    <w:p>
      <w:pPr>
        <w:pStyle w:val="67"/>
        <w:rPr>
          <w:color w:val="000000" w:themeColor="text1"/>
          <w:highlight w:val="none"/>
        </w:rPr>
      </w:pPr>
      <w:r>
        <w:rPr>
          <w:color w:val="000000" w:themeColor="text1"/>
          <w:highlight w:val="none"/>
        </w:rPr>
        <w:t>表0-1现场调查工作量一览表</w:t>
      </w:r>
    </w:p>
    <w:tbl>
      <w:tblPr>
        <w:tblStyle w:val="31"/>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691"/>
        <w:gridCol w:w="5893"/>
        <w:gridCol w:w="719"/>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Align w:val="center"/>
          </w:tcPr>
          <w:p>
            <w:pPr>
              <w:pStyle w:val="63"/>
              <w:rPr>
                <w:color w:val="000000" w:themeColor="text1"/>
                <w:highlight w:val="none"/>
              </w:rPr>
            </w:pPr>
            <w:r>
              <w:rPr>
                <w:rFonts w:hint="eastAsia"/>
                <w:color w:val="000000" w:themeColor="text1"/>
                <w:highlight w:val="none"/>
              </w:rPr>
              <w:t>工作项目</w:t>
            </w:r>
          </w:p>
        </w:tc>
        <w:tc>
          <w:tcPr>
            <w:tcW w:w="392" w:type="pct"/>
            <w:vAlign w:val="center"/>
          </w:tcPr>
          <w:p>
            <w:pPr>
              <w:pStyle w:val="63"/>
              <w:rPr>
                <w:color w:val="000000" w:themeColor="text1"/>
                <w:highlight w:val="none"/>
              </w:rPr>
            </w:pPr>
            <w:r>
              <w:rPr>
                <w:color w:val="000000" w:themeColor="text1"/>
                <w:highlight w:val="none"/>
              </w:rPr>
              <w:t>序号</w:t>
            </w:r>
          </w:p>
        </w:tc>
        <w:tc>
          <w:tcPr>
            <w:tcW w:w="3343" w:type="pct"/>
            <w:vAlign w:val="center"/>
          </w:tcPr>
          <w:p>
            <w:pPr>
              <w:pStyle w:val="63"/>
              <w:rPr>
                <w:color w:val="000000" w:themeColor="text1"/>
                <w:highlight w:val="none"/>
              </w:rPr>
            </w:pPr>
            <w:r>
              <w:rPr>
                <w:color w:val="000000" w:themeColor="text1"/>
                <w:highlight w:val="none"/>
              </w:rPr>
              <w:t>项目</w:t>
            </w:r>
          </w:p>
        </w:tc>
        <w:tc>
          <w:tcPr>
            <w:tcW w:w="408" w:type="pct"/>
            <w:vAlign w:val="center"/>
          </w:tcPr>
          <w:p>
            <w:pPr>
              <w:pStyle w:val="63"/>
              <w:rPr>
                <w:color w:val="000000" w:themeColor="text1"/>
                <w:highlight w:val="none"/>
              </w:rPr>
            </w:pPr>
            <w:r>
              <w:rPr>
                <w:color w:val="000000" w:themeColor="text1"/>
                <w:highlight w:val="none"/>
              </w:rPr>
              <w:t>单位</w:t>
            </w:r>
          </w:p>
        </w:tc>
        <w:tc>
          <w:tcPr>
            <w:tcW w:w="451" w:type="pct"/>
            <w:vAlign w:val="center"/>
          </w:tcPr>
          <w:p>
            <w:pPr>
              <w:pStyle w:val="63"/>
              <w:rPr>
                <w:color w:val="000000" w:themeColor="text1"/>
                <w:highlight w:val="none"/>
              </w:rPr>
            </w:pPr>
            <w:r>
              <w:rPr>
                <w:color w:val="000000" w:themeColor="text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pPr>
              <w:pStyle w:val="63"/>
              <w:rPr>
                <w:color w:val="000000" w:themeColor="text1"/>
                <w:highlight w:val="none"/>
              </w:rPr>
            </w:pPr>
            <w:r>
              <w:rPr>
                <w:rFonts w:hint="eastAsia"/>
                <w:color w:val="000000" w:themeColor="text1"/>
                <w:highlight w:val="none"/>
              </w:rPr>
              <w:t>资料收集</w:t>
            </w:r>
          </w:p>
        </w:tc>
        <w:tc>
          <w:tcPr>
            <w:tcW w:w="392" w:type="pct"/>
            <w:vAlign w:val="center"/>
          </w:tcPr>
          <w:p>
            <w:pPr>
              <w:pStyle w:val="63"/>
              <w:rPr>
                <w:color w:val="000000" w:themeColor="text1"/>
                <w:highlight w:val="none"/>
              </w:rPr>
            </w:pPr>
            <w:r>
              <w:rPr>
                <w:rFonts w:hint="eastAsia"/>
                <w:color w:val="000000" w:themeColor="text1"/>
                <w:highlight w:val="none"/>
              </w:rPr>
              <w:t>1</w:t>
            </w:r>
          </w:p>
        </w:tc>
        <w:tc>
          <w:tcPr>
            <w:tcW w:w="3343" w:type="pct"/>
            <w:vAlign w:val="center"/>
          </w:tcPr>
          <w:p>
            <w:pPr>
              <w:pStyle w:val="63"/>
              <w:rPr>
                <w:rFonts w:hint="eastAsia" w:eastAsia="宋体"/>
                <w:color w:val="000000" w:themeColor="text1"/>
                <w:highlight w:val="none"/>
                <w:lang w:eastAsia="zh-CN"/>
              </w:rPr>
            </w:pPr>
            <w:r>
              <w:rPr>
                <w:rFonts w:hint="eastAsia" w:eastAsia="宋体"/>
                <w:color w:val="000000" w:themeColor="text1"/>
                <w:highlight w:val="none"/>
                <w:lang w:eastAsia="zh-CN"/>
              </w:rPr>
              <w:t>《旺苍县三江镇战旗石灰石矿资源储量核实报告》，四川天梦星地质勘查技术有限公司</w:t>
            </w:r>
          </w:p>
        </w:tc>
        <w:tc>
          <w:tcPr>
            <w:tcW w:w="408" w:type="pct"/>
            <w:vAlign w:val="center"/>
          </w:tcPr>
          <w:p>
            <w:pPr>
              <w:pStyle w:val="83"/>
              <w:rPr>
                <w:color w:val="000000" w:themeColor="text1"/>
                <w:highlight w:val="none"/>
              </w:rPr>
            </w:pPr>
            <w:r>
              <w:rPr>
                <w:rFonts w:hint="eastAsia"/>
                <w:color w:val="000000" w:themeColor="text1"/>
                <w:highlight w:val="none"/>
              </w:rPr>
              <w:t>份</w:t>
            </w:r>
          </w:p>
        </w:tc>
        <w:tc>
          <w:tcPr>
            <w:tcW w:w="451" w:type="pct"/>
            <w:vAlign w:val="center"/>
          </w:tcPr>
          <w:p>
            <w:pPr>
              <w:pStyle w:val="8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rFonts w:hint="eastAsia"/>
                <w:color w:val="000000" w:themeColor="text1"/>
                <w:highlight w:val="none"/>
              </w:rPr>
              <w:t>2</w:t>
            </w:r>
          </w:p>
        </w:tc>
        <w:tc>
          <w:tcPr>
            <w:tcW w:w="3343" w:type="pct"/>
            <w:vAlign w:val="center"/>
          </w:tcPr>
          <w:p>
            <w:pPr>
              <w:pStyle w:val="63"/>
              <w:rPr>
                <w:color w:val="000000" w:themeColor="text1"/>
                <w:highlight w:val="none"/>
              </w:rPr>
            </w:pPr>
            <w:r>
              <w:rPr>
                <w:rFonts w:hint="eastAsia"/>
                <w:color w:val="000000" w:themeColor="text1"/>
                <w:highlight w:val="none"/>
              </w:rPr>
              <w:t>《旺苍县三江镇战旗石灰石矿矿产资源开发利用方案》</w:t>
            </w:r>
            <w:r>
              <w:rPr>
                <w:rFonts w:hint="eastAsia" w:eastAsia="宋体"/>
                <w:color w:val="000000" w:themeColor="text1"/>
                <w:highlight w:val="none"/>
                <w:lang w:eastAsia="zh-CN"/>
              </w:rPr>
              <w:t>四川天梦星地质勘查技术有限公司</w:t>
            </w:r>
          </w:p>
        </w:tc>
        <w:tc>
          <w:tcPr>
            <w:tcW w:w="408" w:type="pct"/>
            <w:vAlign w:val="center"/>
          </w:tcPr>
          <w:p>
            <w:pPr>
              <w:pStyle w:val="83"/>
              <w:rPr>
                <w:color w:val="000000" w:themeColor="text1"/>
                <w:highlight w:val="none"/>
              </w:rPr>
            </w:pPr>
            <w:r>
              <w:rPr>
                <w:rFonts w:hint="eastAsia"/>
                <w:color w:val="000000" w:themeColor="text1"/>
                <w:highlight w:val="none"/>
              </w:rPr>
              <w:t>份</w:t>
            </w:r>
          </w:p>
        </w:tc>
        <w:tc>
          <w:tcPr>
            <w:tcW w:w="451" w:type="pct"/>
            <w:vAlign w:val="center"/>
          </w:tcPr>
          <w:p>
            <w:pPr>
              <w:pStyle w:val="8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rFonts w:hint="eastAsia"/>
                <w:color w:val="000000" w:themeColor="text1"/>
                <w:highlight w:val="none"/>
              </w:rPr>
              <w:t>3</w:t>
            </w:r>
          </w:p>
        </w:tc>
        <w:tc>
          <w:tcPr>
            <w:tcW w:w="3343" w:type="pct"/>
            <w:vAlign w:val="center"/>
          </w:tcPr>
          <w:p>
            <w:pPr>
              <w:pStyle w:val="63"/>
              <w:rPr>
                <w:color w:val="000000" w:themeColor="text1"/>
                <w:highlight w:val="none"/>
              </w:rPr>
            </w:pPr>
            <w:r>
              <w:rPr>
                <w:rFonts w:hint="eastAsia"/>
                <w:color w:val="000000" w:themeColor="text1"/>
                <w:highlight w:val="none"/>
              </w:rPr>
              <w:t>矿山采矿权许可证（证号</w:t>
            </w:r>
            <w:r>
              <w:rPr>
                <w:rFonts w:hint="eastAsia"/>
                <w:color w:val="000000" w:themeColor="text1"/>
                <w:highlight w:val="none"/>
                <w:lang w:eastAsia="zh-CN"/>
              </w:rPr>
              <w:t>C5108002010127130086349</w:t>
            </w:r>
            <w:r>
              <w:rPr>
                <w:rFonts w:hint="eastAsia"/>
                <w:color w:val="000000" w:themeColor="text1"/>
                <w:highlight w:val="none"/>
              </w:rPr>
              <w:t>）</w:t>
            </w:r>
          </w:p>
        </w:tc>
        <w:tc>
          <w:tcPr>
            <w:tcW w:w="408" w:type="pct"/>
            <w:vAlign w:val="center"/>
          </w:tcPr>
          <w:p>
            <w:pPr>
              <w:pStyle w:val="83"/>
              <w:rPr>
                <w:color w:val="000000" w:themeColor="text1"/>
                <w:highlight w:val="none"/>
              </w:rPr>
            </w:pPr>
            <w:r>
              <w:rPr>
                <w:rFonts w:hint="eastAsia"/>
                <w:color w:val="000000" w:themeColor="text1"/>
                <w:highlight w:val="none"/>
              </w:rPr>
              <w:t>份</w:t>
            </w:r>
          </w:p>
        </w:tc>
        <w:tc>
          <w:tcPr>
            <w:tcW w:w="451" w:type="pct"/>
            <w:vAlign w:val="center"/>
          </w:tcPr>
          <w:p>
            <w:pPr>
              <w:pStyle w:val="8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rFonts w:hint="eastAsia"/>
                <w:color w:val="000000" w:themeColor="text1"/>
                <w:highlight w:val="none"/>
              </w:rPr>
              <w:t>4</w:t>
            </w:r>
          </w:p>
        </w:tc>
        <w:tc>
          <w:tcPr>
            <w:tcW w:w="3343" w:type="pct"/>
            <w:vAlign w:val="center"/>
          </w:tcPr>
          <w:p>
            <w:pPr>
              <w:pStyle w:val="84"/>
              <w:ind w:firstLine="0" w:firstLineChars="0"/>
              <w:rPr>
                <w:rFonts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highlight w:val="none"/>
              </w:rPr>
              <w:t>旺苍县</w:t>
            </w:r>
            <w:r>
              <w:rPr>
                <w:color w:val="000000" w:themeColor="text1"/>
                <w:highlight w:val="none"/>
              </w:rPr>
              <w:t>土地利用总体规划图</w:t>
            </w:r>
          </w:p>
        </w:tc>
        <w:tc>
          <w:tcPr>
            <w:tcW w:w="408" w:type="pct"/>
            <w:vAlign w:val="center"/>
          </w:tcPr>
          <w:p>
            <w:pPr>
              <w:pStyle w:val="83"/>
              <w:rPr>
                <w:color w:val="000000" w:themeColor="text1"/>
                <w:highlight w:val="none"/>
              </w:rPr>
            </w:pPr>
            <w:r>
              <w:rPr>
                <w:rFonts w:hint="eastAsia"/>
                <w:color w:val="000000" w:themeColor="text1"/>
                <w:highlight w:val="none"/>
              </w:rPr>
              <w:t>份</w:t>
            </w:r>
          </w:p>
        </w:tc>
        <w:tc>
          <w:tcPr>
            <w:tcW w:w="451" w:type="pct"/>
            <w:vAlign w:val="center"/>
          </w:tcPr>
          <w:p>
            <w:pPr>
              <w:pStyle w:val="8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5</w:t>
            </w:r>
          </w:p>
        </w:tc>
        <w:tc>
          <w:tcPr>
            <w:tcW w:w="3343" w:type="pct"/>
            <w:vAlign w:val="center"/>
          </w:tcPr>
          <w:p>
            <w:pPr>
              <w:pStyle w:val="84"/>
              <w:ind w:firstLine="0" w:firstLineChars="0"/>
              <w:rPr>
                <w:rFonts w:ascii="Times New Roman" w:hAnsi="Times New Roman" w:eastAsia="宋体" w:cs="Times New Roman"/>
                <w:color w:val="000000" w:themeColor="text1"/>
                <w:kern w:val="2"/>
                <w:sz w:val="21"/>
                <w:szCs w:val="21"/>
                <w:highlight w:val="none"/>
                <w:lang w:val="en-US" w:eastAsia="zh-CN" w:bidi="ar-SA"/>
              </w:rPr>
            </w:pPr>
            <w:r>
              <w:rPr>
                <w:rFonts w:hint="eastAsia"/>
                <w:color w:val="000000" w:themeColor="text1"/>
                <w:highlight w:val="none"/>
              </w:rPr>
              <w:t>旺苍县</w:t>
            </w:r>
            <w:r>
              <w:rPr>
                <w:color w:val="000000" w:themeColor="text1"/>
                <w:highlight w:val="none"/>
              </w:rPr>
              <w:t>土地利用现状图</w:t>
            </w:r>
          </w:p>
        </w:tc>
        <w:tc>
          <w:tcPr>
            <w:tcW w:w="408" w:type="pct"/>
            <w:vAlign w:val="center"/>
          </w:tcPr>
          <w:p>
            <w:pPr>
              <w:pStyle w:val="84"/>
              <w:rPr>
                <w:color w:val="000000" w:themeColor="text1"/>
                <w:highlight w:val="none"/>
              </w:rPr>
            </w:pPr>
            <w:r>
              <w:rPr>
                <w:color w:val="000000" w:themeColor="text1"/>
                <w:highlight w:val="none"/>
              </w:rPr>
              <w:t>份</w:t>
            </w:r>
          </w:p>
        </w:tc>
        <w:tc>
          <w:tcPr>
            <w:tcW w:w="451" w:type="pct"/>
            <w:vAlign w:val="center"/>
          </w:tcPr>
          <w:p>
            <w:pPr>
              <w:pStyle w:val="84"/>
              <w:rPr>
                <w:color w:val="000000" w:themeColor="text1"/>
                <w:highlight w:val="none"/>
              </w:rPr>
            </w:pPr>
            <w:r>
              <w:rPr>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restart"/>
            <w:vAlign w:val="center"/>
          </w:tcPr>
          <w:p>
            <w:pPr>
              <w:pStyle w:val="63"/>
              <w:rPr>
                <w:color w:val="000000" w:themeColor="text1"/>
                <w:highlight w:val="none"/>
              </w:rPr>
            </w:pPr>
            <w:r>
              <w:rPr>
                <w:rFonts w:hint="eastAsia"/>
                <w:color w:val="000000" w:themeColor="text1"/>
                <w:highlight w:val="none"/>
              </w:rPr>
              <w:t>野外调查</w:t>
            </w:r>
          </w:p>
        </w:tc>
        <w:tc>
          <w:tcPr>
            <w:tcW w:w="392" w:type="pct"/>
            <w:vAlign w:val="center"/>
          </w:tcPr>
          <w:p>
            <w:pPr>
              <w:pStyle w:val="63"/>
              <w:rPr>
                <w:color w:val="000000" w:themeColor="text1"/>
                <w:highlight w:val="none"/>
              </w:rPr>
            </w:pPr>
            <w:r>
              <w:rPr>
                <w:color w:val="000000" w:themeColor="text1"/>
                <w:highlight w:val="none"/>
              </w:rPr>
              <w:t>1</w:t>
            </w:r>
          </w:p>
        </w:tc>
        <w:tc>
          <w:tcPr>
            <w:tcW w:w="3343" w:type="pct"/>
            <w:vAlign w:val="center"/>
          </w:tcPr>
          <w:p>
            <w:pPr>
              <w:pStyle w:val="63"/>
              <w:rPr>
                <w:color w:val="000000" w:themeColor="text1"/>
                <w:highlight w:val="none"/>
              </w:rPr>
            </w:pPr>
            <w:r>
              <w:rPr>
                <w:color w:val="000000" w:themeColor="text1"/>
                <w:highlight w:val="none"/>
              </w:rPr>
              <w:t>调查面积</w:t>
            </w:r>
          </w:p>
        </w:tc>
        <w:tc>
          <w:tcPr>
            <w:tcW w:w="408" w:type="pct"/>
            <w:vAlign w:val="center"/>
          </w:tcPr>
          <w:p>
            <w:pPr>
              <w:pStyle w:val="63"/>
              <w:rPr>
                <w:color w:val="000000" w:themeColor="text1"/>
                <w:highlight w:val="none"/>
              </w:rPr>
            </w:pPr>
            <w:r>
              <w:rPr>
                <w:color w:val="000000" w:themeColor="text1"/>
                <w:highlight w:val="none"/>
              </w:rPr>
              <w:t>km</w:t>
            </w:r>
            <w:r>
              <w:rPr>
                <w:color w:val="000000" w:themeColor="text1"/>
                <w:highlight w:val="none"/>
                <w:vertAlign w:val="superscript"/>
              </w:rPr>
              <w:t>2</w:t>
            </w:r>
          </w:p>
        </w:tc>
        <w:tc>
          <w:tcPr>
            <w:tcW w:w="451"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0.2661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2</w:t>
            </w:r>
          </w:p>
        </w:tc>
        <w:tc>
          <w:tcPr>
            <w:tcW w:w="3343" w:type="pct"/>
            <w:vAlign w:val="center"/>
          </w:tcPr>
          <w:p>
            <w:pPr>
              <w:pStyle w:val="63"/>
              <w:rPr>
                <w:color w:val="000000" w:themeColor="text1"/>
                <w:highlight w:val="none"/>
              </w:rPr>
            </w:pPr>
            <w:r>
              <w:rPr>
                <w:color w:val="000000" w:themeColor="text1"/>
                <w:highlight w:val="none"/>
              </w:rPr>
              <w:t>调查线路</w:t>
            </w:r>
          </w:p>
        </w:tc>
        <w:tc>
          <w:tcPr>
            <w:tcW w:w="408" w:type="pct"/>
            <w:vAlign w:val="center"/>
          </w:tcPr>
          <w:p>
            <w:pPr>
              <w:pStyle w:val="63"/>
              <w:rPr>
                <w:color w:val="000000" w:themeColor="text1"/>
                <w:highlight w:val="none"/>
              </w:rPr>
            </w:pPr>
            <w:r>
              <w:rPr>
                <w:color w:val="000000" w:themeColor="text1"/>
                <w:highlight w:val="none"/>
              </w:rPr>
              <w:t>条</w:t>
            </w:r>
          </w:p>
        </w:tc>
        <w:tc>
          <w:tcPr>
            <w:tcW w:w="451" w:type="pct"/>
            <w:vAlign w:val="center"/>
          </w:tcPr>
          <w:p>
            <w:pPr>
              <w:pStyle w:val="63"/>
              <w:rPr>
                <w:color w:val="000000" w:themeColor="text1"/>
                <w:highlight w:val="none"/>
              </w:rPr>
            </w:pPr>
            <w:r>
              <w:rPr>
                <w:rFonts w:hint="eastAsia"/>
                <w:color w:val="000000" w:themeColor="text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3</w:t>
            </w:r>
          </w:p>
        </w:tc>
        <w:tc>
          <w:tcPr>
            <w:tcW w:w="3343" w:type="pct"/>
            <w:vAlign w:val="center"/>
          </w:tcPr>
          <w:p>
            <w:pPr>
              <w:pStyle w:val="63"/>
              <w:rPr>
                <w:color w:val="000000" w:themeColor="text1"/>
                <w:highlight w:val="none"/>
              </w:rPr>
            </w:pPr>
            <w:r>
              <w:rPr>
                <w:color w:val="000000" w:themeColor="text1"/>
                <w:highlight w:val="none"/>
              </w:rPr>
              <w:t>调查点</w:t>
            </w:r>
          </w:p>
        </w:tc>
        <w:tc>
          <w:tcPr>
            <w:tcW w:w="408" w:type="pct"/>
            <w:vAlign w:val="center"/>
          </w:tcPr>
          <w:p>
            <w:pPr>
              <w:pStyle w:val="63"/>
              <w:rPr>
                <w:color w:val="000000" w:themeColor="text1"/>
                <w:highlight w:val="none"/>
              </w:rPr>
            </w:pPr>
            <w:r>
              <w:rPr>
                <w:color w:val="000000" w:themeColor="text1"/>
                <w:highlight w:val="none"/>
              </w:rPr>
              <w:t>个</w:t>
            </w:r>
          </w:p>
        </w:tc>
        <w:tc>
          <w:tcPr>
            <w:tcW w:w="451" w:type="pct"/>
            <w:vAlign w:val="center"/>
          </w:tcPr>
          <w:p>
            <w:pPr>
              <w:pStyle w:val="63"/>
              <w:rPr>
                <w:color w:val="000000" w:themeColor="text1"/>
                <w:highlight w:val="none"/>
              </w:rPr>
            </w:pPr>
            <w:r>
              <w:rPr>
                <w:rFonts w:hint="eastAsia"/>
                <w:color w:val="000000" w:themeColor="text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4</w:t>
            </w:r>
          </w:p>
        </w:tc>
        <w:tc>
          <w:tcPr>
            <w:tcW w:w="3343" w:type="pct"/>
            <w:vAlign w:val="center"/>
          </w:tcPr>
          <w:p>
            <w:pPr>
              <w:pStyle w:val="63"/>
              <w:rPr>
                <w:color w:val="000000" w:themeColor="text1"/>
                <w:highlight w:val="none"/>
              </w:rPr>
            </w:pPr>
            <w:r>
              <w:rPr>
                <w:color w:val="000000" w:themeColor="text1"/>
                <w:highlight w:val="none"/>
              </w:rPr>
              <w:t>村庄</w:t>
            </w:r>
          </w:p>
        </w:tc>
        <w:tc>
          <w:tcPr>
            <w:tcW w:w="408" w:type="pct"/>
            <w:vAlign w:val="center"/>
          </w:tcPr>
          <w:p>
            <w:pPr>
              <w:pStyle w:val="63"/>
              <w:rPr>
                <w:color w:val="000000" w:themeColor="text1"/>
                <w:highlight w:val="none"/>
              </w:rPr>
            </w:pPr>
            <w:r>
              <w:rPr>
                <w:color w:val="000000" w:themeColor="text1"/>
                <w:highlight w:val="none"/>
              </w:rPr>
              <w:t>处</w:t>
            </w:r>
          </w:p>
        </w:tc>
        <w:tc>
          <w:tcPr>
            <w:tcW w:w="451"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5</w:t>
            </w:r>
          </w:p>
        </w:tc>
        <w:tc>
          <w:tcPr>
            <w:tcW w:w="3343" w:type="pct"/>
            <w:vAlign w:val="center"/>
          </w:tcPr>
          <w:p>
            <w:pPr>
              <w:pStyle w:val="63"/>
              <w:rPr>
                <w:color w:val="000000" w:themeColor="text1"/>
                <w:highlight w:val="none"/>
              </w:rPr>
            </w:pPr>
            <w:r>
              <w:rPr>
                <w:color w:val="000000" w:themeColor="text1"/>
                <w:highlight w:val="none"/>
              </w:rPr>
              <w:t>访问人数</w:t>
            </w:r>
          </w:p>
        </w:tc>
        <w:tc>
          <w:tcPr>
            <w:tcW w:w="408" w:type="pct"/>
            <w:vAlign w:val="center"/>
          </w:tcPr>
          <w:p>
            <w:pPr>
              <w:pStyle w:val="63"/>
              <w:rPr>
                <w:color w:val="000000" w:themeColor="text1"/>
                <w:highlight w:val="none"/>
              </w:rPr>
            </w:pPr>
            <w:r>
              <w:rPr>
                <w:color w:val="000000" w:themeColor="text1"/>
                <w:highlight w:val="none"/>
              </w:rPr>
              <w:t>人</w:t>
            </w:r>
          </w:p>
        </w:tc>
        <w:tc>
          <w:tcPr>
            <w:tcW w:w="451" w:type="pct"/>
            <w:vAlign w:val="center"/>
          </w:tcPr>
          <w:p>
            <w:pPr>
              <w:pStyle w:val="63"/>
              <w:rPr>
                <w:color w:val="000000" w:themeColor="text1"/>
                <w:highlight w:val="none"/>
              </w:rPr>
            </w:pPr>
            <w:r>
              <w:rPr>
                <w:rFonts w:hint="eastAsia"/>
                <w:color w:val="000000" w:themeColor="text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6</w:t>
            </w:r>
          </w:p>
        </w:tc>
        <w:tc>
          <w:tcPr>
            <w:tcW w:w="3343" w:type="pct"/>
            <w:vAlign w:val="center"/>
          </w:tcPr>
          <w:p>
            <w:pPr>
              <w:pStyle w:val="63"/>
              <w:rPr>
                <w:color w:val="000000" w:themeColor="text1"/>
                <w:highlight w:val="none"/>
              </w:rPr>
            </w:pPr>
            <w:r>
              <w:rPr>
                <w:color w:val="000000" w:themeColor="text1"/>
                <w:highlight w:val="none"/>
              </w:rPr>
              <w:t>地形地貌点</w:t>
            </w:r>
          </w:p>
        </w:tc>
        <w:tc>
          <w:tcPr>
            <w:tcW w:w="408" w:type="pct"/>
            <w:vAlign w:val="center"/>
          </w:tcPr>
          <w:p>
            <w:pPr>
              <w:pStyle w:val="63"/>
              <w:rPr>
                <w:color w:val="000000" w:themeColor="text1"/>
                <w:highlight w:val="none"/>
              </w:rPr>
            </w:pPr>
            <w:r>
              <w:rPr>
                <w:color w:val="000000" w:themeColor="text1"/>
                <w:highlight w:val="none"/>
              </w:rPr>
              <w:t>处</w:t>
            </w:r>
          </w:p>
        </w:tc>
        <w:tc>
          <w:tcPr>
            <w:tcW w:w="451" w:type="pct"/>
            <w:vAlign w:val="center"/>
          </w:tcPr>
          <w:p>
            <w:pPr>
              <w:pStyle w:val="63"/>
              <w:rPr>
                <w:color w:val="000000" w:themeColor="text1"/>
                <w:highlight w:val="none"/>
              </w:rPr>
            </w:pPr>
            <w:r>
              <w:rPr>
                <w:rFonts w:hint="eastAsia"/>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7</w:t>
            </w:r>
          </w:p>
        </w:tc>
        <w:tc>
          <w:tcPr>
            <w:tcW w:w="3343" w:type="pct"/>
            <w:vAlign w:val="center"/>
          </w:tcPr>
          <w:p>
            <w:pPr>
              <w:pStyle w:val="63"/>
              <w:rPr>
                <w:color w:val="000000" w:themeColor="text1"/>
                <w:highlight w:val="none"/>
              </w:rPr>
            </w:pPr>
            <w:r>
              <w:rPr>
                <w:color w:val="000000" w:themeColor="text1"/>
                <w:highlight w:val="none"/>
              </w:rPr>
              <w:t>拍摄相关照片</w:t>
            </w:r>
          </w:p>
        </w:tc>
        <w:tc>
          <w:tcPr>
            <w:tcW w:w="408" w:type="pct"/>
            <w:vAlign w:val="center"/>
          </w:tcPr>
          <w:p>
            <w:pPr>
              <w:pStyle w:val="63"/>
              <w:rPr>
                <w:color w:val="000000" w:themeColor="text1"/>
                <w:highlight w:val="none"/>
              </w:rPr>
            </w:pPr>
            <w:r>
              <w:rPr>
                <w:color w:val="000000" w:themeColor="text1"/>
                <w:highlight w:val="none"/>
              </w:rPr>
              <w:t>张</w:t>
            </w:r>
          </w:p>
        </w:tc>
        <w:tc>
          <w:tcPr>
            <w:tcW w:w="451" w:type="pct"/>
            <w:vAlign w:val="center"/>
          </w:tcPr>
          <w:p>
            <w:pPr>
              <w:pStyle w:val="63"/>
              <w:rPr>
                <w:color w:val="000000" w:themeColor="text1"/>
                <w:highlight w:val="none"/>
              </w:rPr>
            </w:pPr>
            <w:r>
              <w:rPr>
                <w:rFonts w:hint="eastAsia"/>
                <w:color w:val="000000" w:themeColor="text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 w:type="pct"/>
            <w:vMerge w:val="continue"/>
            <w:vAlign w:val="center"/>
          </w:tcPr>
          <w:p>
            <w:pPr>
              <w:pStyle w:val="63"/>
              <w:rPr>
                <w:color w:val="000000" w:themeColor="text1"/>
                <w:highlight w:val="none"/>
              </w:rPr>
            </w:pPr>
          </w:p>
        </w:tc>
        <w:tc>
          <w:tcPr>
            <w:tcW w:w="392" w:type="pct"/>
            <w:vAlign w:val="center"/>
          </w:tcPr>
          <w:p>
            <w:pPr>
              <w:pStyle w:val="63"/>
              <w:rPr>
                <w:color w:val="000000" w:themeColor="text1"/>
                <w:highlight w:val="none"/>
              </w:rPr>
            </w:pPr>
            <w:r>
              <w:rPr>
                <w:color w:val="000000" w:themeColor="text1"/>
                <w:highlight w:val="none"/>
              </w:rPr>
              <w:t>8</w:t>
            </w:r>
          </w:p>
        </w:tc>
        <w:tc>
          <w:tcPr>
            <w:tcW w:w="3343" w:type="pct"/>
            <w:vAlign w:val="center"/>
          </w:tcPr>
          <w:p>
            <w:pPr>
              <w:pStyle w:val="63"/>
              <w:rPr>
                <w:color w:val="000000" w:themeColor="text1"/>
                <w:highlight w:val="none"/>
              </w:rPr>
            </w:pPr>
            <w:r>
              <w:rPr>
                <w:color w:val="000000" w:themeColor="text1"/>
                <w:highlight w:val="none"/>
              </w:rPr>
              <w:t>调查持续时间</w:t>
            </w:r>
          </w:p>
        </w:tc>
        <w:tc>
          <w:tcPr>
            <w:tcW w:w="408" w:type="pct"/>
            <w:vAlign w:val="center"/>
          </w:tcPr>
          <w:p>
            <w:pPr>
              <w:pStyle w:val="63"/>
              <w:rPr>
                <w:color w:val="000000" w:themeColor="text1"/>
                <w:highlight w:val="none"/>
              </w:rPr>
            </w:pPr>
            <w:r>
              <w:rPr>
                <w:color w:val="000000" w:themeColor="text1"/>
                <w:highlight w:val="none"/>
              </w:rPr>
              <w:t>天</w:t>
            </w:r>
          </w:p>
        </w:tc>
        <w:tc>
          <w:tcPr>
            <w:tcW w:w="451" w:type="pct"/>
            <w:vAlign w:val="center"/>
          </w:tcPr>
          <w:p>
            <w:pPr>
              <w:pStyle w:val="63"/>
              <w:rPr>
                <w:color w:val="000000" w:themeColor="text1"/>
                <w:highlight w:val="none"/>
              </w:rPr>
            </w:pPr>
            <w:r>
              <w:rPr>
                <w:rFonts w:hint="eastAsia"/>
                <w:color w:val="000000" w:themeColor="text1"/>
                <w:highlight w:val="none"/>
              </w:rPr>
              <w:t>2</w:t>
            </w:r>
          </w:p>
        </w:tc>
      </w:tr>
    </w:tbl>
    <w:p>
      <w:pPr>
        <w:pStyle w:val="3"/>
        <w:rPr>
          <w:color w:val="000000" w:themeColor="text1"/>
          <w:highlight w:val="none"/>
        </w:rPr>
        <w:sectPr>
          <w:headerReference r:id="rId10" w:type="default"/>
          <w:footerReference r:id="rId11" w:type="default"/>
          <w:pgSz w:w="11905" w:h="16838"/>
          <w:pgMar w:top="1440" w:right="1803" w:bottom="1440" w:left="1803" w:header="624" w:footer="624" w:gutter="0"/>
          <w:pgNumType w:start="1"/>
          <w:cols w:space="0" w:num="1"/>
          <w:docGrid w:type="linesAndChars" w:linePitch="331" w:charSpace="0"/>
        </w:sectPr>
      </w:pPr>
      <w:bookmarkStart w:id="39" w:name="_Toc22224"/>
    </w:p>
    <w:p>
      <w:pPr>
        <w:pStyle w:val="3"/>
        <w:rPr>
          <w:color w:val="000000" w:themeColor="text1"/>
          <w:highlight w:val="none"/>
        </w:rPr>
      </w:pPr>
      <w:bookmarkStart w:id="40" w:name="_Toc8383"/>
      <w:r>
        <w:rPr>
          <w:color w:val="000000" w:themeColor="text1"/>
          <w:highlight w:val="none"/>
        </w:rPr>
        <w:t>第一章矿山基本情况</w:t>
      </w:r>
      <w:bookmarkEnd w:id="39"/>
      <w:bookmarkEnd w:id="40"/>
    </w:p>
    <w:p>
      <w:pPr>
        <w:pStyle w:val="4"/>
        <w:spacing w:before="82" w:after="82"/>
        <w:rPr>
          <w:color w:val="000000" w:themeColor="text1"/>
          <w:highlight w:val="none"/>
        </w:rPr>
      </w:pPr>
      <w:bookmarkStart w:id="41" w:name="_Toc313"/>
      <w:bookmarkStart w:id="42" w:name="_Toc16816"/>
      <w:r>
        <w:rPr>
          <w:color w:val="000000" w:themeColor="text1"/>
          <w:highlight w:val="none"/>
        </w:rPr>
        <w:t>1.1矿山简介</w:t>
      </w:r>
      <w:bookmarkEnd w:id="41"/>
      <w:bookmarkEnd w:id="42"/>
    </w:p>
    <w:p>
      <w:pPr>
        <w:rPr>
          <w:color w:val="000000" w:themeColor="text1"/>
          <w:highlight w:val="none"/>
        </w:rPr>
      </w:pPr>
      <w:r>
        <w:rPr>
          <w:rFonts w:hint="eastAsia"/>
          <w:color w:val="000000" w:themeColor="text1"/>
          <w:highlight w:val="none"/>
        </w:rPr>
        <w:t>矿区位于旺苍县城75°方向，直距约30.7km的旺苍县三江镇战旗村境内，矿区中心点地理坐标（2000国家大地坐标系）：东经106°36′13.854″；北纬32°17′26.415″。矿山有约4.5km简易公路与G542（广元—万州公路）相接，沿G542向西至旺苍县城约38km，向东可至南江、巴中等地，交通较为方便（见交通位置图）。</w:t>
      </w:r>
    </w:p>
    <w:p>
      <w:pPr>
        <w:pStyle w:val="67"/>
        <w:rPr>
          <w:color w:val="000000" w:themeColor="text1"/>
          <w:highlight w:val="none"/>
        </w:rPr>
      </w:pPr>
      <w:r>
        <w:rPr>
          <w:color w:val="000000" w:themeColor="text1"/>
          <w:kern w:val="0"/>
          <w:highlight w:val="none"/>
        </w:rPr>
        <w:pict>
          <v:shape id="AutoShape 9" o:spid="_x0000_s1026" o:spt="61" type="#_x0000_t61" style="position:absolute;left:0pt;margin-left:250.65pt;margin-top:17.3pt;height:41.05pt;width:63pt;z-index:251659264;mso-width-relative:page;mso-height-relative:page;" fillcolor="#FFFFFF" filled="t" stroked="t" coordsize="21600,21600" adj="34183,62643">
            <v:path/>
            <v:fill on="t" color2="#FFFFFF" focussize="0,0"/>
            <v:stroke weight="0.5pt" color="#000000" joinstyle="miter"/>
            <v:imagedata o:title=""/>
            <o:lock v:ext="edit" aspectratio="f"/>
            <v:textbox>
              <w:txbxContent>
                <w:p>
                  <w:pPr>
                    <w:pStyle w:val="63"/>
                    <w:rPr>
                      <w:rFonts w:hint="eastAsia" w:eastAsia="宋体"/>
                      <w:sz w:val="18"/>
                      <w:szCs w:val="18"/>
                      <w:lang w:eastAsia="zh-CN"/>
                    </w:rPr>
                  </w:pPr>
                  <w:r>
                    <w:rPr>
                      <w:rFonts w:hint="eastAsia"/>
                      <w:sz w:val="18"/>
                      <w:szCs w:val="18"/>
                      <w:lang w:eastAsia="zh-CN"/>
                    </w:rPr>
                    <w:t>三江镇战旗石灰石矿</w:t>
                  </w:r>
                </w:p>
              </w:txbxContent>
            </v:textbox>
          </v:shape>
        </w:pict>
      </w:r>
      <w:r>
        <w:rPr>
          <w:rFonts w:hint="eastAsia" w:ascii="宋体" w:hAnsi="宋体" w:eastAsia="宋体" w:cs="宋体"/>
          <w:b/>
          <w:sz w:val="24"/>
        </w:rPr>
        <w:drawing>
          <wp:inline distT="0" distB="0" distL="114300" distR="114300">
            <wp:extent cx="5204460" cy="3841750"/>
            <wp:effectExtent l="0" t="0" r="15240" b="6350"/>
            <wp:docPr id="16"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1"/>
                    <pic:cNvPicPr>
                      <a:picLocks noChangeAspect="1"/>
                    </pic:cNvPicPr>
                  </pic:nvPicPr>
                  <pic:blipFill>
                    <a:blip r:embed="rId18"/>
                    <a:stretch>
                      <a:fillRect/>
                    </a:stretch>
                  </pic:blipFill>
                  <pic:spPr>
                    <a:xfrm>
                      <a:off x="0" y="0"/>
                      <a:ext cx="5204460" cy="3841750"/>
                    </a:xfrm>
                    <a:prstGeom prst="rect">
                      <a:avLst/>
                    </a:prstGeom>
                    <a:noFill/>
                    <a:ln>
                      <a:noFill/>
                    </a:ln>
                  </pic:spPr>
                </pic:pic>
              </a:graphicData>
            </a:graphic>
          </wp:inline>
        </w:drawing>
      </w:r>
    </w:p>
    <w:p>
      <w:pPr>
        <w:pStyle w:val="67"/>
        <w:rPr>
          <w:bCs/>
          <w:color w:val="000000" w:themeColor="text1"/>
          <w:sz w:val="28"/>
          <w:szCs w:val="32"/>
          <w:highlight w:val="none"/>
        </w:rPr>
      </w:pPr>
      <w:r>
        <w:rPr>
          <w:color w:val="000000" w:themeColor="text1"/>
          <w:highlight w:val="none"/>
        </w:rPr>
        <w:t>图1-1矿山交通位置图</w:t>
      </w:r>
      <w:bookmarkStart w:id="43" w:name="_Toc28847"/>
    </w:p>
    <w:p>
      <w:pPr>
        <w:pStyle w:val="4"/>
        <w:spacing w:before="82" w:after="82"/>
        <w:rPr>
          <w:color w:val="000000" w:themeColor="text1"/>
          <w:highlight w:val="none"/>
        </w:rPr>
      </w:pPr>
      <w:bookmarkStart w:id="44" w:name="_Toc316"/>
      <w:r>
        <w:rPr>
          <w:color w:val="000000" w:themeColor="text1"/>
          <w:highlight w:val="none"/>
        </w:rPr>
        <w:t>1.2矿山范围及拐点坐标</w:t>
      </w:r>
      <w:bookmarkEnd w:id="43"/>
      <w:bookmarkEnd w:id="44"/>
    </w:p>
    <w:p>
      <w:pPr>
        <w:rPr>
          <w:rFonts w:hint="eastAsia"/>
          <w:color w:val="000000" w:themeColor="text1"/>
          <w:highlight w:val="none"/>
        </w:rPr>
      </w:pPr>
      <w:r>
        <w:rPr>
          <w:rFonts w:hint="eastAsia"/>
          <w:color w:val="000000" w:themeColor="text1"/>
          <w:highlight w:val="none"/>
        </w:rPr>
        <w:t>1、原采矿权设置情况</w:t>
      </w:r>
    </w:p>
    <w:p>
      <w:pPr>
        <w:rPr>
          <w:color w:val="000000" w:themeColor="text1"/>
          <w:highlight w:val="none"/>
        </w:rPr>
      </w:pPr>
      <w:r>
        <w:rPr>
          <w:rFonts w:hint="eastAsia"/>
          <w:color w:val="000000" w:themeColor="text1"/>
          <w:highlight w:val="none"/>
        </w:rPr>
        <w:t>旺苍县三江镇战旗石灰石矿于2008年2月首次取得由广元市国土资源局颁发的采矿许可证（证号：C5108002010127130086349）。最近一次延续是2018年3月，广元市国土资源局为其换发了采矿许可证，证号：C5108002010127130086349，经济类型：有限责任公司；开采矿种：水泥用石灰岩；开采方式：露天开采；生产规模：30万吨/年；开采深度：+1030～+930m；矿区面积：0.0796km</w:t>
      </w:r>
      <w:r>
        <w:rPr>
          <w:rFonts w:hint="eastAsia"/>
          <w:color w:val="000000" w:themeColor="text1"/>
          <w:highlight w:val="none"/>
          <w:vertAlign w:val="superscript"/>
        </w:rPr>
        <w:t>2</w:t>
      </w:r>
      <w:r>
        <w:rPr>
          <w:rFonts w:hint="eastAsia"/>
          <w:color w:val="000000" w:themeColor="text1"/>
          <w:highlight w:val="none"/>
        </w:rPr>
        <w:t>，由1～6号拐点圈闭；有效期限：自2017年10月1日至2024年11月1日；采矿权设置情况见下表：</w:t>
      </w:r>
    </w:p>
    <w:p>
      <w:pPr>
        <w:pStyle w:val="67"/>
        <w:rPr>
          <w:rFonts w:hint="eastAsia" w:eastAsia="宋体"/>
          <w:color w:val="000000" w:themeColor="text1"/>
          <w:highlight w:val="none"/>
          <w:lang w:eastAsia="zh-CN"/>
        </w:rPr>
      </w:pPr>
      <w:r>
        <w:rPr>
          <w:color w:val="000000" w:themeColor="text1"/>
          <w:highlight w:val="none"/>
        </w:rPr>
        <w:t>表1-1</w:t>
      </w:r>
      <w:r>
        <w:rPr>
          <w:rFonts w:hint="eastAsia"/>
          <w:color w:val="000000" w:themeColor="text1"/>
          <w:highlight w:val="none"/>
        </w:rPr>
        <w:t xml:space="preserve">  旺苍县</w:t>
      </w:r>
      <w:r>
        <w:rPr>
          <w:rFonts w:hint="eastAsia"/>
          <w:color w:val="000000" w:themeColor="text1"/>
          <w:highlight w:val="none"/>
          <w:lang w:eastAsia="zh-CN"/>
        </w:rPr>
        <w:t>三江镇战旗石灰石矿</w:t>
      </w:r>
      <w:r>
        <w:rPr>
          <w:rFonts w:hint="eastAsia"/>
          <w:color w:val="000000" w:themeColor="text1"/>
          <w:highlight w:val="none"/>
        </w:rPr>
        <w:t>矿区范围及拐点坐标</w:t>
      </w:r>
      <w:r>
        <w:rPr>
          <w:rFonts w:hint="eastAsia"/>
          <w:color w:val="000000" w:themeColor="text1"/>
          <w:highlight w:val="none"/>
          <w:lang w:eastAsia="zh-CN"/>
        </w:rPr>
        <w:t>（</w:t>
      </w:r>
      <w:r>
        <w:rPr>
          <w:rFonts w:hint="eastAsia"/>
          <w:color w:val="000000" w:themeColor="text1"/>
          <w:highlight w:val="none"/>
        </w:rPr>
        <w:t>2000国家大地坐标系</w:t>
      </w:r>
      <w:r>
        <w:rPr>
          <w:rFonts w:hint="eastAsia"/>
          <w:color w:val="000000" w:themeColor="text1"/>
          <w:highlight w:val="none"/>
          <w:lang w:eastAsia="zh-CN"/>
        </w:rPr>
        <w:t>）</w:t>
      </w:r>
    </w:p>
    <w:tbl>
      <w:tblPr>
        <w:tblStyle w:val="31"/>
        <w:tblW w:w="8867" w:type="dxa"/>
        <w:jc w:val="center"/>
        <w:tblLayout w:type="fixed"/>
        <w:tblCellMar>
          <w:top w:w="0" w:type="dxa"/>
          <w:left w:w="108" w:type="dxa"/>
          <w:bottom w:w="0" w:type="dxa"/>
          <w:right w:w="108" w:type="dxa"/>
        </w:tblCellMar>
      </w:tblPr>
      <w:tblGrid>
        <w:gridCol w:w="1562"/>
        <w:gridCol w:w="1415"/>
        <w:gridCol w:w="1418"/>
        <w:gridCol w:w="1236"/>
        <w:gridCol w:w="1271"/>
        <w:gridCol w:w="1965"/>
      </w:tblGrid>
      <w:tr>
        <w:tblPrEx>
          <w:tblCellMar>
            <w:top w:w="0" w:type="dxa"/>
            <w:left w:w="108" w:type="dxa"/>
            <w:bottom w:w="0" w:type="dxa"/>
            <w:right w:w="108" w:type="dxa"/>
          </w:tblCellMar>
        </w:tblPrEx>
        <w:trPr>
          <w:trHeight w:val="454" w:hRule="atLeast"/>
          <w:jc w:val="center"/>
        </w:trPr>
        <w:tc>
          <w:tcPr>
            <w:tcW w:w="1562" w:type="dxa"/>
            <w:tcBorders>
              <w:top w:val="single" w:color="000000" w:sz="8" w:space="0"/>
              <w:left w:val="single" w:color="000000" w:sz="8" w:space="0"/>
              <w:bottom w:val="single" w:color="000000" w:sz="8" w:space="0"/>
              <w:right w:val="single" w:color="000000" w:sz="8" w:space="0"/>
            </w:tcBorders>
            <w:noWrap w:val="0"/>
            <w:vAlign w:val="center"/>
          </w:tcPr>
          <w:p>
            <w:pPr>
              <w:pStyle w:val="63"/>
              <w:rPr>
                <w:color w:val="000000" w:themeColor="text1"/>
                <w:highlight w:val="none"/>
              </w:rPr>
            </w:pPr>
            <w:bookmarkStart w:id="45" w:name="_Toc26415"/>
            <w:r>
              <w:rPr>
                <w:color w:val="000000" w:themeColor="text1"/>
                <w:highlight w:val="none"/>
              </w:rPr>
              <w:t>采矿权人</w:t>
            </w:r>
          </w:p>
        </w:tc>
        <w:tc>
          <w:tcPr>
            <w:tcW w:w="4069" w:type="dxa"/>
            <w:gridSpan w:val="3"/>
            <w:tcBorders>
              <w:top w:val="single" w:color="000000" w:sz="8" w:space="0"/>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旺苍县华隆建材有限公司</w:t>
            </w:r>
          </w:p>
        </w:tc>
        <w:tc>
          <w:tcPr>
            <w:tcW w:w="1271" w:type="dxa"/>
            <w:tcBorders>
              <w:top w:val="single" w:color="000000" w:sz="8" w:space="0"/>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经济类型</w:t>
            </w:r>
          </w:p>
        </w:tc>
        <w:tc>
          <w:tcPr>
            <w:tcW w:w="1965" w:type="dxa"/>
            <w:tcBorders>
              <w:top w:val="single" w:color="000000" w:sz="8" w:space="0"/>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有限责任公司</w:t>
            </w:r>
          </w:p>
        </w:tc>
      </w:tr>
      <w:tr>
        <w:tblPrEx>
          <w:tblCellMar>
            <w:top w:w="0" w:type="dxa"/>
            <w:left w:w="108" w:type="dxa"/>
            <w:bottom w:w="0" w:type="dxa"/>
            <w:right w:w="108" w:type="dxa"/>
          </w:tblCellMar>
        </w:tblPrEx>
        <w:trPr>
          <w:trHeight w:val="454" w:hRule="atLeast"/>
          <w:jc w:val="center"/>
        </w:trPr>
        <w:tc>
          <w:tcPr>
            <w:tcW w:w="1562" w:type="dxa"/>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矿山名称</w:t>
            </w:r>
          </w:p>
        </w:tc>
        <w:tc>
          <w:tcPr>
            <w:tcW w:w="4069" w:type="dxa"/>
            <w:gridSpan w:val="3"/>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旺苍县三江镇战旗石灰石矿</w:t>
            </w:r>
          </w:p>
        </w:tc>
        <w:tc>
          <w:tcPr>
            <w:tcW w:w="1271"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开采矿种</w:t>
            </w:r>
          </w:p>
        </w:tc>
        <w:tc>
          <w:tcPr>
            <w:tcW w:w="1965"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水泥用石灰岩</w:t>
            </w:r>
          </w:p>
        </w:tc>
      </w:tr>
      <w:tr>
        <w:tblPrEx>
          <w:tblCellMar>
            <w:top w:w="0" w:type="dxa"/>
            <w:left w:w="108" w:type="dxa"/>
            <w:bottom w:w="0" w:type="dxa"/>
            <w:right w:w="108" w:type="dxa"/>
          </w:tblCellMar>
        </w:tblPrEx>
        <w:trPr>
          <w:trHeight w:val="454" w:hRule="atLeast"/>
          <w:jc w:val="center"/>
        </w:trPr>
        <w:tc>
          <w:tcPr>
            <w:tcW w:w="1562" w:type="dxa"/>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采矿证号</w:t>
            </w:r>
          </w:p>
        </w:tc>
        <w:tc>
          <w:tcPr>
            <w:tcW w:w="4069" w:type="dxa"/>
            <w:gridSpan w:val="3"/>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C5108002010127130086349</w:t>
            </w:r>
          </w:p>
        </w:tc>
        <w:tc>
          <w:tcPr>
            <w:tcW w:w="1271"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开采方式</w:t>
            </w:r>
          </w:p>
        </w:tc>
        <w:tc>
          <w:tcPr>
            <w:tcW w:w="1965"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露天开采</w:t>
            </w:r>
          </w:p>
        </w:tc>
      </w:tr>
      <w:tr>
        <w:tblPrEx>
          <w:tblCellMar>
            <w:top w:w="0" w:type="dxa"/>
            <w:left w:w="108" w:type="dxa"/>
            <w:bottom w:w="0" w:type="dxa"/>
            <w:right w:w="108" w:type="dxa"/>
          </w:tblCellMar>
        </w:tblPrEx>
        <w:trPr>
          <w:trHeight w:val="454" w:hRule="atLeast"/>
          <w:jc w:val="center"/>
        </w:trPr>
        <w:tc>
          <w:tcPr>
            <w:tcW w:w="1562" w:type="dxa"/>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生产规模</w:t>
            </w:r>
          </w:p>
        </w:tc>
        <w:tc>
          <w:tcPr>
            <w:tcW w:w="1415" w:type="dxa"/>
            <w:tcBorders>
              <w:top w:val="nil"/>
              <w:left w:val="nil"/>
              <w:bottom w:val="single" w:color="000000" w:sz="8" w:space="0"/>
              <w:right w:val="single" w:color="auto" w:sz="4" w:space="0"/>
            </w:tcBorders>
            <w:noWrap w:val="0"/>
            <w:vAlign w:val="center"/>
          </w:tcPr>
          <w:p>
            <w:pPr>
              <w:pStyle w:val="63"/>
              <w:rPr>
                <w:color w:val="000000" w:themeColor="text1"/>
                <w:highlight w:val="none"/>
              </w:rPr>
            </w:pPr>
            <w:r>
              <w:rPr>
                <w:color w:val="000000" w:themeColor="text1"/>
                <w:highlight w:val="none"/>
              </w:rPr>
              <w:t>30万吨/年</w:t>
            </w:r>
          </w:p>
        </w:tc>
        <w:tc>
          <w:tcPr>
            <w:tcW w:w="1418" w:type="dxa"/>
            <w:tcBorders>
              <w:top w:val="nil"/>
              <w:left w:val="nil"/>
              <w:bottom w:val="single" w:color="000000" w:sz="8" w:space="0"/>
              <w:right w:val="single" w:color="auto" w:sz="4" w:space="0"/>
            </w:tcBorders>
            <w:noWrap w:val="0"/>
            <w:vAlign w:val="center"/>
          </w:tcPr>
          <w:p>
            <w:pPr>
              <w:pStyle w:val="63"/>
              <w:rPr>
                <w:color w:val="000000" w:themeColor="text1"/>
                <w:highlight w:val="none"/>
              </w:rPr>
            </w:pPr>
            <w:r>
              <w:rPr>
                <w:color w:val="000000" w:themeColor="text1"/>
                <w:highlight w:val="none"/>
              </w:rPr>
              <w:t>矿区面积</w:t>
            </w:r>
          </w:p>
        </w:tc>
        <w:tc>
          <w:tcPr>
            <w:tcW w:w="1236"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0.0796km</w:t>
            </w:r>
            <w:r>
              <w:rPr>
                <w:color w:val="000000" w:themeColor="text1"/>
                <w:highlight w:val="none"/>
                <w:vertAlign w:val="superscript"/>
              </w:rPr>
              <w:t>2</w:t>
            </w:r>
          </w:p>
        </w:tc>
        <w:tc>
          <w:tcPr>
            <w:tcW w:w="1271"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发证机构</w:t>
            </w:r>
          </w:p>
        </w:tc>
        <w:tc>
          <w:tcPr>
            <w:tcW w:w="1965"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广元市国土资源局</w:t>
            </w:r>
          </w:p>
        </w:tc>
      </w:tr>
      <w:tr>
        <w:tblPrEx>
          <w:tblCellMar>
            <w:top w:w="0" w:type="dxa"/>
            <w:left w:w="108" w:type="dxa"/>
            <w:bottom w:w="0" w:type="dxa"/>
            <w:right w:w="108" w:type="dxa"/>
          </w:tblCellMar>
        </w:tblPrEx>
        <w:trPr>
          <w:trHeight w:val="454" w:hRule="atLeast"/>
          <w:jc w:val="center"/>
        </w:trPr>
        <w:tc>
          <w:tcPr>
            <w:tcW w:w="1562" w:type="dxa"/>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采矿证有效期</w:t>
            </w:r>
          </w:p>
        </w:tc>
        <w:tc>
          <w:tcPr>
            <w:tcW w:w="2833" w:type="dxa"/>
            <w:gridSpan w:val="2"/>
            <w:tcBorders>
              <w:top w:val="nil"/>
              <w:left w:val="nil"/>
              <w:bottom w:val="single" w:color="000000" w:sz="8" w:space="0"/>
              <w:right w:val="single" w:color="auto" w:sz="4" w:space="0"/>
            </w:tcBorders>
            <w:noWrap w:val="0"/>
            <w:vAlign w:val="center"/>
          </w:tcPr>
          <w:p>
            <w:pPr>
              <w:pStyle w:val="63"/>
              <w:rPr>
                <w:color w:val="000000" w:themeColor="text1"/>
                <w:highlight w:val="none"/>
              </w:rPr>
            </w:pPr>
            <w:r>
              <w:rPr>
                <w:color w:val="000000" w:themeColor="text1"/>
                <w:highlight w:val="none"/>
              </w:rPr>
              <w:t>2017年10月1日至</w:t>
            </w:r>
          </w:p>
          <w:p>
            <w:pPr>
              <w:pStyle w:val="63"/>
              <w:rPr>
                <w:color w:val="000000" w:themeColor="text1"/>
                <w:highlight w:val="none"/>
              </w:rPr>
            </w:pPr>
            <w:r>
              <w:rPr>
                <w:color w:val="000000" w:themeColor="text1"/>
                <w:highlight w:val="none"/>
              </w:rPr>
              <w:t>2024年11月1日</w:t>
            </w:r>
          </w:p>
        </w:tc>
        <w:tc>
          <w:tcPr>
            <w:tcW w:w="1236" w:type="dxa"/>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开采深度</w:t>
            </w:r>
          </w:p>
        </w:tc>
        <w:tc>
          <w:tcPr>
            <w:tcW w:w="3236" w:type="dxa"/>
            <w:gridSpan w:val="2"/>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+1030m至+930m</w:t>
            </w:r>
          </w:p>
        </w:tc>
      </w:tr>
      <w:tr>
        <w:tblPrEx>
          <w:tblCellMar>
            <w:top w:w="0" w:type="dxa"/>
            <w:left w:w="108" w:type="dxa"/>
            <w:bottom w:w="0" w:type="dxa"/>
            <w:right w:w="108" w:type="dxa"/>
          </w:tblCellMar>
        </w:tblPrEx>
        <w:trPr>
          <w:trHeight w:val="454" w:hRule="atLeast"/>
          <w:jc w:val="center"/>
        </w:trPr>
        <w:tc>
          <w:tcPr>
            <w:tcW w:w="1562" w:type="dxa"/>
            <w:vMerge w:val="restart"/>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拐点号</w:t>
            </w:r>
          </w:p>
        </w:tc>
        <w:tc>
          <w:tcPr>
            <w:tcW w:w="2833" w:type="dxa"/>
            <w:gridSpan w:val="2"/>
            <w:tcBorders>
              <w:top w:val="nil"/>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1980西安坐标系</w:t>
            </w:r>
          </w:p>
        </w:tc>
        <w:tc>
          <w:tcPr>
            <w:tcW w:w="1236" w:type="dxa"/>
            <w:vMerge w:val="restart"/>
            <w:tcBorders>
              <w:top w:val="nil"/>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拐点号</w:t>
            </w:r>
          </w:p>
        </w:tc>
        <w:tc>
          <w:tcPr>
            <w:tcW w:w="3236" w:type="dxa"/>
            <w:gridSpan w:val="2"/>
            <w:tcBorders>
              <w:top w:val="single" w:color="000000" w:sz="8" w:space="0"/>
              <w:left w:val="nil"/>
              <w:bottom w:val="nil"/>
              <w:right w:val="single" w:color="000000" w:sz="8" w:space="0"/>
            </w:tcBorders>
            <w:noWrap w:val="0"/>
            <w:vAlign w:val="center"/>
          </w:tcPr>
          <w:p>
            <w:pPr>
              <w:pStyle w:val="63"/>
              <w:rPr>
                <w:color w:val="000000" w:themeColor="text1"/>
                <w:highlight w:val="none"/>
              </w:rPr>
            </w:pPr>
            <w:r>
              <w:rPr>
                <w:color w:val="000000" w:themeColor="text1"/>
                <w:highlight w:val="none"/>
              </w:rPr>
              <w:t>2000国家大地坐标系</w:t>
            </w:r>
          </w:p>
        </w:tc>
      </w:tr>
      <w:tr>
        <w:tblPrEx>
          <w:tblCellMar>
            <w:top w:w="0" w:type="dxa"/>
            <w:left w:w="108" w:type="dxa"/>
            <w:bottom w:w="0" w:type="dxa"/>
            <w:right w:w="108" w:type="dxa"/>
          </w:tblCellMar>
        </w:tblPrEx>
        <w:trPr>
          <w:trHeight w:val="454" w:hRule="atLeast"/>
          <w:jc w:val="center"/>
        </w:trPr>
        <w:tc>
          <w:tcPr>
            <w:tcW w:w="1562" w:type="dxa"/>
            <w:vMerge w:val="continue"/>
            <w:tcBorders>
              <w:top w:val="nil"/>
              <w:left w:val="single" w:color="000000" w:sz="8" w:space="0"/>
              <w:bottom w:val="single" w:color="000000" w:sz="8" w:space="0"/>
              <w:right w:val="single" w:color="000000" w:sz="8" w:space="0"/>
            </w:tcBorders>
            <w:noWrap w:val="0"/>
            <w:vAlign w:val="center"/>
          </w:tcPr>
          <w:p>
            <w:pPr>
              <w:pStyle w:val="63"/>
              <w:rPr>
                <w:color w:val="000000" w:themeColor="text1"/>
                <w:highlight w:val="none"/>
              </w:rPr>
            </w:pPr>
          </w:p>
        </w:tc>
        <w:tc>
          <w:tcPr>
            <w:tcW w:w="1415" w:type="dxa"/>
            <w:tcBorders>
              <w:top w:val="single" w:color="auto" w:sz="4" w:space="0"/>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X</w:t>
            </w:r>
          </w:p>
        </w:tc>
        <w:tc>
          <w:tcPr>
            <w:tcW w:w="1418" w:type="dxa"/>
            <w:tcBorders>
              <w:top w:val="single" w:color="auto" w:sz="4" w:space="0"/>
              <w:left w:val="nil"/>
              <w:bottom w:val="single" w:color="000000" w:sz="8" w:space="0"/>
              <w:right w:val="single" w:color="000000" w:sz="8" w:space="0"/>
            </w:tcBorders>
            <w:noWrap w:val="0"/>
            <w:vAlign w:val="center"/>
          </w:tcPr>
          <w:p>
            <w:pPr>
              <w:pStyle w:val="63"/>
              <w:rPr>
                <w:color w:val="000000" w:themeColor="text1"/>
                <w:highlight w:val="none"/>
              </w:rPr>
            </w:pPr>
            <w:r>
              <w:rPr>
                <w:color w:val="000000" w:themeColor="text1"/>
                <w:highlight w:val="none"/>
              </w:rPr>
              <w:t>Y</w:t>
            </w:r>
          </w:p>
        </w:tc>
        <w:tc>
          <w:tcPr>
            <w:tcW w:w="1236" w:type="dxa"/>
            <w:vMerge w:val="continue"/>
            <w:tcBorders>
              <w:top w:val="nil"/>
              <w:left w:val="nil"/>
              <w:bottom w:val="single" w:color="000000" w:sz="8" w:space="0"/>
              <w:right w:val="single" w:color="000000" w:sz="8" w:space="0"/>
            </w:tcBorders>
            <w:noWrap w:val="0"/>
            <w:vAlign w:val="center"/>
          </w:tcPr>
          <w:p>
            <w:pPr>
              <w:pStyle w:val="63"/>
              <w:rPr>
                <w:color w:val="000000" w:themeColor="text1"/>
                <w:highlight w:val="none"/>
              </w:rPr>
            </w:pPr>
          </w:p>
        </w:tc>
        <w:tc>
          <w:tcPr>
            <w:tcW w:w="1271" w:type="dxa"/>
            <w:tcBorders>
              <w:top w:val="single" w:color="auto" w:sz="4" w:space="0"/>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X</w:t>
            </w:r>
          </w:p>
        </w:tc>
        <w:tc>
          <w:tcPr>
            <w:tcW w:w="1965" w:type="dxa"/>
            <w:tcBorders>
              <w:top w:val="single" w:color="auto" w:sz="4" w:space="0"/>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Y</w:t>
            </w:r>
          </w:p>
        </w:tc>
      </w:tr>
      <w:tr>
        <w:tblPrEx>
          <w:tblCellMar>
            <w:top w:w="0" w:type="dxa"/>
            <w:left w:w="108" w:type="dxa"/>
            <w:bottom w:w="0" w:type="dxa"/>
            <w:right w:w="108" w:type="dxa"/>
          </w:tblCellMar>
        </w:tblPrEx>
        <w:trPr>
          <w:trHeight w:val="454" w:hRule="atLeast"/>
          <w:jc w:val="center"/>
        </w:trPr>
        <w:tc>
          <w:tcPr>
            <w:tcW w:w="1562" w:type="dxa"/>
            <w:tcBorders>
              <w:top w:val="nil"/>
              <w:left w:val="single" w:color="000000" w:sz="8" w:space="0"/>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1</w:t>
            </w:r>
          </w:p>
        </w:tc>
        <w:tc>
          <w:tcPr>
            <w:tcW w:w="1415" w:type="dxa"/>
            <w:tcBorders>
              <w:top w:val="nil"/>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3575269.62</w:t>
            </w:r>
          </w:p>
        </w:tc>
        <w:tc>
          <w:tcPr>
            <w:tcW w:w="1418" w:type="dxa"/>
            <w:tcBorders>
              <w:top w:val="nil"/>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36368383.94</w:t>
            </w:r>
          </w:p>
        </w:tc>
        <w:tc>
          <w:tcPr>
            <w:tcW w:w="1236" w:type="dxa"/>
            <w:tcBorders>
              <w:top w:val="nil"/>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1</w:t>
            </w:r>
          </w:p>
        </w:tc>
        <w:tc>
          <w:tcPr>
            <w:tcW w:w="1271" w:type="dxa"/>
            <w:tcBorders>
              <w:top w:val="single" w:color="auto" w:sz="4" w:space="0"/>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3575275.94</w:t>
            </w:r>
          </w:p>
        </w:tc>
        <w:tc>
          <w:tcPr>
            <w:tcW w:w="1965" w:type="dxa"/>
            <w:tcBorders>
              <w:top w:val="single" w:color="auto" w:sz="4" w:space="0"/>
              <w:left w:val="nil"/>
              <w:bottom w:val="single" w:color="auto" w:sz="4" w:space="0"/>
              <w:right w:val="single" w:color="000000" w:sz="8" w:space="0"/>
            </w:tcBorders>
            <w:noWrap w:val="0"/>
            <w:vAlign w:val="center"/>
          </w:tcPr>
          <w:p>
            <w:pPr>
              <w:pStyle w:val="63"/>
              <w:rPr>
                <w:color w:val="000000" w:themeColor="text1"/>
                <w:highlight w:val="none"/>
              </w:rPr>
            </w:pPr>
            <w:r>
              <w:rPr>
                <w:color w:val="000000" w:themeColor="text1"/>
                <w:highlight w:val="none"/>
              </w:rPr>
              <w:t>36368497.14</w:t>
            </w:r>
          </w:p>
        </w:tc>
      </w:tr>
      <w:tr>
        <w:tblPrEx>
          <w:tblCellMar>
            <w:top w:w="0" w:type="dxa"/>
            <w:left w:w="108" w:type="dxa"/>
            <w:bottom w:w="0" w:type="dxa"/>
            <w:right w:w="108" w:type="dxa"/>
          </w:tblCellMar>
        </w:tblPrEx>
        <w:trPr>
          <w:trHeight w:val="454"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2</w:t>
            </w:r>
          </w:p>
        </w:tc>
        <w:tc>
          <w:tcPr>
            <w:tcW w:w="141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3575270.25</w:t>
            </w:r>
          </w:p>
        </w:tc>
        <w:tc>
          <w:tcPr>
            <w:tcW w:w="1418"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36368684.83</w:t>
            </w:r>
          </w:p>
        </w:tc>
        <w:tc>
          <w:tcPr>
            <w:tcW w:w="1236"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2</w:t>
            </w:r>
          </w:p>
        </w:tc>
        <w:tc>
          <w:tcPr>
            <w:tcW w:w="1271"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3575276.57</w:t>
            </w:r>
          </w:p>
        </w:tc>
        <w:tc>
          <w:tcPr>
            <w:tcW w:w="196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36368798.03</w:t>
            </w:r>
          </w:p>
        </w:tc>
      </w:tr>
      <w:tr>
        <w:tblPrEx>
          <w:tblCellMar>
            <w:top w:w="0" w:type="dxa"/>
            <w:left w:w="108" w:type="dxa"/>
            <w:bottom w:w="0" w:type="dxa"/>
            <w:right w:w="108" w:type="dxa"/>
          </w:tblCellMar>
        </w:tblPrEx>
        <w:trPr>
          <w:trHeight w:val="454"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w:t>
            </w:r>
          </w:p>
        </w:tc>
        <w:tc>
          <w:tcPr>
            <w:tcW w:w="141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3575055.58</w:t>
            </w:r>
          </w:p>
        </w:tc>
        <w:tc>
          <w:tcPr>
            <w:tcW w:w="1418"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36368623.55</w:t>
            </w:r>
          </w:p>
        </w:tc>
        <w:tc>
          <w:tcPr>
            <w:tcW w:w="1236"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w:t>
            </w:r>
          </w:p>
        </w:tc>
        <w:tc>
          <w:tcPr>
            <w:tcW w:w="1271"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3575061.90</w:t>
            </w:r>
          </w:p>
        </w:tc>
        <w:tc>
          <w:tcPr>
            <w:tcW w:w="196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36368736.75</w:t>
            </w:r>
          </w:p>
        </w:tc>
      </w:tr>
      <w:tr>
        <w:tblPrEx>
          <w:tblCellMar>
            <w:top w:w="0" w:type="dxa"/>
            <w:left w:w="108" w:type="dxa"/>
            <w:bottom w:w="0" w:type="dxa"/>
            <w:right w:w="108" w:type="dxa"/>
          </w:tblCellMar>
        </w:tblPrEx>
        <w:trPr>
          <w:trHeight w:val="454"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4</w:t>
            </w:r>
          </w:p>
        </w:tc>
        <w:tc>
          <w:tcPr>
            <w:tcW w:w="141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3574960.79</w:t>
            </w:r>
          </w:p>
        </w:tc>
        <w:tc>
          <w:tcPr>
            <w:tcW w:w="1418"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36368578.32</w:t>
            </w:r>
          </w:p>
        </w:tc>
        <w:tc>
          <w:tcPr>
            <w:tcW w:w="1236"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4</w:t>
            </w:r>
          </w:p>
        </w:tc>
        <w:tc>
          <w:tcPr>
            <w:tcW w:w="1271"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3574967.11</w:t>
            </w:r>
          </w:p>
        </w:tc>
        <w:tc>
          <w:tcPr>
            <w:tcW w:w="196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36368691.52</w:t>
            </w:r>
          </w:p>
        </w:tc>
      </w:tr>
      <w:tr>
        <w:tblPrEx>
          <w:tblCellMar>
            <w:top w:w="0" w:type="dxa"/>
            <w:left w:w="108" w:type="dxa"/>
            <w:bottom w:w="0" w:type="dxa"/>
            <w:right w:w="108" w:type="dxa"/>
          </w:tblCellMar>
        </w:tblPrEx>
        <w:trPr>
          <w:trHeight w:val="454"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5</w:t>
            </w:r>
          </w:p>
        </w:tc>
        <w:tc>
          <w:tcPr>
            <w:tcW w:w="141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3574890.63</w:t>
            </w:r>
          </w:p>
        </w:tc>
        <w:tc>
          <w:tcPr>
            <w:tcW w:w="1418"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36368585.87</w:t>
            </w:r>
          </w:p>
        </w:tc>
        <w:tc>
          <w:tcPr>
            <w:tcW w:w="1236"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5</w:t>
            </w:r>
          </w:p>
        </w:tc>
        <w:tc>
          <w:tcPr>
            <w:tcW w:w="1271"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3574896.95</w:t>
            </w:r>
          </w:p>
        </w:tc>
        <w:tc>
          <w:tcPr>
            <w:tcW w:w="196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36368699.07</w:t>
            </w:r>
          </w:p>
        </w:tc>
      </w:tr>
      <w:tr>
        <w:tblPrEx>
          <w:tblCellMar>
            <w:top w:w="0" w:type="dxa"/>
            <w:left w:w="108" w:type="dxa"/>
            <w:bottom w:w="0" w:type="dxa"/>
            <w:right w:w="108" w:type="dxa"/>
          </w:tblCellMar>
        </w:tblPrEx>
        <w:trPr>
          <w:trHeight w:val="454"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6</w:t>
            </w:r>
          </w:p>
        </w:tc>
        <w:tc>
          <w:tcPr>
            <w:tcW w:w="141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3574875.38</w:t>
            </w:r>
          </w:p>
        </w:tc>
        <w:tc>
          <w:tcPr>
            <w:tcW w:w="1418"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36368459.61</w:t>
            </w:r>
          </w:p>
        </w:tc>
        <w:tc>
          <w:tcPr>
            <w:tcW w:w="1236"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6</w:t>
            </w:r>
          </w:p>
        </w:tc>
        <w:tc>
          <w:tcPr>
            <w:tcW w:w="1271"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3574881.70</w:t>
            </w:r>
          </w:p>
        </w:tc>
        <w:tc>
          <w:tcPr>
            <w:tcW w:w="1965" w:type="dxa"/>
            <w:tcBorders>
              <w:top w:val="single" w:color="auto" w:sz="4" w:space="0"/>
              <w:left w:val="nil"/>
              <w:bottom w:val="single" w:color="auto" w:sz="4" w:space="0"/>
              <w:right w:val="single" w:color="auto" w:sz="4" w:space="0"/>
            </w:tcBorders>
            <w:noWrap w:val="0"/>
            <w:vAlign w:val="center"/>
          </w:tcPr>
          <w:p>
            <w:pPr>
              <w:pStyle w:val="63"/>
              <w:rPr>
                <w:color w:val="000000" w:themeColor="text1"/>
                <w:highlight w:val="none"/>
              </w:rPr>
            </w:pPr>
            <w:r>
              <w:rPr>
                <w:color w:val="000000" w:themeColor="text1"/>
                <w:highlight w:val="none"/>
              </w:rPr>
              <w:t>36368572.81</w:t>
            </w:r>
          </w:p>
        </w:tc>
      </w:tr>
    </w:tbl>
    <w:p>
      <w:pPr>
        <w:pStyle w:val="67"/>
        <w:rPr>
          <w:color w:val="000000" w:themeColor="text1"/>
          <w:highlight w:val="none"/>
        </w:rPr>
      </w:pPr>
    </w:p>
    <w:p>
      <w:pPr>
        <w:rPr>
          <w:rFonts w:hint="eastAsia"/>
        </w:rPr>
      </w:pPr>
      <w:r>
        <w:rPr>
          <w:rFonts w:hint="eastAsia"/>
        </w:rPr>
        <w:t>2、本次调整变更范围情况</w:t>
      </w:r>
    </w:p>
    <w:p>
      <w:pPr>
        <w:rPr>
          <w:rFonts w:hint="eastAsia"/>
          <w:lang w:eastAsia="zh-CN"/>
        </w:rPr>
      </w:pPr>
      <w:r>
        <w:rPr>
          <w:rFonts w:hint="eastAsia"/>
        </w:rPr>
        <w:t>根据矿体赋存位置及矿山开采现状，结合矿区开采技术条件，本次调整变更范围在核查报告建议调整变更范围的基础上进行了缩减，缩减了矿区北部的无矿地带及南部超出采深范围的区域，范围设置更加合理（见附图1）。本次调整变更范围由5个拐点圈闭（拐点坐标见表2），面积0.0605km</w:t>
      </w:r>
      <w:r>
        <w:rPr>
          <w:rFonts w:hint="eastAsia"/>
          <w:vertAlign w:val="superscript"/>
        </w:rPr>
        <w:t>2</w:t>
      </w:r>
      <w:r>
        <w:rPr>
          <w:rFonts w:hint="eastAsia"/>
        </w:rPr>
        <w:t>，开采深度+1228～+1050m</w:t>
      </w:r>
      <w:r>
        <w:rPr>
          <w:rFonts w:hint="eastAsia"/>
          <w:lang w:eastAsia="zh-CN"/>
        </w:rPr>
        <w:t>。</w:t>
      </w:r>
      <w:r>
        <w:rPr>
          <w:rFonts w:hint="eastAsia"/>
          <w:color w:val="000000" w:themeColor="text1"/>
          <w:highlight w:val="none"/>
        </w:rPr>
        <w:t>见下表：</w:t>
      </w:r>
    </w:p>
    <w:p>
      <w:pPr>
        <w:pStyle w:val="67"/>
        <w:rPr>
          <w:rFonts w:hint="eastAsia" w:eastAsia="宋体"/>
          <w:color w:val="000000" w:themeColor="text1"/>
          <w:highlight w:val="none"/>
          <w:lang w:eastAsia="zh-CN"/>
        </w:rPr>
      </w:pPr>
      <w:r>
        <w:rPr>
          <w:color w:val="000000" w:themeColor="text1"/>
          <w:highlight w:val="none"/>
        </w:rPr>
        <w:t>表1-</w:t>
      </w:r>
      <w:r>
        <w:rPr>
          <w:rFonts w:hint="eastAsia"/>
          <w:color w:val="000000" w:themeColor="text1"/>
          <w:highlight w:val="none"/>
          <w:lang w:val="en-US" w:eastAsia="zh-CN"/>
        </w:rPr>
        <w:t>2</w:t>
      </w:r>
      <w:r>
        <w:rPr>
          <w:rFonts w:hint="eastAsia"/>
          <w:color w:val="000000" w:themeColor="text1"/>
          <w:highlight w:val="none"/>
        </w:rPr>
        <w:t xml:space="preserve">  旺苍县</w:t>
      </w:r>
      <w:r>
        <w:rPr>
          <w:rFonts w:hint="eastAsia"/>
          <w:color w:val="000000" w:themeColor="text1"/>
          <w:highlight w:val="none"/>
          <w:lang w:eastAsia="zh-CN"/>
        </w:rPr>
        <w:t>三江镇战旗石灰石矿</w:t>
      </w:r>
      <w:r>
        <w:rPr>
          <w:rFonts w:hint="eastAsia"/>
          <w:color w:val="000000" w:themeColor="text1"/>
          <w:highlight w:val="none"/>
        </w:rPr>
        <w:t>矿区范围及拐点坐标</w:t>
      </w:r>
      <w:r>
        <w:rPr>
          <w:rFonts w:hint="eastAsia"/>
          <w:color w:val="000000" w:themeColor="text1"/>
          <w:highlight w:val="none"/>
          <w:lang w:eastAsia="zh-CN"/>
        </w:rPr>
        <w:t>（</w:t>
      </w:r>
      <w:r>
        <w:rPr>
          <w:rFonts w:hint="eastAsia"/>
          <w:color w:val="000000" w:themeColor="text1"/>
          <w:highlight w:val="none"/>
        </w:rPr>
        <w:t>2000国家大地坐标系</w:t>
      </w:r>
      <w:r>
        <w:rPr>
          <w:rFonts w:hint="eastAsia"/>
          <w:color w:val="000000" w:themeColor="text1"/>
          <w:highlight w:val="none"/>
          <w:lang w:eastAsia="zh-CN"/>
        </w:rPr>
        <w:t>）</w:t>
      </w:r>
    </w:p>
    <w:tbl>
      <w:tblPr>
        <w:tblStyle w:val="3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94"/>
        <w:gridCol w:w="1807"/>
        <w:gridCol w:w="1669"/>
        <w:gridCol w:w="1205"/>
        <w:gridCol w:w="177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vMerge w:val="restart"/>
            <w:tcBorders>
              <w:top w:val="single" w:color="000000" w:sz="12"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拐点编号</w:t>
            </w:r>
          </w:p>
        </w:tc>
        <w:tc>
          <w:tcPr>
            <w:tcW w:w="3476" w:type="dxa"/>
            <w:gridSpan w:val="2"/>
            <w:tcBorders>
              <w:top w:val="single" w:color="000000" w:sz="12"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2000国家大地坐标系</w:t>
            </w:r>
          </w:p>
        </w:tc>
        <w:tc>
          <w:tcPr>
            <w:tcW w:w="1205" w:type="dxa"/>
            <w:vMerge w:val="restart"/>
            <w:tcBorders>
              <w:top w:val="single" w:color="000000" w:sz="12" w:space="0"/>
              <w:left w:val="single" w:color="000000" w:sz="6" w:space="0"/>
              <w:bottom w:val="single" w:color="000000" w:sz="6" w:space="0"/>
              <w:right w:val="single" w:color="auto" w:sz="4" w:space="0"/>
            </w:tcBorders>
            <w:noWrap/>
            <w:vAlign w:val="center"/>
          </w:tcPr>
          <w:p>
            <w:pPr>
              <w:pStyle w:val="63"/>
              <w:rPr>
                <w:color w:val="000000" w:themeColor="text1"/>
                <w:highlight w:val="none"/>
              </w:rPr>
            </w:pPr>
            <w:r>
              <w:rPr>
                <w:color w:val="000000" w:themeColor="text1"/>
                <w:highlight w:val="none"/>
              </w:rPr>
              <w:t>面积（km2）</w:t>
            </w:r>
          </w:p>
        </w:tc>
        <w:tc>
          <w:tcPr>
            <w:tcW w:w="1770" w:type="dxa"/>
            <w:vMerge w:val="restart"/>
            <w:tcBorders>
              <w:top w:val="single" w:color="000000" w:sz="12" w:space="0"/>
              <w:left w:val="single" w:color="auto" w:sz="4" w:space="0"/>
              <w:bottom w:val="single" w:color="000000" w:sz="6" w:space="0"/>
              <w:right w:val="single" w:color="000000" w:sz="12" w:space="0"/>
            </w:tcBorders>
            <w:noWrap w:val="0"/>
            <w:vAlign w:val="center"/>
          </w:tcPr>
          <w:p>
            <w:pPr>
              <w:pStyle w:val="63"/>
              <w:rPr>
                <w:color w:val="000000" w:themeColor="text1"/>
                <w:highlight w:val="none"/>
              </w:rPr>
            </w:pPr>
            <w:r>
              <w:rPr>
                <w:color w:val="000000" w:themeColor="text1"/>
                <w:highlight w:val="none"/>
              </w:rPr>
              <w:t>开采深度（m）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vMerge w:val="continue"/>
            <w:tcBorders>
              <w:top w:val="single" w:color="000000" w:sz="12"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X</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Y</w:t>
            </w:r>
          </w:p>
        </w:tc>
        <w:tc>
          <w:tcPr>
            <w:tcW w:w="1205" w:type="dxa"/>
            <w:vMerge w:val="continue"/>
            <w:tcBorders>
              <w:top w:val="single" w:color="000000" w:sz="12" w:space="0"/>
              <w:left w:val="single" w:color="000000" w:sz="6" w:space="0"/>
              <w:bottom w:val="single" w:color="000000" w:sz="6" w:space="0"/>
              <w:right w:val="single" w:color="auto" w:sz="4" w:space="0"/>
            </w:tcBorders>
            <w:noWrap/>
            <w:vAlign w:val="center"/>
          </w:tcPr>
          <w:p>
            <w:pPr>
              <w:pStyle w:val="63"/>
              <w:rPr>
                <w:color w:val="000000" w:themeColor="text1"/>
                <w:highlight w:val="none"/>
              </w:rPr>
            </w:pPr>
          </w:p>
        </w:tc>
        <w:tc>
          <w:tcPr>
            <w:tcW w:w="1770" w:type="dxa"/>
            <w:vMerge w:val="continue"/>
            <w:tcBorders>
              <w:top w:val="single" w:color="000000" w:sz="12" w:space="0"/>
              <w:left w:val="single" w:color="auto" w:sz="4" w:space="0"/>
              <w:bottom w:val="single" w:color="000000" w:sz="6" w:space="0"/>
              <w:right w:val="single" w:color="000000" w:sz="12" w:space="0"/>
            </w:tcBorders>
            <w:noWrap w:val="0"/>
            <w:vAlign w:val="center"/>
          </w:tcPr>
          <w:p>
            <w:pPr>
              <w:pStyle w:val="63"/>
              <w:rPr>
                <w:color w:val="000000" w:themeColor="text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tcBorders>
              <w:top w:val="single" w:color="000000" w:sz="6"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1</w:t>
            </w: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3575124.52</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36368344.94</w:t>
            </w:r>
          </w:p>
        </w:tc>
        <w:tc>
          <w:tcPr>
            <w:tcW w:w="1205" w:type="dxa"/>
            <w:vMerge w:val="restart"/>
            <w:tcBorders>
              <w:top w:val="single" w:color="000000" w:sz="6" w:space="0"/>
              <w:left w:val="single" w:color="000000" w:sz="6" w:space="0"/>
              <w:bottom w:val="single" w:color="000000" w:sz="6" w:space="0"/>
              <w:right w:val="single" w:color="auto" w:sz="4" w:space="0"/>
            </w:tcBorders>
            <w:noWrap w:val="0"/>
            <w:vAlign w:val="center"/>
          </w:tcPr>
          <w:p>
            <w:pPr>
              <w:pStyle w:val="63"/>
              <w:rPr>
                <w:color w:val="000000" w:themeColor="text1"/>
                <w:highlight w:val="none"/>
              </w:rPr>
            </w:pPr>
            <w:r>
              <w:rPr>
                <w:color w:val="000000" w:themeColor="text1"/>
                <w:highlight w:val="none"/>
              </w:rPr>
              <w:t>0.0605</w:t>
            </w:r>
          </w:p>
        </w:tc>
        <w:tc>
          <w:tcPr>
            <w:tcW w:w="1770" w:type="dxa"/>
            <w:vMerge w:val="restart"/>
            <w:tcBorders>
              <w:top w:val="single" w:color="000000" w:sz="6" w:space="0"/>
              <w:left w:val="single" w:color="auto" w:sz="4" w:space="0"/>
              <w:bottom w:val="single" w:color="000000" w:sz="6" w:space="0"/>
              <w:right w:val="single" w:color="000000" w:sz="12" w:space="0"/>
            </w:tcBorders>
            <w:noWrap w:val="0"/>
            <w:vAlign w:val="center"/>
          </w:tcPr>
          <w:p>
            <w:pPr>
              <w:pStyle w:val="63"/>
              <w:rPr>
                <w:color w:val="000000" w:themeColor="text1"/>
                <w:highlight w:val="none"/>
              </w:rPr>
            </w:pPr>
            <w:r>
              <w:rPr>
                <w:color w:val="000000" w:themeColor="text1"/>
                <w:highlight w:val="none"/>
              </w:rPr>
              <w:t>+1228～+1050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tcBorders>
              <w:top w:val="single" w:color="000000" w:sz="6"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2</w:t>
            </w: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3575025.42</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36368562.15</w:t>
            </w:r>
          </w:p>
        </w:tc>
        <w:tc>
          <w:tcPr>
            <w:tcW w:w="1205" w:type="dxa"/>
            <w:vMerge w:val="continue"/>
            <w:tcBorders>
              <w:top w:val="single" w:color="000000" w:sz="6" w:space="0"/>
              <w:left w:val="single" w:color="000000" w:sz="6" w:space="0"/>
              <w:bottom w:val="single" w:color="000000" w:sz="6" w:space="0"/>
              <w:right w:val="single" w:color="auto" w:sz="4" w:space="0"/>
            </w:tcBorders>
            <w:noWrap w:val="0"/>
            <w:vAlign w:val="center"/>
          </w:tcPr>
          <w:p>
            <w:pPr>
              <w:rPr>
                <w:sz w:val="20"/>
                <w:szCs w:val="20"/>
              </w:rPr>
            </w:pPr>
          </w:p>
        </w:tc>
        <w:tc>
          <w:tcPr>
            <w:tcW w:w="1770" w:type="dxa"/>
            <w:vMerge w:val="continue"/>
            <w:tcBorders>
              <w:top w:val="single" w:color="000000" w:sz="6" w:space="0"/>
              <w:left w:val="single" w:color="auto" w:sz="4" w:space="0"/>
              <w:bottom w:val="single" w:color="000000" w:sz="6" w:space="0"/>
              <w:right w:val="single" w:color="000000" w:sz="12" w:space="0"/>
            </w:tcBorders>
            <w:noWrap w:val="0"/>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tcBorders>
              <w:top w:val="single" w:color="000000" w:sz="6"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w:t>
            </w: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3574854.60</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36368562.37</w:t>
            </w:r>
          </w:p>
        </w:tc>
        <w:tc>
          <w:tcPr>
            <w:tcW w:w="1205" w:type="dxa"/>
            <w:vMerge w:val="continue"/>
            <w:tcBorders>
              <w:top w:val="single" w:color="000000" w:sz="6" w:space="0"/>
              <w:left w:val="single" w:color="000000" w:sz="6" w:space="0"/>
              <w:bottom w:val="single" w:color="000000" w:sz="6" w:space="0"/>
              <w:right w:val="single" w:color="auto" w:sz="4" w:space="0"/>
            </w:tcBorders>
            <w:noWrap w:val="0"/>
            <w:vAlign w:val="center"/>
          </w:tcPr>
          <w:p>
            <w:pPr>
              <w:rPr>
                <w:sz w:val="20"/>
                <w:szCs w:val="20"/>
              </w:rPr>
            </w:pPr>
          </w:p>
        </w:tc>
        <w:tc>
          <w:tcPr>
            <w:tcW w:w="1770" w:type="dxa"/>
            <w:vMerge w:val="continue"/>
            <w:tcBorders>
              <w:top w:val="single" w:color="000000" w:sz="6" w:space="0"/>
              <w:left w:val="single" w:color="auto" w:sz="4" w:space="0"/>
              <w:bottom w:val="single" w:color="000000" w:sz="6" w:space="0"/>
              <w:right w:val="single" w:color="000000" w:sz="12" w:space="0"/>
            </w:tcBorders>
            <w:noWrap w:val="0"/>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tcBorders>
              <w:top w:val="single" w:color="000000" w:sz="6"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4</w:t>
            </w: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3574772.51</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36368437.62</w:t>
            </w:r>
          </w:p>
        </w:tc>
        <w:tc>
          <w:tcPr>
            <w:tcW w:w="1205" w:type="dxa"/>
            <w:vMerge w:val="continue"/>
            <w:tcBorders>
              <w:top w:val="single" w:color="000000" w:sz="6" w:space="0"/>
              <w:left w:val="single" w:color="000000" w:sz="6" w:space="0"/>
              <w:bottom w:val="single" w:color="000000" w:sz="6" w:space="0"/>
              <w:right w:val="single" w:color="auto" w:sz="4" w:space="0"/>
            </w:tcBorders>
            <w:noWrap w:val="0"/>
            <w:vAlign w:val="center"/>
          </w:tcPr>
          <w:p>
            <w:pPr>
              <w:rPr>
                <w:sz w:val="20"/>
                <w:szCs w:val="20"/>
              </w:rPr>
            </w:pPr>
          </w:p>
        </w:tc>
        <w:tc>
          <w:tcPr>
            <w:tcW w:w="1770" w:type="dxa"/>
            <w:vMerge w:val="continue"/>
            <w:tcBorders>
              <w:top w:val="single" w:color="000000" w:sz="6" w:space="0"/>
              <w:left w:val="single" w:color="auto" w:sz="4" w:space="0"/>
              <w:bottom w:val="single" w:color="000000" w:sz="6" w:space="0"/>
              <w:right w:val="single" w:color="000000" w:sz="12" w:space="0"/>
            </w:tcBorders>
            <w:noWrap w:val="0"/>
            <w:vAlign w:val="center"/>
          </w:tcPr>
          <w:p>
            <w:pPr>
              <w:rPr>
                <w:sz w:val="20"/>
                <w:szCs w:val="20"/>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194" w:type="dxa"/>
            <w:tcBorders>
              <w:top w:val="single" w:color="000000" w:sz="6" w:space="0"/>
              <w:left w:val="single" w:color="000000" w:sz="12"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5</w:t>
            </w:r>
          </w:p>
        </w:tc>
        <w:tc>
          <w:tcPr>
            <w:tcW w:w="1807"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3574775.68</w:t>
            </w:r>
          </w:p>
        </w:tc>
        <w:tc>
          <w:tcPr>
            <w:tcW w:w="1669" w:type="dxa"/>
            <w:tcBorders>
              <w:top w:val="single" w:color="000000" w:sz="6" w:space="0"/>
              <w:left w:val="single" w:color="000000" w:sz="6" w:space="0"/>
              <w:bottom w:val="single" w:color="000000" w:sz="6" w:space="0"/>
              <w:right w:val="single" w:color="000000" w:sz="6" w:space="0"/>
            </w:tcBorders>
            <w:noWrap/>
            <w:vAlign w:val="center"/>
          </w:tcPr>
          <w:p>
            <w:pPr>
              <w:pStyle w:val="63"/>
              <w:rPr>
                <w:color w:val="000000" w:themeColor="text1"/>
                <w:highlight w:val="none"/>
              </w:rPr>
            </w:pPr>
            <w:r>
              <w:rPr>
                <w:color w:val="000000" w:themeColor="text1"/>
                <w:highlight w:val="none"/>
              </w:rPr>
              <w:t>36368344.61</w:t>
            </w:r>
          </w:p>
        </w:tc>
        <w:tc>
          <w:tcPr>
            <w:tcW w:w="1205" w:type="dxa"/>
            <w:vMerge w:val="continue"/>
            <w:tcBorders>
              <w:top w:val="single" w:color="000000" w:sz="6" w:space="0"/>
              <w:left w:val="single" w:color="000000" w:sz="6" w:space="0"/>
              <w:bottom w:val="single" w:color="000000" w:sz="6" w:space="0"/>
              <w:right w:val="single" w:color="auto" w:sz="4" w:space="0"/>
            </w:tcBorders>
            <w:noWrap w:val="0"/>
            <w:vAlign w:val="center"/>
          </w:tcPr>
          <w:p>
            <w:pPr>
              <w:rPr>
                <w:sz w:val="20"/>
                <w:szCs w:val="20"/>
              </w:rPr>
            </w:pPr>
          </w:p>
        </w:tc>
        <w:tc>
          <w:tcPr>
            <w:tcW w:w="1770" w:type="dxa"/>
            <w:vMerge w:val="continue"/>
            <w:tcBorders>
              <w:top w:val="single" w:color="000000" w:sz="6" w:space="0"/>
              <w:left w:val="single" w:color="auto" w:sz="4" w:space="0"/>
              <w:bottom w:val="single" w:color="000000" w:sz="6" w:space="0"/>
              <w:right w:val="single" w:color="000000" w:sz="12" w:space="0"/>
            </w:tcBorders>
            <w:noWrap w:val="0"/>
            <w:vAlign w:val="center"/>
          </w:tcPr>
          <w:p>
            <w:pPr>
              <w:rPr>
                <w:sz w:val="20"/>
                <w:szCs w:val="20"/>
              </w:rPr>
            </w:pPr>
          </w:p>
        </w:tc>
      </w:tr>
    </w:tbl>
    <w:p>
      <w:r>
        <w:rPr>
          <w:rFonts w:hint="eastAsia"/>
        </w:rPr>
        <w:t>本次调整变更范围东侧与</w:t>
      </w:r>
      <w:r>
        <w:rPr>
          <w:rFonts w:hint="eastAsia"/>
          <w:lang w:eastAsia="zh-CN"/>
        </w:rPr>
        <w:t>广元市</w:t>
      </w:r>
      <w:r>
        <w:rPr>
          <w:rFonts w:hint="eastAsia"/>
        </w:rPr>
        <w:t>皓丰源实业有限公司旺苍鸿胜分公司建筑石料用灰岩矿（拟关闭）矿区范围不重叠，不涉及旺苍县域内自然保护区、森林公园、风景名胜区、大熊猫国家公园、历史文物与名胜古迹保护区等各级各类保护区，</w:t>
      </w:r>
      <w:r>
        <w:rPr>
          <w:rFonts w:hint="eastAsia"/>
          <w:lang w:eastAsia="zh-CN"/>
        </w:rPr>
        <w:t>不涉及水源保护地，</w:t>
      </w:r>
      <w:r>
        <w:rPr>
          <w:rFonts w:hint="eastAsia"/>
        </w:rPr>
        <w:t>不在生态红线范围内，不占用基本农田，矿区土地类型属集体林地。符合采矿权登记的相关政策要求，不存在矿权重叠与边界纠纷。</w:t>
      </w:r>
      <w:r>
        <w:rPr>
          <w:rFonts w:hint="eastAsia"/>
          <w:lang w:eastAsia="zh-CN"/>
        </w:rPr>
        <w:t>矿区范围内不涉及基本农田，</w:t>
      </w:r>
      <w:r>
        <w:rPr>
          <w:rFonts w:hint="eastAsia"/>
        </w:rPr>
        <w:t>矿区不占用Ⅰ类保护林地。</w:t>
      </w:r>
    </w:p>
    <w:p>
      <w:pPr>
        <w:pStyle w:val="4"/>
        <w:spacing w:before="82" w:after="82"/>
        <w:rPr>
          <w:color w:val="000000" w:themeColor="text1"/>
          <w:highlight w:val="none"/>
        </w:rPr>
      </w:pPr>
      <w:bookmarkStart w:id="46" w:name="_Toc14702"/>
      <w:r>
        <w:rPr>
          <w:color w:val="000000" w:themeColor="text1"/>
          <w:highlight w:val="none"/>
        </w:rPr>
        <w:t>1.3矿山开发利用方案概述</w:t>
      </w:r>
      <w:bookmarkEnd w:id="45"/>
      <w:bookmarkEnd w:id="46"/>
    </w:p>
    <w:p>
      <w:pPr>
        <w:pStyle w:val="5"/>
        <w:spacing w:before="82" w:after="82"/>
        <w:rPr>
          <w:color w:val="000000" w:themeColor="text1"/>
          <w:highlight w:val="none"/>
        </w:rPr>
      </w:pPr>
      <w:bookmarkStart w:id="47" w:name="_Toc21132"/>
      <w:bookmarkStart w:id="48" w:name="_Toc16954"/>
      <w:r>
        <w:rPr>
          <w:color w:val="000000" w:themeColor="text1"/>
          <w:highlight w:val="none"/>
        </w:rPr>
        <w:t>1.3.1矿山建设规模及服务年限</w:t>
      </w:r>
      <w:bookmarkEnd w:id="47"/>
      <w:bookmarkEnd w:id="48"/>
    </w:p>
    <w:p>
      <w:pPr>
        <w:rPr>
          <w:rFonts w:hint="eastAsia"/>
          <w:color w:val="000000" w:themeColor="text1"/>
          <w:highlight w:val="none"/>
        </w:rPr>
      </w:pPr>
      <w:r>
        <w:rPr>
          <w:color w:val="000000" w:themeColor="text1"/>
          <w:highlight w:val="none"/>
        </w:rPr>
        <w:t>本矿设计采用</w:t>
      </w:r>
      <w:r>
        <w:rPr>
          <w:rFonts w:hint="eastAsia"/>
          <w:color w:val="000000" w:themeColor="text1"/>
          <w:highlight w:val="none"/>
        </w:rPr>
        <w:t>山坡露天</w:t>
      </w:r>
      <w:r>
        <w:rPr>
          <w:color w:val="000000" w:themeColor="text1"/>
          <w:highlight w:val="none"/>
        </w:rPr>
        <w:t>开采，目前生产规模为</w:t>
      </w:r>
      <w:r>
        <w:rPr>
          <w:rFonts w:hint="eastAsia"/>
          <w:color w:val="000000" w:themeColor="text1"/>
          <w:highlight w:val="none"/>
          <w:lang w:eastAsia="zh-CN"/>
        </w:rPr>
        <w:t>30万吨</w:t>
      </w:r>
      <w:r>
        <w:rPr>
          <w:color w:val="000000" w:themeColor="text1"/>
          <w:highlight w:val="none"/>
        </w:rPr>
        <w:t>/年，属</w:t>
      </w:r>
      <w:r>
        <w:rPr>
          <w:rFonts w:hint="eastAsia"/>
          <w:color w:val="000000" w:themeColor="text1"/>
          <w:highlight w:val="none"/>
        </w:rPr>
        <w:t>“</w:t>
      </w:r>
      <w:r>
        <w:rPr>
          <w:rFonts w:hint="eastAsia"/>
          <w:color w:val="000000" w:themeColor="text1"/>
          <w:highlight w:val="none"/>
          <w:lang w:eastAsia="zh-CN"/>
        </w:rPr>
        <w:t>小型</w:t>
      </w:r>
      <w:r>
        <w:rPr>
          <w:rFonts w:hint="eastAsia"/>
          <w:color w:val="000000" w:themeColor="text1"/>
          <w:highlight w:val="none"/>
        </w:rPr>
        <w:t>”</w:t>
      </w:r>
      <w:r>
        <w:rPr>
          <w:color w:val="000000" w:themeColor="text1"/>
          <w:highlight w:val="none"/>
        </w:rPr>
        <w:t>矿山。根据</w:t>
      </w:r>
      <w:r>
        <w:rPr>
          <w:rFonts w:hint="eastAsia"/>
          <w:color w:val="000000" w:themeColor="text1"/>
          <w:highlight w:val="none"/>
          <w:lang w:val="en-US" w:eastAsia="zh-CN"/>
        </w:rPr>
        <w:t>2022</w:t>
      </w:r>
      <w:r>
        <w:rPr>
          <w:color w:val="000000" w:themeColor="text1"/>
          <w:highlight w:val="none"/>
        </w:rPr>
        <w:t>年</w:t>
      </w:r>
      <w:r>
        <w:rPr>
          <w:rFonts w:hint="eastAsia"/>
          <w:color w:val="000000" w:themeColor="text1"/>
          <w:highlight w:val="none"/>
          <w:lang w:val="en-US" w:eastAsia="zh-CN"/>
        </w:rPr>
        <w:t>1</w:t>
      </w:r>
      <w:r>
        <w:rPr>
          <w:color w:val="000000" w:themeColor="text1"/>
          <w:highlight w:val="none"/>
        </w:rPr>
        <w:t>月</w:t>
      </w:r>
      <w:r>
        <w:rPr>
          <w:rFonts w:hint="eastAsia"/>
          <w:color w:val="000000" w:themeColor="text1"/>
          <w:highlight w:val="none"/>
          <w:lang w:eastAsia="zh-CN"/>
        </w:rPr>
        <w:t>四川天梦星地质勘查技术有限公司</w:t>
      </w:r>
      <w:r>
        <w:rPr>
          <w:color w:val="000000" w:themeColor="text1"/>
          <w:highlight w:val="none"/>
        </w:rPr>
        <w:t>提交的《</w:t>
      </w:r>
      <w:r>
        <w:rPr>
          <w:rFonts w:hint="eastAsia"/>
          <w:color w:val="000000" w:themeColor="text1"/>
          <w:highlight w:val="none"/>
          <w:lang w:eastAsia="zh-CN"/>
        </w:rPr>
        <w:t>旺苍县三江镇战旗石灰石矿矿产资源开发利用方案</w:t>
      </w:r>
      <w:r>
        <w:rPr>
          <w:color w:val="000000" w:themeColor="text1"/>
          <w:highlight w:val="none"/>
        </w:rPr>
        <w:t>》，</w:t>
      </w:r>
      <w:r>
        <w:rPr>
          <w:rFonts w:hint="eastAsia"/>
          <w:color w:val="000000" w:themeColor="text1"/>
          <w:highlight w:val="none"/>
        </w:rPr>
        <w:t>矿石</w:t>
      </w:r>
      <w:r>
        <w:rPr>
          <w:color w:val="000000" w:themeColor="text1"/>
          <w:highlight w:val="none"/>
        </w:rPr>
        <w:t>采率</w:t>
      </w:r>
      <w:r>
        <w:rPr>
          <w:rFonts w:hint="eastAsia"/>
          <w:bCs/>
          <w:color w:val="000000" w:themeColor="text1"/>
          <w:highlight w:val="none"/>
          <w:lang w:eastAsia="zh-CN"/>
        </w:rPr>
        <w:t>95%</w:t>
      </w:r>
      <w:r>
        <w:rPr>
          <w:color w:val="000000" w:themeColor="text1"/>
          <w:highlight w:val="none"/>
        </w:rPr>
        <w:t>，生产规模为</w:t>
      </w:r>
      <w:r>
        <w:rPr>
          <w:rFonts w:hint="eastAsia"/>
          <w:color w:val="000000" w:themeColor="text1"/>
          <w:highlight w:val="none"/>
          <w:lang w:eastAsia="zh-CN"/>
        </w:rPr>
        <w:t>30万吨</w:t>
      </w:r>
      <w:r>
        <w:rPr>
          <w:color w:val="000000" w:themeColor="text1"/>
          <w:highlight w:val="none"/>
        </w:rPr>
        <w:t>/年，根据</w:t>
      </w:r>
      <w:r>
        <w:rPr>
          <w:rFonts w:hint="eastAsia"/>
          <w:color w:val="000000" w:themeColor="text1"/>
          <w:highlight w:val="none"/>
          <w:lang w:eastAsia="zh-CN"/>
        </w:rPr>
        <w:t>四川天骞矿产资源咨询服务有限公司202</w:t>
      </w:r>
      <w:r>
        <w:rPr>
          <w:rFonts w:hint="eastAsia"/>
          <w:color w:val="000000" w:themeColor="text1"/>
          <w:highlight w:val="none"/>
          <w:lang w:val="en-US" w:eastAsia="zh-CN"/>
        </w:rPr>
        <w:t>2</w:t>
      </w:r>
      <w:r>
        <w:rPr>
          <w:rFonts w:hint="eastAsia"/>
          <w:color w:val="000000" w:themeColor="text1"/>
          <w:highlight w:val="none"/>
          <w:lang w:eastAsia="zh-CN"/>
        </w:rPr>
        <w:t>年1月</w:t>
      </w:r>
      <w:r>
        <w:rPr>
          <w:color w:val="000000" w:themeColor="text1"/>
          <w:highlight w:val="none"/>
        </w:rPr>
        <w:t>提交的《</w:t>
      </w:r>
      <w:r>
        <w:rPr>
          <w:rFonts w:hint="eastAsia"/>
          <w:color w:val="000000" w:themeColor="text1"/>
          <w:highlight w:val="none"/>
          <w:lang w:eastAsia="zh-CN"/>
        </w:rPr>
        <w:t>旺苍县三江镇战旗石灰石矿资源储量核实报告</w:t>
      </w:r>
      <w:r>
        <w:rPr>
          <w:color w:val="000000" w:themeColor="text1"/>
          <w:highlight w:val="none"/>
        </w:rPr>
        <w:t>》</w:t>
      </w:r>
      <w:r>
        <w:rPr>
          <w:rFonts w:hint="eastAsia"/>
          <w:color w:val="000000" w:themeColor="text1"/>
          <w:highlight w:val="none"/>
          <w:lang w:eastAsia="zh-CN"/>
        </w:rPr>
        <w:t>，</w:t>
      </w:r>
      <w:r>
        <w:rPr>
          <w:rFonts w:hint="eastAsia"/>
          <w:color w:val="000000" w:themeColor="text1"/>
          <w:highlight w:val="none"/>
        </w:rPr>
        <w:t>境界内的矿石量约为270.17万吨，均为保有控制资源量。</w:t>
      </w:r>
    </w:p>
    <w:p>
      <w:pPr>
        <w:rPr>
          <w:rFonts w:hint="eastAsia"/>
          <w:color w:val="000000" w:themeColor="text1"/>
          <w:highlight w:val="none"/>
        </w:rPr>
      </w:pPr>
      <w:r>
        <w:rPr>
          <w:rFonts w:hint="eastAsia"/>
          <w:color w:val="000000" w:themeColor="text1"/>
          <w:highlight w:val="none"/>
        </w:rPr>
        <w:t>按回采率95%，生产规模50万吨/年计算，资源量服务年限为：</w:t>
      </w:r>
    </w:p>
    <w:p>
      <w:pPr>
        <w:ind w:left="0" w:leftChars="0" w:right="0" w:rightChars="0" w:firstLine="0" w:firstLineChars="0"/>
        <w:jc w:val="center"/>
        <w:rPr>
          <w:rFonts w:hint="eastAsia"/>
          <w:color w:val="000000" w:themeColor="text1"/>
          <w:highlight w:val="none"/>
        </w:rPr>
      </w:pPr>
      <w:r>
        <w:rPr>
          <w:rFonts w:hint="eastAsia"/>
          <w:color w:val="000000" w:themeColor="text1"/>
          <w:highlight w:val="none"/>
        </w:rPr>
        <w:t>T=Qη/A=270.17×95%/50≈5.1年。</w:t>
      </w:r>
    </w:p>
    <w:p>
      <w:pPr>
        <w:rPr>
          <w:color w:val="000000" w:themeColor="text1"/>
          <w:highlight w:val="none"/>
        </w:rPr>
      </w:pPr>
      <w:r>
        <w:rPr>
          <w:color w:val="000000" w:themeColor="text1"/>
          <w:highlight w:val="none"/>
        </w:rPr>
        <w:t>以</w:t>
      </w:r>
      <w:r>
        <w:rPr>
          <w:rFonts w:hint="eastAsia"/>
          <w:color w:val="000000" w:themeColor="text1"/>
          <w:highlight w:val="none"/>
        </w:rPr>
        <w:t>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月为准，矿</w:t>
      </w:r>
      <w:r>
        <w:rPr>
          <w:rFonts w:hint="eastAsia"/>
          <w:color w:val="000000" w:themeColor="text1"/>
          <w:highlight w:val="none"/>
          <w:lang w:eastAsia="zh-CN"/>
        </w:rPr>
        <w:t>石</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p>
    <w:p>
      <w:pPr>
        <w:pStyle w:val="5"/>
        <w:spacing w:before="82" w:after="82"/>
        <w:rPr>
          <w:color w:val="000000" w:themeColor="text1"/>
          <w:highlight w:val="none"/>
        </w:rPr>
      </w:pPr>
      <w:bookmarkStart w:id="49" w:name="_Toc3558"/>
      <w:bookmarkStart w:id="50" w:name="_Toc3973"/>
      <w:r>
        <w:rPr>
          <w:color w:val="000000" w:themeColor="text1"/>
          <w:highlight w:val="none"/>
        </w:rPr>
        <w:t>1.3.2地面建设工程布局</w:t>
      </w:r>
      <w:bookmarkEnd w:id="49"/>
      <w:bookmarkEnd w:id="50"/>
    </w:p>
    <w:p>
      <w:pPr>
        <w:rPr>
          <w:rFonts w:hint="default" w:eastAsia="宋体"/>
          <w:color w:val="000000" w:themeColor="text1"/>
          <w:highlight w:val="none"/>
          <w:lang w:val="en-US" w:eastAsia="zh-CN"/>
        </w:rPr>
      </w:pPr>
      <w:r>
        <w:rPr>
          <w:rFonts w:hint="eastAsia"/>
          <w:color w:val="000000" w:themeColor="text1"/>
          <w:highlight w:val="none"/>
          <w:lang w:eastAsia="zh-CN"/>
        </w:rPr>
        <w:t>三江镇战旗石灰石矿</w:t>
      </w:r>
      <w:r>
        <w:rPr>
          <w:color w:val="000000" w:themeColor="text1"/>
          <w:highlight w:val="none"/>
        </w:rPr>
        <w:t>现有地面建设工程有</w:t>
      </w:r>
      <w:r>
        <w:rPr>
          <w:rFonts w:hint="eastAsia"/>
          <w:color w:val="000000" w:themeColor="text1"/>
          <w:highlight w:val="none"/>
        </w:rPr>
        <w:t>露天采场</w:t>
      </w:r>
      <w:r>
        <w:rPr>
          <w:rFonts w:hint="eastAsia"/>
          <w:color w:val="000000" w:themeColor="text1"/>
          <w:highlight w:val="none"/>
          <w:lang w:eastAsia="zh-CN"/>
        </w:rPr>
        <w:t>、矿山公路</w:t>
      </w:r>
      <w:r>
        <w:rPr>
          <w:rFonts w:hint="eastAsia"/>
          <w:color w:val="000000" w:themeColor="text1"/>
          <w:highlight w:val="none"/>
        </w:rPr>
        <w:t>。露天采场，占地面积约</w:t>
      </w:r>
      <w:r>
        <w:rPr>
          <w:rFonts w:hint="eastAsia"/>
          <w:color w:val="000000" w:themeColor="text1"/>
          <w:highlight w:val="none"/>
          <w:lang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r>
        <w:rPr>
          <w:color w:val="000000" w:themeColor="text1"/>
          <w:highlight w:val="none"/>
        </w:rPr>
        <w:t>损毁形式为</w:t>
      </w:r>
      <w:r>
        <w:rPr>
          <w:rFonts w:hint="eastAsia"/>
          <w:color w:val="000000" w:themeColor="text1"/>
          <w:highlight w:val="none"/>
          <w:lang w:eastAsia="zh-CN"/>
        </w:rPr>
        <w:t>挖损</w:t>
      </w:r>
      <w:r>
        <w:rPr>
          <w:color w:val="000000" w:themeColor="text1"/>
          <w:highlight w:val="none"/>
        </w:rPr>
        <w:t>，损毁</w:t>
      </w:r>
      <w:r>
        <w:rPr>
          <w:rFonts w:hint="eastAsia"/>
          <w:color w:val="000000" w:themeColor="text1"/>
          <w:highlight w:val="none"/>
          <w:lang w:eastAsia="zh-CN"/>
        </w:rPr>
        <w:t>程度为重度</w:t>
      </w:r>
      <w:r>
        <w:rPr>
          <w:color w:val="000000" w:themeColor="text1"/>
          <w:highlight w:val="none"/>
        </w:rPr>
        <w:t>。</w:t>
      </w:r>
      <w:r>
        <w:rPr>
          <w:rFonts w:hint="eastAsia"/>
          <w:color w:val="000000" w:themeColor="text1"/>
          <w:highlight w:val="none"/>
          <w:lang w:eastAsia="zh-CN"/>
        </w:rPr>
        <w:t>矿山公路占地面积约</w:t>
      </w:r>
      <w:r>
        <w:rPr>
          <w:rFonts w:hint="eastAsia"/>
          <w:color w:val="000000" w:themeColor="text1"/>
          <w:highlight w:val="none"/>
          <w:lang w:val="en-US" w:eastAsia="zh-CN"/>
        </w:rPr>
        <w:t>0.6494hm</w:t>
      </w:r>
      <w:r>
        <w:rPr>
          <w:rFonts w:hint="eastAsia"/>
          <w:color w:val="000000" w:themeColor="text1"/>
          <w:highlight w:val="none"/>
          <w:vertAlign w:val="superscript"/>
          <w:lang w:val="en-US" w:eastAsia="zh-CN"/>
        </w:rPr>
        <w:t>2</w:t>
      </w:r>
      <w:r>
        <w:rPr>
          <w:rFonts w:hint="eastAsia"/>
          <w:color w:val="000000" w:themeColor="text1"/>
          <w:highlight w:val="none"/>
          <w:lang w:val="en-US" w:eastAsia="zh-CN"/>
        </w:rPr>
        <w:t>，其中0.5465hm</w:t>
      </w:r>
      <w:r>
        <w:rPr>
          <w:rFonts w:hint="eastAsia"/>
          <w:color w:val="000000" w:themeColor="text1"/>
          <w:highlight w:val="none"/>
          <w:vertAlign w:val="superscript"/>
          <w:lang w:val="en-US" w:eastAsia="zh-CN"/>
        </w:rPr>
        <w:t>2</w:t>
      </w:r>
      <w:r>
        <w:rPr>
          <w:rFonts w:hint="eastAsia"/>
          <w:color w:val="000000" w:themeColor="text1"/>
          <w:highlight w:val="none"/>
          <w:lang w:val="en-US" w:eastAsia="zh-CN"/>
        </w:rPr>
        <w:t>位于露天采场外部，</w:t>
      </w:r>
      <w:r>
        <w:rPr>
          <w:color w:val="000000" w:themeColor="text1"/>
          <w:highlight w:val="none"/>
        </w:rPr>
        <w:t>损毁形式为</w:t>
      </w:r>
      <w:r>
        <w:rPr>
          <w:rFonts w:hint="eastAsia"/>
          <w:color w:val="000000" w:themeColor="text1"/>
          <w:highlight w:val="none"/>
          <w:lang w:eastAsia="zh-CN"/>
        </w:rPr>
        <w:t>挖损和压占</w:t>
      </w:r>
      <w:r>
        <w:rPr>
          <w:color w:val="000000" w:themeColor="text1"/>
          <w:highlight w:val="none"/>
        </w:rPr>
        <w:t>，损毁</w:t>
      </w:r>
      <w:r>
        <w:rPr>
          <w:rFonts w:hint="eastAsia"/>
          <w:color w:val="000000" w:themeColor="text1"/>
          <w:highlight w:val="none"/>
          <w:lang w:eastAsia="zh-CN"/>
        </w:rPr>
        <w:t>程度为重</w:t>
      </w:r>
      <w:r>
        <w:rPr>
          <w:rFonts w:hint="eastAsia"/>
          <w:color w:val="000000" w:themeColor="text1"/>
          <w:highlight w:val="none"/>
          <w:lang w:val="en-US" w:eastAsia="zh-CN"/>
        </w:rPr>
        <w:t>。</w:t>
      </w:r>
    </w:p>
    <w:p>
      <w:pPr>
        <w:rPr>
          <w:rFonts w:hint="eastAsia"/>
          <w:color w:val="000000" w:themeColor="text1"/>
          <w:highlight w:val="none"/>
        </w:rPr>
      </w:pPr>
      <w:r>
        <w:rPr>
          <w:color w:val="000000" w:themeColor="text1"/>
          <w:highlight w:val="none"/>
        </w:rPr>
        <w:t>1、</w:t>
      </w:r>
      <w:r>
        <w:rPr>
          <w:rFonts w:hint="eastAsia"/>
          <w:color w:val="000000" w:themeColor="text1"/>
          <w:highlight w:val="none"/>
        </w:rPr>
        <w:t>露天采场</w:t>
      </w:r>
    </w:p>
    <w:p>
      <w:pPr>
        <w:rPr>
          <w:rFonts w:hint="eastAsia"/>
          <w:color w:val="000000" w:themeColor="text1"/>
          <w:highlight w:val="none"/>
        </w:rPr>
      </w:pPr>
      <w:r>
        <w:rPr>
          <w:rFonts w:hint="eastAsia"/>
          <w:color w:val="000000" w:themeColor="text1"/>
          <w:highlight w:val="none"/>
        </w:rPr>
        <w:t>露天采场</w:t>
      </w:r>
      <w:r>
        <w:rPr>
          <w:color w:val="000000" w:themeColor="text1"/>
          <w:highlight w:val="none"/>
        </w:rPr>
        <w:t>已损毁土地总面积</w:t>
      </w:r>
      <w:r>
        <w:rPr>
          <w:rFonts w:hint="eastAsia"/>
          <w:color w:val="000000" w:themeColor="text1"/>
          <w:highlight w:val="none"/>
          <w:lang w:eastAsia="zh-CN"/>
        </w:rPr>
        <w:t>5.5458</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lang w:eastAsia="zh-CN"/>
        </w:rPr>
        <w:t>主要损毁地类为乔木林地和采矿用地。</w:t>
      </w:r>
      <w:r>
        <w:rPr>
          <w:rFonts w:hint="eastAsia"/>
          <w:color w:val="000000" w:themeColor="text1"/>
          <w:highlight w:val="none"/>
        </w:rPr>
        <w:t>露天采场由山坡露天开采形成，以标高</w:t>
      </w:r>
      <w:r>
        <w:rPr>
          <w:rFonts w:hint="eastAsia"/>
          <w:color w:val="000000" w:themeColor="text1"/>
          <w:highlight w:val="none"/>
          <w:lang w:eastAsia="zh-CN"/>
        </w:rPr>
        <w:t>+1050</w:t>
      </w:r>
      <w:r>
        <w:rPr>
          <w:rFonts w:hint="eastAsia"/>
          <w:color w:val="000000" w:themeColor="text1"/>
          <w:highlight w:val="none"/>
        </w:rPr>
        <w:t>m为采矿最低开拓面</w:t>
      </w:r>
      <w:r>
        <w:rPr>
          <w:rFonts w:hint="eastAsia"/>
          <w:color w:val="000000" w:themeColor="text1"/>
          <w:highlight w:val="none"/>
          <w:lang w:eastAsia="zh-CN"/>
        </w:rPr>
        <w:t>，</w:t>
      </w:r>
      <w:r>
        <w:rPr>
          <w:rFonts w:hint="eastAsia"/>
          <w:color w:val="000000" w:themeColor="text1"/>
          <w:highlight w:val="none"/>
        </w:rPr>
        <w:t>采场内</w:t>
      </w:r>
      <w:r>
        <w:rPr>
          <w:rFonts w:hint="eastAsia"/>
          <w:color w:val="000000" w:themeColor="text1"/>
          <w:highlight w:val="none"/>
          <w:lang w:eastAsia="zh-CN"/>
        </w:rPr>
        <w:t>未</w:t>
      </w:r>
      <w:r>
        <w:rPr>
          <w:rFonts w:hint="eastAsia"/>
          <w:color w:val="000000" w:themeColor="text1"/>
          <w:highlight w:val="none"/>
        </w:rPr>
        <w:t>形成开采台阶。</w:t>
      </w:r>
    </w:p>
    <w:p>
      <w:pPr>
        <w:rPr>
          <w:rFonts w:hint="eastAsia"/>
          <w:color w:val="000000" w:themeColor="text1"/>
          <w:highlight w:val="none"/>
          <w:lang w:val="en-US" w:eastAsia="zh-CN"/>
        </w:rPr>
      </w:pPr>
      <w:r>
        <w:rPr>
          <w:rFonts w:hint="eastAsia"/>
          <w:color w:val="000000" w:themeColor="text1"/>
          <w:highlight w:val="none"/>
          <w:lang w:val="en-US" w:eastAsia="zh-CN"/>
        </w:rPr>
        <w:t>2、矿山公路</w:t>
      </w:r>
    </w:p>
    <w:p>
      <w:pPr>
        <w:rPr>
          <w:rFonts w:hint="eastAsia" w:eastAsia="宋体"/>
          <w:color w:val="000000" w:themeColor="text1"/>
          <w:highlight w:val="none"/>
          <w:lang w:eastAsia="zh-CN"/>
        </w:rPr>
      </w:pPr>
      <w:r>
        <w:rPr>
          <w:rFonts w:hint="eastAsia"/>
          <w:color w:val="000000" w:themeColor="text1"/>
          <w:highlight w:val="none"/>
          <w:lang w:val="en-US" w:eastAsia="zh-CN"/>
        </w:rPr>
        <w:t>矿山公路</w:t>
      </w:r>
      <w:r>
        <w:rPr>
          <w:color w:val="000000" w:themeColor="text1"/>
          <w:highlight w:val="none"/>
        </w:rPr>
        <w:t>已损毁土地总面积</w:t>
      </w:r>
      <w:r>
        <w:rPr>
          <w:rFonts w:hint="eastAsia"/>
          <w:color w:val="000000" w:themeColor="text1"/>
          <w:highlight w:val="none"/>
          <w:lang w:val="en-US" w:eastAsia="zh-CN"/>
        </w:rPr>
        <w:t>0.5465hm</w:t>
      </w:r>
      <w:r>
        <w:rPr>
          <w:rFonts w:hint="eastAsia"/>
          <w:color w:val="000000" w:themeColor="text1"/>
          <w:highlight w:val="none"/>
          <w:vertAlign w:val="superscript"/>
          <w:lang w:val="en-US" w:eastAsia="zh-CN"/>
        </w:rPr>
        <w:t>2</w:t>
      </w:r>
      <w:r>
        <w:rPr>
          <w:rFonts w:hint="eastAsia"/>
          <w:color w:val="000000" w:themeColor="text1"/>
          <w:highlight w:val="none"/>
          <w:vertAlign w:val="baseline"/>
          <w:lang w:val="en-US" w:eastAsia="zh-CN"/>
        </w:rPr>
        <w:t>，</w:t>
      </w:r>
      <w:r>
        <w:rPr>
          <w:rFonts w:hint="eastAsia"/>
          <w:color w:val="000000" w:themeColor="text1"/>
          <w:highlight w:val="none"/>
          <w:lang w:eastAsia="zh-CN"/>
        </w:rPr>
        <w:t>主要损毁地类为乔木林地、灌木林地和采矿用地。</w:t>
      </w:r>
      <w:r>
        <w:rPr>
          <w:rFonts w:hint="eastAsia"/>
          <w:color w:val="000000" w:themeColor="text1"/>
          <w:highlight w:val="none"/>
          <w:lang w:val="en-US" w:eastAsia="zh-CN"/>
        </w:rPr>
        <w:t>矿山公路</w:t>
      </w:r>
      <w:r>
        <w:rPr>
          <w:rFonts w:hint="eastAsia"/>
          <w:color w:val="000000" w:themeColor="text1"/>
          <w:highlight w:val="none"/>
          <w:vertAlign w:val="baseline"/>
          <w:lang w:val="en-US" w:eastAsia="zh-CN"/>
        </w:rPr>
        <w:t>为矿区外部运输道路，由碎石铺就压实路面，未硬化</w:t>
      </w:r>
      <w:r>
        <w:rPr>
          <w:rFonts w:hint="eastAsia"/>
          <w:color w:val="000000" w:themeColor="text1"/>
          <w:highlight w:val="none"/>
          <w:lang w:eastAsia="zh-CN"/>
        </w:rPr>
        <w:t>。</w:t>
      </w:r>
    </w:p>
    <w:p>
      <w:pPr>
        <w:pStyle w:val="67"/>
        <w:rPr>
          <w:color w:val="000000" w:themeColor="text1"/>
          <w:highlight w:val="none"/>
        </w:rPr>
      </w:pPr>
      <w:r>
        <w:drawing>
          <wp:inline distT="0" distB="0" distL="114300" distR="114300">
            <wp:extent cx="5268595" cy="4433570"/>
            <wp:effectExtent l="0" t="0" r="8255" b="508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9"/>
                    <a:stretch>
                      <a:fillRect/>
                    </a:stretch>
                  </pic:blipFill>
                  <pic:spPr>
                    <a:xfrm>
                      <a:off x="0" y="0"/>
                      <a:ext cx="5268595" cy="4433570"/>
                    </a:xfrm>
                    <a:prstGeom prst="rect">
                      <a:avLst/>
                    </a:prstGeom>
                    <a:noFill/>
                    <a:ln>
                      <a:noFill/>
                    </a:ln>
                  </pic:spPr>
                </pic:pic>
              </a:graphicData>
            </a:graphic>
          </wp:inline>
        </w:drawing>
      </w:r>
    </w:p>
    <w:p>
      <w:pPr>
        <w:pStyle w:val="67"/>
        <w:rPr>
          <w:rFonts w:hint="eastAsia" w:eastAsia="宋体"/>
          <w:color w:val="000000" w:themeColor="text1"/>
          <w:highlight w:val="none"/>
          <w:lang w:eastAsia="zh-CN"/>
        </w:rPr>
      </w:pPr>
      <w:r>
        <w:rPr>
          <w:color w:val="000000" w:themeColor="text1"/>
          <w:highlight w:val="none"/>
        </w:rPr>
        <w:t>图1-2</w:t>
      </w:r>
      <w:r>
        <w:rPr>
          <w:rFonts w:hint="eastAsia"/>
          <w:color w:val="000000" w:themeColor="text1"/>
          <w:highlight w:val="none"/>
        </w:rPr>
        <w:t xml:space="preserve">  露天采场</w:t>
      </w:r>
      <w:r>
        <w:rPr>
          <w:rFonts w:hint="eastAsia"/>
          <w:color w:val="000000" w:themeColor="text1"/>
          <w:highlight w:val="none"/>
          <w:lang w:eastAsia="zh-CN"/>
        </w:rPr>
        <w:t>及矿山公路现状</w:t>
      </w:r>
    </w:p>
    <w:p>
      <w:pPr>
        <w:pStyle w:val="5"/>
        <w:spacing w:before="82" w:after="82"/>
        <w:rPr>
          <w:color w:val="000000" w:themeColor="text1"/>
          <w:highlight w:val="none"/>
        </w:rPr>
      </w:pPr>
      <w:bookmarkStart w:id="51" w:name="_Toc5971"/>
      <w:bookmarkStart w:id="52" w:name="_Toc2855"/>
      <w:r>
        <w:rPr>
          <w:color w:val="000000" w:themeColor="text1"/>
          <w:highlight w:val="none"/>
        </w:rPr>
        <w:t>1.3.3</w:t>
      </w:r>
      <w:r>
        <w:rPr>
          <w:rFonts w:hint="eastAsia"/>
          <w:color w:val="000000" w:themeColor="text1"/>
          <w:highlight w:val="none"/>
        </w:rPr>
        <w:t xml:space="preserve"> 矿床的开采方式</w:t>
      </w:r>
      <w:bookmarkEnd w:id="51"/>
      <w:bookmarkEnd w:id="52"/>
    </w:p>
    <w:p>
      <w:pPr>
        <w:rPr>
          <w:color w:val="000000" w:themeColor="text1"/>
          <w:highlight w:val="none"/>
        </w:rPr>
      </w:pPr>
      <w:r>
        <w:rPr>
          <w:rFonts w:hint="eastAsia"/>
          <w:color w:val="000000" w:themeColor="text1"/>
          <w:highlight w:val="none"/>
        </w:rPr>
        <w:t>矿区地形坡度25°～50°，开采矿体出露面积大，矿体产状、厚度稳定。矿区范围地处斜坡中下部，覆盖层薄，矿山开采地表浅部矿产，适宜于露天开采。</w:t>
      </w:r>
    </w:p>
    <w:p>
      <w:pPr>
        <w:pStyle w:val="5"/>
        <w:spacing w:before="82" w:after="82"/>
        <w:rPr>
          <w:color w:val="000000" w:themeColor="text1"/>
          <w:highlight w:val="none"/>
        </w:rPr>
      </w:pPr>
      <w:bookmarkStart w:id="53" w:name="_Toc20098"/>
      <w:bookmarkStart w:id="54" w:name="_Toc31915"/>
      <w:r>
        <w:rPr>
          <w:color w:val="000000" w:themeColor="text1"/>
          <w:highlight w:val="none"/>
        </w:rPr>
        <w:t>1.3.4采区布置及开采顺序</w:t>
      </w:r>
      <w:bookmarkEnd w:id="53"/>
      <w:bookmarkEnd w:id="54"/>
    </w:p>
    <w:p>
      <w:pPr>
        <w:rPr>
          <w:color w:val="000000" w:themeColor="text1"/>
          <w:highlight w:val="none"/>
        </w:rPr>
      </w:pPr>
      <w:r>
        <w:rPr>
          <w:color w:val="000000" w:themeColor="text1"/>
          <w:highlight w:val="none"/>
        </w:rPr>
        <w:t>1、</w:t>
      </w:r>
      <w:r>
        <w:rPr>
          <w:rFonts w:hint="eastAsia"/>
          <w:color w:val="000000" w:themeColor="text1"/>
          <w:highlight w:val="none"/>
        </w:rPr>
        <w:t>总平面布置</w:t>
      </w:r>
    </w:p>
    <w:p>
      <w:pPr>
        <w:rPr>
          <w:color w:val="000000" w:themeColor="text1"/>
          <w:highlight w:val="none"/>
        </w:rPr>
      </w:pPr>
      <w:r>
        <w:rPr>
          <w:rFonts w:hint="eastAsia"/>
          <w:color w:val="000000" w:themeColor="text1"/>
          <w:highlight w:val="none"/>
        </w:rPr>
        <w:t>矿区总平面布置内容主要有</w:t>
      </w:r>
      <w:r>
        <w:rPr>
          <w:rFonts w:hint="eastAsia"/>
          <w:color w:val="000000" w:themeColor="text1"/>
          <w:highlight w:val="none"/>
          <w:lang w:eastAsia="zh-CN"/>
        </w:rPr>
        <w:t>露天采场</w:t>
      </w:r>
      <w:r>
        <w:rPr>
          <w:rFonts w:hint="eastAsia"/>
          <w:color w:val="000000" w:themeColor="text1"/>
          <w:highlight w:val="none"/>
        </w:rPr>
        <w:t>。</w:t>
      </w:r>
    </w:p>
    <w:p>
      <w:pPr>
        <w:rPr>
          <w:rFonts w:hint="eastAsia"/>
          <w:color w:val="000000" w:themeColor="text1"/>
          <w:highlight w:val="none"/>
          <w:lang w:eastAsia="zh-CN"/>
        </w:rPr>
      </w:pPr>
      <w:r>
        <w:rPr>
          <w:rFonts w:hint="eastAsia"/>
          <w:color w:val="000000" w:themeColor="text1"/>
          <w:highlight w:val="none"/>
          <w:lang w:eastAsia="zh-CN"/>
        </w:rPr>
        <w:t>2、开采顺序</w:t>
      </w:r>
    </w:p>
    <w:p>
      <w:pPr>
        <w:rPr>
          <w:rFonts w:hint="eastAsia" w:eastAsia="宋体"/>
          <w:color w:val="000000" w:themeColor="text1"/>
          <w:highlight w:val="none"/>
          <w:lang w:eastAsia="zh-CN"/>
        </w:rPr>
      </w:pPr>
      <w:r>
        <w:rPr>
          <w:rFonts w:hint="eastAsia"/>
          <w:color w:val="000000" w:themeColor="text1"/>
          <w:highlight w:val="none"/>
          <w:lang w:eastAsia="zh-CN"/>
        </w:rPr>
        <w:t>矿山开采深度为+1050m～+1228m，根据矿区范围、区内地形地貌、地表坡度及岩层倾角等因素综合考虑，采用从上至下台阶式采矿方法开采，总体上由西向东方向推进。</w:t>
      </w:r>
    </w:p>
    <w:p>
      <w:pPr>
        <w:rPr>
          <w:color w:val="000000" w:themeColor="text1"/>
          <w:highlight w:val="none"/>
        </w:rPr>
      </w:pPr>
      <w:r>
        <w:rPr>
          <w:rFonts w:hint="eastAsia"/>
          <w:color w:val="000000" w:themeColor="text1"/>
          <w:highlight w:val="none"/>
        </w:rPr>
        <w:t>3、采剥工艺</w:t>
      </w:r>
    </w:p>
    <w:p>
      <w:pPr>
        <w:rPr>
          <w:color w:val="000000" w:themeColor="text1"/>
          <w:highlight w:val="none"/>
        </w:rPr>
      </w:pPr>
      <w:r>
        <w:rPr>
          <w:rFonts w:hint="eastAsia"/>
          <w:color w:val="000000" w:themeColor="text1"/>
          <w:highlight w:val="none"/>
        </w:rPr>
        <w:t>采剥工作采用自上而下分台阶开采的采剥方法。矿山设计KY120型中深孔钻机2台</w:t>
      </w:r>
      <w:r>
        <w:rPr>
          <w:rFonts w:hint="eastAsia"/>
          <w:color w:val="000000" w:themeColor="text1"/>
          <w:highlight w:val="none"/>
          <w:lang w:eastAsia="zh-CN"/>
        </w:rPr>
        <w:t>，</w:t>
      </w:r>
      <w:r>
        <w:rPr>
          <w:rFonts w:hint="eastAsia"/>
          <w:color w:val="000000" w:themeColor="text1"/>
          <w:highlight w:val="none"/>
        </w:rPr>
        <w:t>按钻孔孔径100mm，钻孔深度10m，YT28型手持式凿岩机3台，CE550-6型液压挖掘机铲装，矿山设计CAT 320 GC挖掘机（1.0m</w:t>
      </w:r>
      <w:r>
        <w:rPr>
          <w:rFonts w:hint="eastAsia"/>
          <w:color w:val="000000" w:themeColor="text1"/>
          <w:highlight w:val="none"/>
          <w:vertAlign w:val="superscript"/>
        </w:rPr>
        <w:t>3</w:t>
      </w:r>
      <w:r>
        <w:rPr>
          <w:rFonts w:hint="eastAsia"/>
          <w:color w:val="000000" w:themeColor="text1"/>
          <w:highlight w:val="none"/>
        </w:rPr>
        <w:t>）3台、XG955 III装载机3台（1.0m3）（各2台工作，1台备用）。</w:t>
      </w:r>
    </w:p>
    <w:p>
      <w:pPr>
        <w:rPr>
          <w:color w:val="000000" w:themeColor="text1"/>
          <w:highlight w:val="none"/>
        </w:rPr>
      </w:pPr>
      <w:r>
        <w:rPr>
          <w:rFonts w:hint="eastAsia"/>
          <w:color w:val="000000" w:themeColor="text1"/>
          <w:highlight w:val="none"/>
        </w:rPr>
        <w:t>台阶高度1</w:t>
      </w:r>
      <w:r>
        <w:rPr>
          <w:rFonts w:hint="eastAsia"/>
          <w:color w:val="000000" w:themeColor="text1"/>
          <w:highlight w:val="none"/>
          <w:lang w:val="en-US" w:eastAsia="zh-CN"/>
        </w:rPr>
        <w:t>0</w:t>
      </w:r>
      <w:r>
        <w:rPr>
          <w:rFonts w:hint="eastAsia"/>
          <w:color w:val="000000" w:themeColor="text1"/>
          <w:highlight w:val="none"/>
        </w:rPr>
        <w:t>m，台阶坡面角6</w:t>
      </w:r>
      <w:r>
        <w:rPr>
          <w:rFonts w:hint="eastAsia"/>
          <w:color w:val="000000" w:themeColor="text1"/>
          <w:highlight w:val="none"/>
          <w:lang w:val="en-US" w:eastAsia="zh-CN"/>
        </w:rPr>
        <w:t>8</w:t>
      </w:r>
      <w:r>
        <w:rPr>
          <w:rFonts w:hint="eastAsia"/>
          <w:color w:val="000000" w:themeColor="text1"/>
          <w:highlight w:val="none"/>
        </w:rPr>
        <w:t>°</w:t>
      </w:r>
      <w:r>
        <w:rPr>
          <w:rFonts w:hint="eastAsia"/>
          <w:color w:val="000000" w:themeColor="text1"/>
          <w:highlight w:val="none"/>
          <w:lang w:eastAsia="zh-CN"/>
        </w:rPr>
        <w:t>，最终边坡角</w:t>
      </w:r>
      <w:r>
        <w:rPr>
          <w:rFonts w:hint="eastAsia"/>
          <w:color w:val="000000" w:themeColor="text1"/>
          <w:highlight w:val="none"/>
          <w:lang w:val="en-US" w:eastAsia="zh-CN"/>
        </w:rPr>
        <w:t>50°</w:t>
      </w:r>
      <w:r>
        <w:rPr>
          <w:rFonts w:hint="eastAsia"/>
          <w:color w:val="000000" w:themeColor="text1"/>
          <w:highlight w:val="none"/>
        </w:rPr>
        <w:t>。最小工作平台宽度≥</w:t>
      </w:r>
      <w:r>
        <w:rPr>
          <w:rFonts w:hint="eastAsia"/>
          <w:color w:val="000000" w:themeColor="text1"/>
          <w:highlight w:val="none"/>
          <w:lang w:val="en-US" w:eastAsia="zh-CN"/>
        </w:rPr>
        <w:t>60</w:t>
      </w:r>
      <w:r>
        <w:rPr>
          <w:rFonts w:hint="eastAsia"/>
          <w:color w:val="000000" w:themeColor="text1"/>
          <w:highlight w:val="none"/>
        </w:rPr>
        <w:t>m，挖掘机最小工作线长度≥90m。</w:t>
      </w:r>
    </w:p>
    <w:p>
      <w:pPr>
        <w:rPr>
          <w:color w:val="000000" w:themeColor="text1"/>
          <w:highlight w:val="none"/>
        </w:rPr>
      </w:pPr>
      <w:r>
        <w:rPr>
          <w:rFonts w:hint="eastAsia"/>
          <w:color w:val="000000" w:themeColor="text1"/>
          <w:highlight w:val="none"/>
        </w:rPr>
        <w:t>矿山属于山坡露天开采，各台阶的开段沟为单壁沟，沟底宽度为10m，一期工作面推进方向（从上盘向下盘）沿地形线进行布置。为了合理、安全、最大限度的回采矿山资源，矿山二期开采在遵循“自上而下、水平台阶式开采、垂直地形线走向布置工作面、沿地形线推进”的原则下，对一期未完全揭露矿体的开采工作面采区自上而下扩帮的方式回收一期剩余矿产资源以达到保护性开采矿产资源的目的。</w:t>
      </w:r>
    </w:p>
    <w:p>
      <w:pPr>
        <w:rPr>
          <w:color w:val="000000" w:themeColor="text1"/>
          <w:highlight w:val="none"/>
        </w:rPr>
      </w:pPr>
      <w:r>
        <w:rPr>
          <w:rFonts w:hint="eastAsia"/>
          <w:color w:val="000000" w:themeColor="text1"/>
          <w:highlight w:val="none"/>
        </w:rPr>
        <w:t>4、回采工作面参数</w:t>
      </w:r>
    </w:p>
    <w:p>
      <w:pPr>
        <w:rPr>
          <w:color w:val="000000" w:themeColor="text1"/>
          <w:highlight w:val="none"/>
        </w:rPr>
      </w:pPr>
      <w:r>
        <w:rPr>
          <w:rFonts w:hint="eastAsia"/>
          <w:color w:val="000000" w:themeColor="text1"/>
          <w:highlight w:val="none"/>
        </w:rPr>
        <w:t>根据矿山开发利用方案最终圈定的露天采场开采境界几何参数如下：</w:t>
      </w:r>
    </w:p>
    <w:p>
      <w:pPr>
        <w:rPr>
          <w:rFonts w:hint="eastAsia"/>
          <w:color w:val="000000" w:themeColor="text1"/>
          <w:highlight w:val="none"/>
        </w:rPr>
      </w:pPr>
      <w:r>
        <w:rPr>
          <w:rFonts w:hint="eastAsia"/>
          <w:color w:val="000000" w:themeColor="text1"/>
          <w:highlight w:val="none"/>
        </w:rPr>
        <w:t>①台阶高度：10m；</w:t>
      </w:r>
    </w:p>
    <w:p>
      <w:pPr>
        <w:rPr>
          <w:rFonts w:hint="eastAsia"/>
          <w:color w:val="000000" w:themeColor="text1"/>
          <w:highlight w:val="none"/>
        </w:rPr>
      </w:pPr>
      <w:r>
        <w:rPr>
          <w:rFonts w:hint="eastAsia"/>
          <w:color w:val="000000" w:themeColor="text1"/>
          <w:highlight w:val="none"/>
        </w:rPr>
        <w:t>②清扫平台宽度：6.5m；</w:t>
      </w:r>
    </w:p>
    <w:p>
      <w:pPr>
        <w:rPr>
          <w:rFonts w:hint="eastAsia"/>
          <w:color w:val="000000" w:themeColor="text1"/>
          <w:highlight w:val="none"/>
        </w:rPr>
      </w:pPr>
      <w:r>
        <w:rPr>
          <w:rFonts w:hint="eastAsia"/>
          <w:color w:val="000000" w:themeColor="text1"/>
          <w:highlight w:val="none"/>
        </w:rPr>
        <w:t>③安全平台宽度：3.5m；</w:t>
      </w:r>
    </w:p>
    <w:p>
      <w:pPr>
        <w:rPr>
          <w:rFonts w:hint="eastAsia"/>
          <w:color w:val="000000" w:themeColor="text1"/>
          <w:highlight w:val="none"/>
        </w:rPr>
      </w:pPr>
      <w:r>
        <w:rPr>
          <w:rFonts w:hint="eastAsia"/>
          <w:color w:val="000000" w:themeColor="text1"/>
          <w:highlight w:val="none"/>
        </w:rPr>
        <w:t>④台阶坡面角：68°；</w:t>
      </w:r>
    </w:p>
    <w:p>
      <w:pPr>
        <w:rPr>
          <w:rFonts w:hint="eastAsia"/>
          <w:color w:val="000000" w:themeColor="text1"/>
          <w:highlight w:val="none"/>
        </w:rPr>
      </w:pPr>
      <w:r>
        <w:rPr>
          <w:rFonts w:hint="eastAsia"/>
          <w:color w:val="000000" w:themeColor="text1"/>
          <w:highlight w:val="none"/>
        </w:rPr>
        <w:t>⑤采场最终边坡角：50°；</w:t>
      </w:r>
    </w:p>
    <w:p>
      <w:pPr>
        <w:rPr>
          <w:rFonts w:hint="eastAsia"/>
          <w:color w:val="000000" w:themeColor="text1"/>
          <w:highlight w:val="none"/>
        </w:rPr>
      </w:pPr>
      <w:r>
        <w:rPr>
          <w:rFonts w:hint="eastAsia"/>
          <w:color w:val="000000" w:themeColor="text1"/>
          <w:highlight w:val="none"/>
        </w:rPr>
        <w:t>⑥边坡最大高度：178m；</w:t>
      </w:r>
    </w:p>
    <w:p>
      <w:pPr>
        <w:rPr>
          <w:color w:val="000000" w:themeColor="text1"/>
          <w:highlight w:val="none"/>
        </w:rPr>
      </w:pPr>
      <w:r>
        <w:rPr>
          <w:rFonts w:hint="eastAsia"/>
          <w:color w:val="000000" w:themeColor="text1"/>
          <w:highlight w:val="none"/>
        </w:rPr>
        <w:t>⑦最终底部平台宽度：≥60m。</w:t>
      </w:r>
    </w:p>
    <w:p>
      <w:pPr>
        <w:rPr>
          <w:color w:val="000000" w:themeColor="text1"/>
          <w:highlight w:val="none"/>
        </w:rPr>
      </w:pPr>
      <w:r>
        <w:rPr>
          <w:color w:val="000000" w:themeColor="text1"/>
          <w:highlight w:val="none"/>
        </w:rPr>
        <w:t>5、矿山防水方法</w:t>
      </w:r>
    </w:p>
    <w:p>
      <w:pPr>
        <w:rPr>
          <w:color w:val="000000" w:themeColor="text1"/>
          <w:highlight w:val="none"/>
        </w:rPr>
      </w:pPr>
      <w:bookmarkStart w:id="55" w:name="_Toc32585"/>
      <w:r>
        <w:rPr>
          <w:rFonts w:hint="eastAsia"/>
          <w:color w:val="000000" w:themeColor="text1"/>
          <w:highlight w:val="none"/>
        </w:rPr>
        <w:t>（1）采矿场</w:t>
      </w:r>
    </w:p>
    <w:p>
      <w:pPr>
        <w:rPr>
          <w:color w:val="000000" w:themeColor="text1"/>
          <w:highlight w:val="none"/>
        </w:rPr>
      </w:pPr>
      <w:r>
        <w:rPr>
          <w:rFonts w:hint="eastAsia"/>
          <w:color w:val="000000" w:themeColor="text1"/>
          <w:highlight w:val="none"/>
        </w:rPr>
        <w:t>采场位于斜坡中部，地表水源自大气降水，一般情况下，采场大面积汇水的可能性小，根据矿山的开采技术条件，方案不单独设置截排水沟。采场内部各开采平台，从外沿向边坡保持5‰左右的坡度，场内雨水积水均可自流排出，同时加强安全施工管理，在雨季暂停施工。</w:t>
      </w:r>
    </w:p>
    <w:p>
      <w:pPr>
        <w:rPr>
          <w:color w:val="000000" w:themeColor="text1"/>
          <w:highlight w:val="none"/>
        </w:rPr>
      </w:pPr>
      <w:r>
        <w:rPr>
          <w:rFonts w:hint="eastAsia"/>
          <w:color w:val="000000" w:themeColor="text1"/>
          <w:highlight w:val="none"/>
        </w:rPr>
        <w:t>在已固定的开采坡面种植草和树木，稳固坡面。</w:t>
      </w:r>
    </w:p>
    <w:bookmarkEnd w:id="55"/>
    <w:p>
      <w:pPr>
        <w:pStyle w:val="5"/>
        <w:spacing w:before="82" w:after="82"/>
        <w:rPr>
          <w:color w:val="000000" w:themeColor="text1"/>
          <w:highlight w:val="none"/>
        </w:rPr>
      </w:pPr>
      <w:bookmarkStart w:id="56" w:name="_Toc26699"/>
      <w:bookmarkStart w:id="57" w:name="_Toc14301"/>
      <w:bookmarkStart w:id="58" w:name="_Toc27528"/>
      <w:r>
        <w:rPr>
          <w:color w:val="000000" w:themeColor="text1"/>
          <w:highlight w:val="none"/>
        </w:rPr>
        <w:t>1.3.5矿山固体废弃物堆放</w:t>
      </w:r>
      <w:bookmarkEnd w:id="56"/>
    </w:p>
    <w:p>
      <w:pPr>
        <w:rPr>
          <w:color w:val="000000" w:themeColor="text1"/>
          <w:highlight w:val="none"/>
        </w:rPr>
      </w:pPr>
      <w:r>
        <w:rPr>
          <w:color w:val="000000" w:themeColor="text1"/>
          <w:highlight w:val="none"/>
        </w:rPr>
        <w:t>1、</w:t>
      </w:r>
      <w:r>
        <w:rPr>
          <w:rFonts w:hint="eastAsia"/>
          <w:color w:val="000000" w:themeColor="text1"/>
          <w:highlight w:val="none"/>
        </w:rPr>
        <w:t>废石</w:t>
      </w:r>
      <w:r>
        <w:rPr>
          <w:color w:val="000000" w:themeColor="text1"/>
          <w:highlight w:val="none"/>
        </w:rPr>
        <w:t>产出量及处置情况</w:t>
      </w:r>
    </w:p>
    <w:p>
      <w:pPr>
        <w:rPr>
          <w:color w:val="000000" w:themeColor="text1"/>
          <w:highlight w:val="none"/>
        </w:rPr>
      </w:pPr>
      <w:r>
        <w:rPr>
          <w:rFonts w:hint="eastAsia"/>
          <w:color w:val="000000" w:themeColor="text1"/>
          <w:highlight w:val="none"/>
        </w:rPr>
        <w:t>经现场调查，矿区范围内第四系盖层较薄，一般厚0～1.0m，大部分基岩裸露，矿体中夹石较少，矿山生产过程中产生的废石土较少。根据矿山以往生产情况，少量废石土均用于路面回填处理，不额外排放。因此本方案根据矿山实际情况，对今后生产过程中产生的废石土，仍采用回填路面的方法进行处理</w:t>
      </w:r>
      <w:r>
        <w:rPr>
          <w:color w:val="000000" w:themeColor="text1"/>
          <w:highlight w:val="none"/>
        </w:rPr>
        <w:t>。</w:t>
      </w:r>
    </w:p>
    <w:p>
      <w:pPr>
        <w:rPr>
          <w:color w:val="000000" w:themeColor="text1"/>
          <w:highlight w:val="none"/>
        </w:rPr>
      </w:pPr>
      <w:r>
        <w:rPr>
          <w:color w:val="000000" w:themeColor="text1"/>
          <w:highlight w:val="none"/>
        </w:rPr>
        <w:t>2、生活垃圾的处理</w:t>
      </w:r>
    </w:p>
    <w:p>
      <w:pPr>
        <w:rPr>
          <w:rFonts w:ascii="Times New Roman" w:hAnsi="Times New Roman" w:cs="Times New Roman"/>
          <w:color w:val="000000" w:themeColor="text1"/>
          <w:highlight w:val="none"/>
        </w:rPr>
      </w:pPr>
      <w:r>
        <w:rPr>
          <w:rFonts w:hint="eastAsia" w:ascii="Times New Roman" w:hAnsi="Times New Roman" w:cs="Times New Roman"/>
          <w:color w:val="000000" w:themeColor="text1"/>
          <w:highlight w:val="none"/>
        </w:rPr>
        <w:t>矿山</w:t>
      </w:r>
      <w:r>
        <w:rPr>
          <w:rFonts w:ascii="Times New Roman" w:hAnsi="Times New Roman" w:cs="Times New Roman"/>
          <w:color w:val="000000" w:themeColor="text1"/>
          <w:highlight w:val="none"/>
        </w:rPr>
        <w:t>生活垃圾排放量相对较小，矿区工业场地配备</w:t>
      </w:r>
      <w:r>
        <w:rPr>
          <w:rFonts w:hint="eastAsia" w:ascii="Times New Roman" w:hAnsi="Times New Roman" w:cs="Times New Roman"/>
          <w:color w:val="000000" w:themeColor="text1"/>
          <w:highlight w:val="none"/>
        </w:rPr>
        <w:t>垃圾桶</w:t>
      </w:r>
      <w:r>
        <w:rPr>
          <w:rFonts w:ascii="Times New Roman" w:hAnsi="Times New Roman" w:cs="Times New Roman"/>
          <w:color w:val="000000" w:themeColor="text1"/>
          <w:highlight w:val="none"/>
        </w:rPr>
        <w:t>和垃圾车，生活垃圾运至当地环卫部门指定地点，统一处理。</w:t>
      </w:r>
    </w:p>
    <w:p>
      <w:pPr>
        <w:pStyle w:val="5"/>
        <w:spacing w:before="82" w:after="82"/>
        <w:rPr>
          <w:color w:val="000000" w:themeColor="text1"/>
          <w:highlight w:val="none"/>
        </w:rPr>
      </w:pPr>
      <w:r>
        <w:rPr>
          <w:color w:val="000000" w:themeColor="text1"/>
          <w:highlight w:val="none"/>
        </w:rPr>
        <w:t>1.3.6矿山废水的排放与处置</w:t>
      </w:r>
      <w:bookmarkEnd w:id="57"/>
      <w:bookmarkEnd w:id="58"/>
    </w:p>
    <w:p>
      <w:pPr>
        <w:rPr>
          <w:color w:val="000000" w:themeColor="text1"/>
          <w:highlight w:val="none"/>
        </w:rPr>
      </w:pPr>
      <w:r>
        <w:rPr>
          <w:rFonts w:hint="eastAsia"/>
          <w:color w:val="000000" w:themeColor="text1"/>
          <w:highlight w:val="none"/>
        </w:rPr>
        <w:t>矿山生产废水主要来自采场凿岩和降尘，</w:t>
      </w:r>
      <w:r>
        <w:rPr>
          <w:rFonts w:hint="eastAsia"/>
          <w:color w:val="000000" w:themeColor="text1"/>
          <w:highlight w:val="none"/>
          <w:lang w:eastAsia="zh-CN"/>
        </w:rPr>
        <w:t>矿山生产废水量较少，修建防渗沉淀池处理后用于洒水降尘；生活废水经旱厕处理后用于农肥。生产、生活废水均不外排</w:t>
      </w:r>
      <w:r>
        <w:rPr>
          <w:rFonts w:hint="eastAsia"/>
          <w:color w:val="000000" w:themeColor="text1"/>
          <w:highlight w:val="none"/>
        </w:rPr>
        <w:t>。</w:t>
      </w:r>
    </w:p>
    <w:p>
      <w:pPr>
        <w:pStyle w:val="4"/>
        <w:spacing w:before="82" w:after="82"/>
        <w:rPr>
          <w:color w:val="000000" w:themeColor="text1"/>
          <w:highlight w:val="none"/>
        </w:rPr>
      </w:pPr>
      <w:bookmarkStart w:id="59" w:name="_Toc17075"/>
      <w:bookmarkStart w:id="60" w:name="_Toc15129"/>
      <w:r>
        <w:rPr>
          <w:color w:val="000000" w:themeColor="text1"/>
          <w:highlight w:val="none"/>
        </w:rPr>
        <w:t>1.4矿山开采历史及现状</w:t>
      </w:r>
      <w:bookmarkEnd w:id="59"/>
      <w:bookmarkEnd w:id="60"/>
    </w:p>
    <w:p>
      <w:pPr>
        <w:rPr>
          <w:color w:val="000000" w:themeColor="text1"/>
          <w:highlight w:val="none"/>
        </w:rPr>
      </w:pPr>
      <w:r>
        <w:rPr>
          <w:color w:val="000000" w:themeColor="text1"/>
          <w:highlight w:val="none"/>
        </w:rPr>
        <w:t>1、矿山开采历史情况</w:t>
      </w:r>
    </w:p>
    <w:p>
      <w:pPr>
        <w:rPr>
          <w:rFonts w:hint="eastAsia"/>
          <w:color w:val="000000" w:themeColor="text1"/>
          <w:spacing w:val="8"/>
          <w:highlight w:val="none"/>
        </w:rPr>
      </w:pPr>
      <w:r>
        <w:rPr>
          <w:rFonts w:hint="eastAsia"/>
          <w:color w:val="000000" w:themeColor="text1"/>
          <w:spacing w:val="8"/>
          <w:highlight w:val="none"/>
        </w:rPr>
        <w:t>旺苍县三江镇战旗石灰石矿于2008年建矿，由于市场及外部环境不佳，至2015年期间均处于停产状态，其间仅进行了零星的基础设施建设。矿山原设计开采方案为露天台阶式开采，2016年开始进行公路开拓系统的建设和开采平台的布置，当年动用储量1.37万吨。2017年至2021年，由于矿区范围设置不合理，矿区范围内大部分地段为泥质灰岩，不能用作水泥用石灰岩原料，因而矿山将采场布置于矿区范围外西侧的矿体位置，故形成了界外开采，2020年旺苍县自然资源局已对其越界开采行为进行了处罚。</w:t>
      </w:r>
    </w:p>
    <w:p>
      <w:pPr>
        <w:rPr>
          <w:rFonts w:hint="eastAsia" w:eastAsia="宋体"/>
          <w:color w:val="000000" w:themeColor="text1"/>
          <w:highlight w:val="none"/>
          <w:lang w:eastAsia="zh-CN"/>
        </w:rPr>
      </w:pPr>
      <w:r>
        <w:rPr>
          <w:rFonts w:hint="eastAsia"/>
          <w:color w:val="000000" w:themeColor="text1"/>
          <w:highlight w:val="none"/>
          <w:lang w:val="en-US" w:eastAsia="zh-CN"/>
        </w:rPr>
        <w:t>2</w:t>
      </w:r>
      <w:r>
        <w:rPr>
          <w:color w:val="000000" w:themeColor="text1"/>
          <w:highlight w:val="none"/>
        </w:rPr>
        <w:t>、矿山开采</w:t>
      </w:r>
      <w:r>
        <w:rPr>
          <w:rFonts w:hint="eastAsia"/>
          <w:color w:val="000000" w:themeColor="text1"/>
          <w:highlight w:val="none"/>
          <w:lang w:eastAsia="zh-CN"/>
        </w:rPr>
        <w:t>现状</w:t>
      </w:r>
    </w:p>
    <w:p>
      <w:pPr>
        <w:rPr>
          <w:rFonts w:hint="eastAsia"/>
          <w:color w:val="000000" w:themeColor="text1"/>
          <w:highlight w:val="none"/>
        </w:rPr>
      </w:pPr>
      <w:r>
        <w:rPr>
          <w:rFonts w:hint="eastAsia"/>
          <w:color w:val="000000" w:themeColor="text1"/>
          <w:spacing w:val="8"/>
          <w:highlight w:val="none"/>
        </w:rPr>
        <w:t>截至目前，采场已形成一长约360余米，高约200余米的开采边坡，由于未按台阶式开采，已形成“一面坡”形态，边坡角60°～70°。边坡部分</w:t>
      </w:r>
      <w:r>
        <w:rPr>
          <w:rFonts w:hint="eastAsia"/>
          <w:color w:val="000000" w:themeColor="text1"/>
          <w:highlight w:val="none"/>
        </w:rPr>
        <w:t>岩体临空，存在一定的安全隐患。矿山应引起高度重视，加强采矿安全管理。</w:t>
      </w:r>
    </w:p>
    <w:p>
      <w:pPr>
        <w:rPr>
          <w:rFonts w:hint="eastAsia"/>
          <w:color w:val="000000" w:themeColor="text1"/>
          <w:highlight w:val="none"/>
          <w:lang w:eastAsia="zh-CN"/>
        </w:rPr>
      </w:pPr>
      <w:r>
        <w:rPr>
          <w:rFonts w:hint="eastAsia"/>
          <w:color w:val="000000" w:themeColor="text1"/>
          <w:highlight w:val="none"/>
          <w:lang w:val="en-US" w:eastAsia="zh-CN"/>
        </w:rPr>
        <w:t>矿山管理机构健全，具备完善的生产、运输、加工设施及场地，外部条件较好</w:t>
      </w:r>
      <w:bookmarkStart w:id="61" w:name="_Toc16748"/>
      <w:r>
        <w:rPr>
          <w:rFonts w:hint="eastAsia"/>
          <w:color w:val="000000" w:themeColor="text1"/>
          <w:highlight w:val="none"/>
          <w:lang w:val="en-US" w:eastAsia="zh-CN"/>
        </w:rPr>
        <w:t>。</w:t>
      </w:r>
    </w:p>
    <w:p>
      <w:pPr>
        <w:rPr>
          <w:rFonts w:hint="eastAsia"/>
          <w:lang w:eastAsia="zh-CN"/>
        </w:rPr>
      </w:pPr>
    </w:p>
    <w:p>
      <w:pPr>
        <w:bidi w:val="0"/>
        <w:rPr>
          <w:highlight w:val="none"/>
        </w:rPr>
        <w:sectPr>
          <w:headerReference r:id="rId12" w:type="default"/>
          <w:footerReference r:id="rId13" w:type="default"/>
          <w:pgSz w:w="11905" w:h="16838"/>
          <w:pgMar w:top="1440" w:right="1803" w:bottom="1440" w:left="1803" w:header="624" w:footer="624" w:gutter="0"/>
          <w:cols w:space="0" w:num="1"/>
          <w:docGrid w:type="linesAndChars" w:linePitch="331" w:charSpace="0"/>
        </w:sectPr>
      </w:pPr>
    </w:p>
    <w:p>
      <w:pPr>
        <w:pStyle w:val="3"/>
        <w:rPr>
          <w:color w:val="000000" w:themeColor="text1"/>
          <w:highlight w:val="none"/>
        </w:rPr>
      </w:pPr>
      <w:bookmarkStart w:id="62" w:name="_Toc4257"/>
      <w:r>
        <w:rPr>
          <w:color w:val="000000" w:themeColor="text1"/>
          <w:highlight w:val="none"/>
        </w:rPr>
        <w:t>第二章矿区基本信息</w:t>
      </w:r>
      <w:bookmarkEnd w:id="61"/>
      <w:bookmarkEnd w:id="62"/>
    </w:p>
    <w:p>
      <w:pPr>
        <w:pStyle w:val="4"/>
        <w:spacing w:before="82" w:after="82"/>
        <w:rPr>
          <w:color w:val="000000" w:themeColor="text1"/>
          <w:highlight w:val="none"/>
        </w:rPr>
      </w:pPr>
      <w:bookmarkStart w:id="63" w:name="_Toc12405"/>
      <w:bookmarkStart w:id="64" w:name="_Toc31123"/>
      <w:r>
        <w:rPr>
          <w:color w:val="000000" w:themeColor="text1"/>
          <w:highlight w:val="none"/>
        </w:rPr>
        <w:t>2.1矿区自然地理</w:t>
      </w:r>
      <w:bookmarkEnd w:id="63"/>
      <w:bookmarkEnd w:id="64"/>
    </w:p>
    <w:p>
      <w:pPr>
        <w:pStyle w:val="5"/>
        <w:spacing w:before="82" w:after="82"/>
        <w:rPr>
          <w:color w:val="000000" w:themeColor="text1"/>
          <w:highlight w:val="none"/>
        </w:rPr>
      </w:pPr>
      <w:bookmarkStart w:id="65" w:name="_Toc15915"/>
      <w:bookmarkStart w:id="66" w:name="_Toc7747"/>
      <w:r>
        <w:rPr>
          <w:color w:val="000000" w:themeColor="text1"/>
          <w:highlight w:val="none"/>
        </w:rPr>
        <w:t>2.1.1气象</w:t>
      </w:r>
      <w:bookmarkEnd w:id="65"/>
      <w:bookmarkEnd w:id="66"/>
    </w:p>
    <w:p>
      <w:pPr>
        <w:rPr>
          <w:b/>
          <w:bCs/>
          <w:color w:val="000000" w:themeColor="text1"/>
          <w:highlight w:val="none"/>
        </w:rPr>
      </w:pPr>
      <w:bookmarkStart w:id="67" w:name="_Toc32235"/>
      <w:r>
        <w:rPr>
          <w:rFonts w:hint="eastAsia"/>
          <w:color w:val="000000" w:themeColor="text1"/>
          <w:highlight w:val="none"/>
        </w:rPr>
        <w:t>区内属亚热带湿润季风气候，冬寒夏热，四季分明，历年最低气温-5℃，最高气温35℃，年平均气温16℃。雨量充沛，年平均降水量约1170.4mm，最大1247.3mm，最小580.9mm，降雨大部分集中在每年的7～9月，占年降雨量75%左右。常引发山洪灾害。年平均风速1.7m/s，冬春两季以北风、北东风为主，夏秋两季以北风、北西风为主。大风一般出现在春夏两季。</w:t>
      </w:r>
    </w:p>
    <w:p>
      <w:pPr>
        <w:pStyle w:val="5"/>
        <w:spacing w:before="82" w:after="82"/>
        <w:rPr>
          <w:color w:val="000000" w:themeColor="text1"/>
          <w:highlight w:val="none"/>
        </w:rPr>
      </w:pPr>
      <w:bookmarkStart w:id="68" w:name="_Toc14750"/>
      <w:r>
        <w:rPr>
          <w:color w:val="000000" w:themeColor="text1"/>
          <w:highlight w:val="none"/>
        </w:rPr>
        <w:t>2.1.2水文</w:t>
      </w:r>
      <w:bookmarkEnd w:id="67"/>
      <w:bookmarkEnd w:id="68"/>
    </w:p>
    <w:p>
      <w:pPr>
        <w:rPr>
          <w:color w:val="000000" w:themeColor="text1"/>
          <w:highlight w:val="none"/>
        </w:rPr>
      </w:pPr>
      <w:bookmarkStart w:id="69" w:name="_Toc22532"/>
      <w:r>
        <w:rPr>
          <w:rFonts w:hint="eastAsia"/>
          <w:color w:val="000000" w:themeColor="text1"/>
          <w:highlight w:val="none"/>
        </w:rPr>
        <w:t>石洞沟为区内主要地表水体，为季节性溪沟，自北向南从矿区东侧流经而过。洪水季节（7～9月）水流量较大，枯水季节较小（或干枯）。沟内水质较好，可作为生产或生活用水。</w:t>
      </w:r>
    </w:p>
    <w:p>
      <w:pPr>
        <w:pStyle w:val="5"/>
        <w:spacing w:before="82" w:after="82"/>
        <w:rPr>
          <w:color w:val="000000" w:themeColor="text1"/>
          <w:highlight w:val="none"/>
        </w:rPr>
      </w:pPr>
      <w:bookmarkStart w:id="70" w:name="_Toc28341"/>
      <w:r>
        <w:rPr>
          <w:color w:val="000000" w:themeColor="text1"/>
          <w:highlight w:val="none"/>
        </w:rPr>
        <w:t>2.1.3地形地貌</w:t>
      </w:r>
      <w:bookmarkEnd w:id="69"/>
      <w:bookmarkEnd w:id="70"/>
    </w:p>
    <w:p>
      <w:pPr>
        <w:rPr>
          <w:color w:val="000000" w:themeColor="text1"/>
          <w:highlight w:val="none"/>
        </w:rPr>
      </w:pPr>
      <w:r>
        <w:rPr>
          <w:rFonts w:hint="eastAsia"/>
          <w:color w:val="000000" w:themeColor="text1"/>
          <w:highlight w:val="none"/>
        </w:rPr>
        <w:t>矿区地处四川盆地北缘大巴山西段，属中低山浅切割地貌类型。地势总体为北西高南东低，地形坡度25°～50°，区内海拔最高点位于图幅外西侧鹿角基约+1325m，最低为矿区范围东侧石洞沟，海拔约+900m，高差约425m。区内植被发育较好，主要为灌木林、乔木次之，覆盖率达80%以上。</w:t>
      </w:r>
    </w:p>
    <w:p>
      <w:pPr>
        <w:pStyle w:val="67"/>
        <w:rPr>
          <w:color w:val="000000" w:themeColor="text1"/>
          <w:highlight w:val="none"/>
        </w:rPr>
      </w:pPr>
      <w:r>
        <w:drawing>
          <wp:inline distT="0" distB="0" distL="114300" distR="114300">
            <wp:extent cx="5269865" cy="2798445"/>
            <wp:effectExtent l="0" t="0" r="6985" b="190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0"/>
                    <a:stretch>
                      <a:fillRect/>
                    </a:stretch>
                  </pic:blipFill>
                  <pic:spPr>
                    <a:xfrm>
                      <a:off x="0" y="0"/>
                      <a:ext cx="5269865" cy="2798445"/>
                    </a:xfrm>
                    <a:prstGeom prst="rect">
                      <a:avLst/>
                    </a:prstGeom>
                    <a:noFill/>
                    <a:ln>
                      <a:noFill/>
                    </a:ln>
                  </pic:spPr>
                </pic:pic>
              </a:graphicData>
            </a:graphic>
          </wp:inline>
        </w:drawing>
      </w:r>
    </w:p>
    <w:p>
      <w:pPr>
        <w:pStyle w:val="67"/>
        <w:rPr>
          <w:color w:val="000000" w:themeColor="text1"/>
          <w:highlight w:val="none"/>
        </w:rPr>
      </w:pPr>
      <w:r>
        <w:rPr>
          <w:color w:val="000000" w:themeColor="text1"/>
          <w:highlight w:val="none"/>
        </w:rPr>
        <w:t>图2-</w:t>
      </w:r>
      <w:r>
        <w:rPr>
          <w:rFonts w:hint="eastAsia"/>
          <w:color w:val="000000" w:themeColor="text1"/>
          <w:highlight w:val="none"/>
          <w:lang w:val="en-US" w:eastAsia="zh-CN"/>
        </w:rPr>
        <w:t>1</w:t>
      </w:r>
      <w:r>
        <w:rPr>
          <w:rFonts w:hint="eastAsia"/>
          <w:color w:val="000000" w:themeColor="text1"/>
          <w:highlight w:val="none"/>
        </w:rPr>
        <w:t xml:space="preserve">  </w:t>
      </w:r>
      <w:r>
        <w:rPr>
          <w:color w:val="000000" w:themeColor="text1"/>
          <w:highlight w:val="none"/>
        </w:rPr>
        <w:t>矿区地形地貌</w:t>
      </w:r>
    </w:p>
    <w:p>
      <w:pPr>
        <w:pStyle w:val="5"/>
        <w:spacing w:before="82" w:after="82"/>
        <w:rPr>
          <w:color w:val="000000" w:themeColor="text1"/>
          <w:highlight w:val="none"/>
        </w:rPr>
      </w:pPr>
      <w:bookmarkStart w:id="71" w:name="_Toc15659"/>
      <w:bookmarkStart w:id="72" w:name="_Toc30687"/>
      <w:r>
        <w:rPr>
          <w:color w:val="000000" w:themeColor="text1"/>
          <w:highlight w:val="none"/>
        </w:rPr>
        <w:t>2.1.4植被</w:t>
      </w:r>
      <w:bookmarkEnd w:id="71"/>
      <w:bookmarkEnd w:id="72"/>
    </w:p>
    <w:p>
      <w:pPr>
        <w:rPr>
          <w:color w:val="000000" w:themeColor="text1"/>
          <w:highlight w:val="none"/>
        </w:rPr>
      </w:pPr>
      <w:r>
        <w:rPr>
          <w:rFonts w:hint="eastAsia"/>
          <w:color w:val="000000" w:themeColor="text1"/>
          <w:highlight w:val="none"/>
        </w:rPr>
        <w:t>旺苍有植物4940种，其中灌木408种，经济林木17种，药材1500种（可收购318种）。名贵药材有天麻、麝香、熊胆等，杜仲、黄柏、厚朴质优量大，1998年被国家林业局命名为“全国名特优经济林杜仲之乡”。全县</w:t>
      </w:r>
      <w:r>
        <w:rPr>
          <w:rFonts w:hint="eastAsia"/>
          <w:color w:val="000000" w:themeColor="text1"/>
          <w:highlight w:val="none"/>
          <w:lang w:eastAsia="zh-CN"/>
        </w:rPr>
        <w:t>森林覆盖率达69</w:t>
      </w:r>
      <w:r>
        <w:rPr>
          <w:rFonts w:hint="eastAsia"/>
          <w:color w:val="000000" w:themeColor="text1"/>
          <w:highlight w:val="none"/>
        </w:rPr>
        <w:t>%，有面积多达320平方公里的原始生态植被，有7000余公顷的原始水青冈林，是世界水青冈属植物的起源和现代分布中心。</w:t>
      </w:r>
      <w:r>
        <w:rPr>
          <w:color w:val="000000" w:themeColor="text1"/>
          <w:highlight w:val="none"/>
        </w:rPr>
        <w:t>低山河谷地带（千米以下），分布有亚热带马尾松林；腹部走廊区海拔1000 -1200米地</w:t>
      </w:r>
      <w:r>
        <w:rPr>
          <w:rFonts w:hint="eastAsia"/>
          <w:color w:val="000000" w:themeColor="text1"/>
          <w:highlight w:val="none"/>
        </w:rPr>
        <w:t>带</w:t>
      </w:r>
      <w:r>
        <w:rPr>
          <w:color w:val="000000" w:themeColor="text1"/>
          <w:highlight w:val="none"/>
        </w:rPr>
        <w:t>，马尾松、川柏林、栎林分布较广泛；南部低山区，海拔1100-1300米地带，多以马尾松、川柏林为主；北部中山区海拔1200-1800米地带，广泛分布华山松、巴山松、栎类林和落叶常绿阔叶混交林及亚高山箭竹、杜鹃灌丛；2000米以上山峰岭脊为箭竹、杜鹃灌丛。植物垂直分布差十分明显。根据现场踏勘走访调查，矿区范围内主要树种有青冈树、马尾松、</w:t>
      </w:r>
      <w:r>
        <w:rPr>
          <w:rFonts w:hint="eastAsia"/>
          <w:color w:val="000000" w:themeColor="text1"/>
          <w:highlight w:val="none"/>
        </w:rPr>
        <w:t>柏树等</w:t>
      </w:r>
      <w:r>
        <w:rPr>
          <w:color w:val="000000" w:themeColor="text1"/>
          <w:highlight w:val="none"/>
        </w:rPr>
        <w:t>。</w:t>
      </w:r>
    </w:p>
    <w:p>
      <w:pPr>
        <w:pStyle w:val="67"/>
        <w:rPr>
          <w:rFonts w:hint="eastAsia" w:eastAsia="宋体"/>
          <w:color w:val="000000" w:themeColor="text1"/>
          <w:highlight w:val="none"/>
          <w:lang w:eastAsia="zh-CN"/>
        </w:rPr>
      </w:pPr>
      <w:r>
        <w:drawing>
          <wp:inline distT="0" distB="0" distL="114300" distR="114300">
            <wp:extent cx="5267325" cy="2830830"/>
            <wp:effectExtent l="0" t="0" r="9525"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1"/>
                    <a:stretch>
                      <a:fillRect/>
                    </a:stretch>
                  </pic:blipFill>
                  <pic:spPr>
                    <a:xfrm>
                      <a:off x="0" y="0"/>
                      <a:ext cx="5267325" cy="2830830"/>
                    </a:xfrm>
                    <a:prstGeom prst="rect">
                      <a:avLst/>
                    </a:prstGeom>
                    <a:noFill/>
                    <a:ln>
                      <a:noFill/>
                    </a:ln>
                  </pic:spPr>
                </pic:pic>
              </a:graphicData>
            </a:graphic>
          </wp:inline>
        </w:drawing>
      </w:r>
      <w:r>
        <w:drawing>
          <wp:inline distT="0" distB="0" distL="114300" distR="114300">
            <wp:extent cx="5267960" cy="2284730"/>
            <wp:effectExtent l="0" t="0" r="8890" b="127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2"/>
                    <a:stretch>
                      <a:fillRect/>
                    </a:stretch>
                  </pic:blipFill>
                  <pic:spPr>
                    <a:xfrm>
                      <a:off x="0" y="0"/>
                      <a:ext cx="5267960" cy="2284730"/>
                    </a:xfrm>
                    <a:prstGeom prst="rect">
                      <a:avLst/>
                    </a:prstGeom>
                    <a:noFill/>
                    <a:ln>
                      <a:noFill/>
                    </a:ln>
                  </pic:spPr>
                </pic:pic>
              </a:graphicData>
            </a:graphic>
          </wp:inline>
        </w:drawing>
      </w:r>
    </w:p>
    <w:p>
      <w:pPr>
        <w:pStyle w:val="67"/>
        <w:rPr>
          <w:color w:val="000000" w:themeColor="text1"/>
          <w:highlight w:val="none"/>
        </w:rPr>
      </w:pPr>
      <w:r>
        <w:rPr>
          <w:color w:val="000000" w:themeColor="text1"/>
          <w:highlight w:val="none"/>
        </w:rPr>
        <w:t>图2-</w:t>
      </w:r>
      <w:r>
        <w:rPr>
          <w:rFonts w:hint="eastAsia"/>
          <w:color w:val="000000" w:themeColor="text1"/>
          <w:highlight w:val="none"/>
          <w:lang w:val="en-US" w:eastAsia="zh-CN"/>
        </w:rPr>
        <w:t>2</w:t>
      </w:r>
      <w:r>
        <w:rPr>
          <w:rFonts w:hint="eastAsia"/>
          <w:color w:val="000000" w:themeColor="text1"/>
          <w:highlight w:val="none"/>
        </w:rPr>
        <w:t xml:space="preserve">  </w:t>
      </w:r>
      <w:r>
        <w:rPr>
          <w:color w:val="000000" w:themeColor="text1"/>
          <w:highlight w:val="none"/>
        </w:rPr>
        <w:t>矿区植被</w:t>
      </w:r>
    </w:p>
    <w:p>
      <w:pPr>
        <w:pStyle w:val="5"/>
        <w:spacing w:before="82" w:after="82"/>
        <w:rPr>
          <w:color w:val="000000" w:themeColor="text1"/>
          <w:highlight w:val="none"/>
        </w:rPr>
      </w:pPr>
      <w:bookmarkStart w:id="73" w:name="_Toc24396"/>
      <w:bookmarkStart w:id="74" w:name="_Toc16137"/>
      <w:r>
        <w:rPr>
          <w:color w:val="000000" w:themeColor="text1"/>
          <w:highlight w:val="none"/>
        </w:rPr>
        <w:t>2.1.5土壤</w:t>
      </w:r>
      <w:bookmarkEnd w:id="73"/>
      <w:bookmarkEnd w:id="74"/>
    </w:p>
    <w:p>
      <w:pPr>
        <w:bidi w:val="0"/>
        <w:rPr>
          <w:lang w:val="zh-CN"/>
        </w:rPr>
      </w:pPr>
      <w:bookmarkStart w:id="75" w:name="_Toc3679"/>
      <w:bookmarkStart w:id="76" w:name="_Toc456510741"/>
      <w:r>
        <w:rPr>
          <w:rFonts w:hint="eastAsia"/>
          <w:lang w:val="zh-CN"/>
        </w:rPr>
        <w:t>矿区土壤主要为黄壤和黄棕壤两种类型</w:t>
      </w:r>
      <w:bookmarkEnd w:id="75"/>
    </w:p>
    <w:p>
      <w:pPr>
        <w:bidi w:val="0"/>
        <w:rPr>
          <w:lang w:val="zh-CN"/>
        </w:rPr>
      </w:pPr>
      <w:r>
        <w:rPr>
          <w:rFonts w:hint="eastAsia"/>
          <w:lang w:val="zh-CN"/>
        </w:rPr>
        <w:t>1）矿区土壤特征</w:t>
      </w:r>
    </w:p>
    <w:p>
      <w:pPr>
        <w:bidi w:val="0"/>
        <w:rPr>
          <w:rFonts w:hint="eastAsia"/>
          <w:lang w:val="zh-CN"/>
        </w:rPr>
      </w:pPr>
      <w:r>
        <w:rPr>
          <w:rFonts w:hint="eastAsia"/>
          <w:lang w:val="zh-CN" w:eastAsia="zh-CN"/>
        </w:rPr>
        <w:t>矿区表层为植被覆盖，岩性为粘土，土壤类型为黄壤，土壤厚度为</w:t>
      </w:r>
      <w:r>
        <w:rPr>
          <w:rFonts w:hint="eastAsia"/>
          <w:lang w:val="en-US" w:eastAsia="zh-CN"/>
        </w:rPr>
        <w:t>0-1.05m，林地土层厚度为0.4m-2.61m，成图木质为三叠系地层灰岩、白云质灰岩、砂页岩和板岩风化的坡残积物。表层有机质含量高，但下层急剧降低。土壤表层呈暗棕色，下层为黄棕色。酸性反应，pH值5.0-6.0。为重壤到轻粘土</w:t>
      </w:r>
      <w:r>
        <w:rPr>
          <w:rFonts w:hint="eastAsia"/>
          <w:lang w:val="zh-CN"/>
        </w:rPr>
        <w:t>。</w:t>
      </w:r>
    </w:p>
    <w:p>
      <w:pPr>
        <w:bidi w:val="0"/>
        <w:rPr>
          <w:color w:val="000000" w:themeColor="text1"/>
          <w:highlight w:val="none"/>
          <w:lang w:val="zh-CN"/>
        </w:rPr>
      </w:pPr>
      <w:r>
        <w:rPr>
          <w:rFonts w:hint="eastAsia"/>
          <w:lang w:val="zh-CN"/>
        </w:rPr>
        <w:t>矿区土壤剖面如下图所示：</w:t>
      </w:r>
    </w:p>
    <w:tbl>
      <w:tblPr>
        <w:tblStyle w:val="31"/>
        <w:tblW w:w="83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9" w:type="dxa"/>
            <w:noWrap/>
            <w:vAlign w:val="center"/>
          </w:tcPr>
          <w:p>
            <w:pPr>
              <w:pStyle w:val="61"/>
              <w:tabs>
                <w:tab w:val="right" w:pos="4563"/>
              </w:tabs>
              <w:spacing w:before="8"/>
              <w:jc w:val="center"/>
              <w:rPr>
                <w:rFonts w:ascii="Times New Roman" w:hAnsi="Times New Roman" w:eastAsia="宋体"/>
                <w:color w:val="000000" w:themeColor="text1"/>
                <w:sz w:val="32"/>
                <w:szCs w:val="32"/>
                <w:highlight w:val="none"/>
                <w:lang w:eastAsia="zh-CN"/>
              </w:rPr>
            </w:pPr>
            <w:r>
              <w:drawing>
                <wp:inline distT="0" distB="0" distL="114300" distR="114300">
                  <wp:extent cx="2441575" cy="2879725"/>
                  <wp:effectExtent l="0" t="0" r="15875" b="1587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3"/>
                          <a:stretch>
                            <a:fillRect/>
                          </a:stretch>
                        </pic:blipFill>
                        <pic:spPr>
                          <a:xfrm>
                            <a:off x="0" y="0"/>
                            <a:ext cx="2441575" cy="2879725"/>
                          </a:xfrm>
                          <a:prstGeom prst="rect">
                            <a:avLst/>
                          </a:prstGeom>
                          <a:noFill/>
                          <a:ln>
                            <a:noFill/>
                          </a:ln>
                        </pic:spPr>
                      </pic:pic>
                    </a:graphicData>
                  </a:graphic>
                </wp:inline>
              </w:drawing>
            </w:r>
            <w:r>
              <w:drawing>
                <wp:inline distT="0" distB="0" distL="114300" distR="114300">
                  <wp:extent cx="2413635" cy="2879725"/>
                  <wp:effectExtent l="0" t="0" r="5715" b="1587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4"/>
                          <a:stretch>
                            <a:fillRect/>
                          </a:stretch>
                        </pic:blipFill>
                        <pic:spPr>
                          <a:xfrm>
                            <a:off x="0" y="0"/>
                            <a:ext cx="2413635" cy="2879725"/>
                          </a:xfrm>
                          <a:prstGeom prst="rect">
                            <a:avLst/>
                          </a:prstGeom>
                          <a:noFill/>
                          <a:ln>
                            <a:noFill/>
                          </a:ln>
                        </pic:spPr>
                      </pic:pic>
                    </a:graphicData>
                  </a:graphic>
                </wp:inline>
              </w:drawing>
            </w:r>
          </w:p>
        </w:tc>
      </w:tr>
    </w:tbl>
    <w:p>
      <w:pPr>
        <w:pStyle w:val="67"/>
        <w:rPr>
          <w:color w:val="000000" w:themeColor="text1"/>
          <w:highlight w:val="none"/>
        </w:rPr>
      </w:pPr>
      <w:r>
        <w:rPr>
          <w:rFonts w:hint="eastAsia"/>
          <w:color w:val="000000" w:themeColor="text1"/>
          <w:highlight w:val="none"/>
          <w:lang w:val="zh-CN"/>
        </w:rPr>
        <w:t>图2-4  矿区土壤剖面</w:t>
      </w:r>
    </w:p>
    <w:bookmarkEnd w:id="76"/>
    <w:p>
      <w:pPr>
        <w:pStyle w:val="4"/>
        <w:spacing w:before="82" w:after="82"/>
        <w:rPr>
          <w:color w:val="000000" w:themeColor="text1"/>
          <w:highlight w:val="none"/>
        </w:rPr>
      </w:pPr>
      <w:bookmarkStart w:id="77" w:name="_Toc8120"/>
      <w:bookmarkStart w:id="78" w:name="_Toc2937"/>
      <w:r>
        <w:rPr>
          <w:color w:val="000000" w:themeColor="text1"/>
          <w:highlight w:val="none"/>
        </w:rPr>
        <w:t>2.2矿区地质环境背景</w:t>
      </w:r>
      <w:bookmarkEnd w:id="77"/>
      <w:bookmarkEnd w:id="78"/>
    </w:p>
    <w:p>
      <w:pPr>
        <w:pStyle w:val="5"/>
        <w:spacing w:before="82" w:after="82"/>
        <w:rPr>
          <w:color w:val="000000" w:themeColor="text1"/>
          <w:highlight w:val="none"/>
        </w:rPr>
      </w:pPr>
      <w:bookmarkStart w:id="79" w:name="_Toc21770"/>
      <w:bookmarkStart w:id="80" w:name="_Toc22348"/>
      <w:r>
        <w:rPr>
          <w:color w:val="000000" w:themeColor="text1"/>
          <w:highlight w:val="none"/>
        </w:rPr>
        <w:t>2.2.1地层岩性</w:t>
      </w:r>
      <w:bookmarkEnd w:id="79"/>
      <w:bookmarkEnd w:id="80"/>
    </w:p>
    <w:p>
      <w:pPr>
        <w:pStyle w:val="89"/>
        <w:ind w:firstLine="560"/>
      </w:pPr>
      <w:bookmarkStart w:id="81" w:name="_Toc28472"/>
      <w:r>
        <w:rPr>
          <w:rFonts w:hint="eastAsia"/>
        </w:rPr>
        <w:t>工作区出露地层主要为：三叠系中统雷口坡组（T</w:t>
      </w:r>
      <w:r>
        <w:rPr>
          <w:rFonts w:hint="eastAsia"/>
          <w:vertAlign w:val="subscript"/>
        </w:rPr>
        <w:t>2</w:t>
      </w:r>
      <w:r>
        <w:rPr>
          <w:rFonts w:hint="eastAsia"/>
          <w:i/>
        </w:rPr>
        <w:t>l</w:t>
      </w:r>
      <w:r>
        <w:rPr>
          <w:rFonts w:hint="eastAsia"/>
        </w:rPr>
        <w:t>）及少量第四系（</w:t>
      </w:r>
      <w:r>
        <w:t>Q</w:t>
      </w:r>
      <w:r>
        <w:rPr>
          <w:vertAlign w:val="subscript"/>
        </w:rPr>
        <w:t>4</w:t>
      </w:r>
      <w:r>
        <w:rPr>
          <w:rFonts w:hint="eastAsia"/>
        </w:rPr>
        <w:t>），简述如下：</w:t>
      </w:r>
    </w:p>
    <w:p>
      <w:pPr>
        <w:pStyle w:val="89"/>
        <w:ind w:firstLine="560"/>
      </w:pPr>
      <w:r>
        <w:t>1</w:t>
      </w:r>
      <w:r>
        <w:rPr>
          <w:rFonts w:hint="eastAsia"/>
        </w:rPr>
        <w:t>、三叠系中统雷口坡组（T</w:t>
      </w:r>
      <w:r>
        <w:rPr>
          <w:rFonts w:hint="eastAsia"/>
          <w:vertAlign w:val="subscript"/>
        </w:rPr>
        <w:t>2</w:t>
      </w:r>
      <w:r>
        <w:rPr>
          <w:rFonts w:hint="eastAsia"/>
          <w:i/>
        </w:rPr>
        <w:t>l</w:t>
      </w:r>
      <w:r>
        <w:rPr>
          <w:rFonts w:hint="eastAsia"/>
        </w:rPr>
        <w:t>）：根据岩性组合分为上、下两段。</w:t>
      </w:r>
    </w:p>
    <w:p>
      <w:pPr>
        <w:pStyle w:val="89"/>
        <w:ind w:firstLine="560"/>
      </w:pPr>
      <w:r>
        <w:rPr>
          <w:rFonts w:hint="eastAsia"/>
        </w:rPr>
        <w:t>下段（T</w:t>
      </w:r>
      <w:r>
        <w:rPr>
          <w:rFonts w:hint="eastAsia"/>
          <w:vertAlign w:val="subscript"/>
        </w:rPr>
        <w:t>2</w:t>
      </w:r>
      <w:r>
        <w:rPr>
          <w:rFonts w:hint="eastAsia"/>
          <w:i/>
        </w:rPr>
        <w:t>l</w:t>
      </w:r>
      <w:r>
        <w:rPr>
          <w:vertAlign w:val="superscript"/>
        </w:rPr>
        <w:t>1</w:t>
      </w:r>
      <w:r>
        <w:rPr>
          <w:rFonts w:hint="eastAsia"/>
        </w:rPr>
        <w:t>）：为灰～深灰色薄层状泥质灰岩，未见底，厚度不祥。</w:t>
      </w:r>
    </w:p>
    <w:p>
      <w:pPr>
        <w:pStyle w:val="89"/>
        <w:ind w:firstLine="560"/>
      </w:pPr>
      <w:r>
        <w:rPr>
          <w:rFonts w:hint="eastAsia"/>
        </w:rPr>
        <w:t>上段（T</w:t>
      </w:r>
      <w:r>
        <w:rPr>
          <w:rFonts w:hint="eastAsia"/>
          <w:vertAlign w:val="subscript"/>
        </w:rPr>
        <w:t>2</w:t>
      </w:r>
      <w:r>
        <w:rPr>
          <w:rFonts w:hint="eastAsia"/>
          <w:i/>
        </w:rPr>
        <w:t>l</w:t>
      </w:r>
      <w:r>
        <w:rPr>
          <w:vertAlign w:val="superscript"/>
        </w:rPr>
        <w:t>2</w:t>
      </w:r>
      <w:r>
        <w:rPr>
          <w:rFonts w:hint="eastAsia"/>
        </w:rPr>
        <w:t>）：为灰～灰白色中—厚层状致密块状石灰岩、白云质灰岩，厚约2</w:t>
      </w:r>
      <w:r>
        <w:t>40</w:t>
      </w:r>
      <w:r>
        <w:rPr>
          <w:rFonts w:hint="eastAsia"/>
        </w:rPr>
        <w:t>m，其上为三叠系上统须家河组（T</w:t>
      </w:r>
      <w:r>
        <w:rPr>
          <w:rFonts w:hint="eastAsia"/>
          <w:vertAlign w:val="subscript"/>
        </w:rPr>
        <w:t>3</w:t>
      </w:r>
      <w:r>
        <w:rPr>
          <w:rFonts w:hint="eastAsia"/>
          <w:i/>
        </w:rPr>
        <w:t>xj</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000000" w:themeColor="text1"/>
          <w:sz w:val="24"/>
          <w:szCs w:val="24"/>
          <w:highlight w:val="none"/>
        </w:rPr>
      </w:pPr>
      <w:r>
        <w:t>2</w:t>
      </w:r>
      <w:r>
        <w:rPr>
          <w:rFonts w:hint="eastAsia"/>
        </w:rPr>
        <w:t>、第四系（Q</w:t>
      </w:r>
      <w:r>
        <w:rPr>
          <w:vertAlign w:val="subscript"/>
        </w:rPr>
        <w:t>4</w:t>
      </w:r>
      <w:r>
        <w:rPr>
          <w:rFonts w:hint="eastAsia"/>
        </w:rPr>
        <w:t>）：主要为山麓斜坡、凹地的残坡积物以及沟谷中，以黄褐色粘土为主，夹少量灰岩、白云岩碎石。厚</w:t>
      </w:r>
      <w:r>
        <w:t>0</w:t>
      </w:r>
      <w:r>
        <w:rPr>
          <w:rFonts w:hint="eastAsia"/>
        </w:rPr>
        <w:t>～</w:t>
      </w:r>
      <w:r>
        <w:t>1.0m</w:t>
      </w:r>
      <w:r>
        <w:rPr>
          <w:rFonts w:hint="default" w:ascii="Times New Roman" w:hAnsi="Times New Roman" w:cs="Times New Roman"/>
          <w:sz w:val="24"/>
          <w:szCs w:val="24"/>
          <w:highlight w:val="none"/>
        </w:rPr>
        <w:t>。</w:t>
      </w:r>
    </w:p>
    <w:p>
      <w:pPr>
        <w:pStyle w:val="5"/>
        <w:spacing w:before="82" w:after="82"/>
        <w:rPr>
          <w:color w:val="000000" w:themeColor="text1"/>
          <w:highlight w:val="none"/>
        </w:rPr>
      </w:pPr>
      <w:bookmarkStart w:id="82" w:name="_Toc28456"/>
      <w:r>
        <w:rPr>
          <w:color w:val="000000" w:themeColor="text1"/>
          <w:highlight w:val="none"/>
        </w:rPr>
        <w:t>2.2.2地质构造</w:t>
      </w:r>
      <w:bookmarkEnd w:id="81"/>
      <w:bookmarkEnd w:id="82"/>
    </w:p>
    <w:p>
      <w:pPr>
        <w:rPr>
          <w:color w:val="000000" w:themeColor="text1"/>
          <w:highlight w:val="none"/>
        </w:rPr>
      </w:pPr>
      <w:bookmarkStart w:id="83" w:name="_Toc12272"/>
      <w:r>
        <w:rPr>
          <w:rFonts w:hint="eastAsia"/>
          <w:color w:val="000000" w:themeColor="text1"/>
          <w:highlight w:val="none"/>
        </w:rPr>
        <w:t>矿区位于大两会背斜中东部南翼，地层呈近东西向单斜层状展布，产状180°～185°∠45°～50°，区内未见断裂构造，仅有轻微褶皱及节理裂隙发育，构造较简单。</w:t>
      </w:r>
    </w:p>
    <w:p>
      <w:pPr>
        <w:rPr>
          <w:color w:val="000000" w:themeColor="text1"/>
          <w:highlight w:val="none"/>
        </w:rPr>
      </w:pPr>
      <w:r>
        <w:rPr>
          <w:rFonts w:hint="eastAsia"/>
          <w:color w:val="000000" w:themeColor="text1"/>
          <w:highlight w:val="none"/>
        </w:rPr>
        <w:t>综上所述，矿区内地质构造简单，岩层完整性较好。</w:t>
      </w:r>
    </w:p>
    <w:p>
      <w:pPr>
        <w:pStyle w:val="5"/>
        <w:spacing w:before="82" w:after="82"/>
        <w:rPr>
          <w:color w:val="000000" w:themeColor="text1"/>
          <w:highlight w:val="none"/>
        </w:rPr>
      </w:pPr>
      <w:bookmarkStart w:id="84" w:name="_Toc20492"/>
      <w:r>
        <w:rPr>
          <w:color w:val="000000" w:themeColor="text1"/>
          <w:highlight w:val="none"/>
        </w:rPr>
        <w:t>2.2.3水文地质</w:t>
      </w:r>
      <w:bookmarkEnd w:id="83"/>
      <w:bookmarkEnd w:id="84"/>
    </w:p>
    <w:p>
      <w:pPr>
        <w:autoSpaceDE w:val="0"/>
        <w:rPr>
          <w:rFonts w:hint="eastAsia" w:ascii="宋体" w:hAnsi="宋体"/>
          <w:color w:val="000000" w:themeColor="text1"/>
          <w:highlight w:val="none"/>
        </w:rPr>
      </w:pPr>
      <w:bookmarkStart w:id="85" w:name="_Toc18177"/>
      <w:r>
        <w:rPr>
          <w:rFonts w:hint="eastAsia" w:ascii="宋体" w:hAnsi="宋体"/>
          <w:color w:val="000000" w:themeColor="text1"/>
          <w:highlight w:val="none"/>
        </w:rPr>
        <w:t>矿区位于大两会背斜中东部南翼，地貌以斜坡为主，主要接受大气降水补给，由于地形坡度大，地形有利于地表水的径流和自然排泄。</w:t>
      </w:r>
    </w:p>
    <w:p>
      <w:pPr>
        <w:autoSpaceDE w:val="0"/>
        <w:rPr>
          <w:color w:val="000000" w:themeColor="text1"/>
          <w:highlight w:val="none"/>
        </w:rPr>
      </w:pPr>
      <w:r>
        <w:rPr>
          <w:rFonts w:hint="eastAsia" w:ascii="宋体" w:hAnsi="宋体"/>
          <w:color w:val="000000" w:themeColor="text1"/>
          <w:highlight w:val="none"/>
        </w:rPr>
        <w:t>未来矿山为露天开采方式，最低开采标高为+1030m，高于当地侵蚀基准面（石洞沟），地形有利于自然排泄，因此地表水、地下水对未来矿山开采影响较小。</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lang w:eastAsia="zh-CN"/>
        </w:rPr>
        <w:t>（</w:t>
      </w:r>
      <w:r>
        <w:rPr>
          <w:rFonts w:hint="eastAsia" w:ascii="宋体" w:hAnsi="宋体"/>
          <w:color w:val="000000" w:themeColor="text1"/>
          <w:highlight w:val="none"/>
          <w:lang w:val="en-US" w:eastAsia="zh-CN"/>
        </w:rPr>
        <w:t>1</w:t>
      </w:r>
      <w:r>
        <w:rPr>
          <w:rFonts w:hint="eastAsia" w:ascii="宋体" w:hAnsi="宋体"/>
          <w:color w:val="000000" w:themeColor="text1"/>
          <w:highlight w:val="none"/>
          <w:lang w:eastAsia="zh-CN"/>
        </w:rPr>
        <w:t>）</w:t>
      </w:r>
      <w:r>
        <w:rPr>
          <w:rFonts w:hint="eastAsia" w:ascii="宋体" w:hAnsi="宋体"/>
          <w:color w:val="000000" w:themeColor="text1"/>
          <w:highlight w:val="none"/>
        </w:rPr>
        <w:t>矿区地表水、地下水特征</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①水文地质单元特征</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矿区位于大两会背斜中东部南翼，地貌以斜坡为主，主要接受大气降水补给，由于地形坡度大，地形有利于地表水的径流和自然排泄。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未来矿山为露天开采方式，最低开采标高为+1030m，高于当地侵蚀基准面（石洞沟），地形有利于自然排泄，因此地表水、地下水对未来矿山开采影响较小。</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②矿区地表水分布及特征</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石洞沟为区内主要地表水体，为季节性溪沟，自北向南从矿区东侧流经而过。洪水季节（7～9月）水流量较大，枯水季节较小（或干枯）。</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③矿区地下水体特征</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由于边坡上松散盖层较薄，透水性中等，因此矿区地表不形成积水，矿区高于石洞沟，地表水与矿山地下水无水力联系，矿区地下水类型主要为基岩裂隙水，第四系松散堆积层孔隙水，主要接受大气降水补给，地下水水位受季节变幅较大，由于污染较少，区域地下水水质较好。</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（2）含水岩组</w:t>
      </w:r>
      <w:r>
        <w:rPr>
          <w:rFonts w:hint="eastAsia" w:ascii="宋体" w:hAnsi="宋体"/>
          <w:color w:val="000000" w:themeColor="text1"/>
          <w:highlight w:val="none"/>
        </w:rPr>
        <w:tab/>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区域内发育了一套海相碳酸盐岩建造，依其溶水空间特征及富水性强弱，可分成两类水文地质岩组，即松散岩类孔隙含水岩组、基岩类裂隙含水岩组。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①松散岩类孔隙含水岩组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第四系冲残坡积物，分布于缓坡山地中，由坡积、残积等成因的角砾、砂及粘土组成，厚度约0～1.0m，富水性主要靠降水及基岩裂隙水补给，其动态变化受季节影响，含水弱。</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②基岩类裂隙含水岩组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主要为三叠系中统雷口坡组（T2l）地层。基岩近地表风化强烈，岩体完整性差，透水性好。裂隙含水层岩组主要靠大气降水补给，其动态变化受季节和地形坡度影响较大，在雨季含水量增大，同时潜水面也随之升高，在旱季含水量减少，同时潜水面也随之降低，处于动态变化之中。</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（3）含（隔）水层特征</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矿区内发育了一套海相碳酸盐岩建造，出露地层单一，依据地貌、岩性、含水性及富水性强弱，可分为含水层及隔水层，地下水类型为孔隙裂隙水。</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①三叠系中统雷口坡组（T2l）：下部为灰色薄层状泥质灰岩，上部为薄—中厚层状灰白色致密块状灰岩、白云质灰岩。岩石浅部节理裂隙发育，含水性较好，为含水层。</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②第四系（Q4）：残坡积层分布于缓坡地带和山坳中，由坡积、残积成因的角砾、砂及粘土组成，厚度一般在0-1.0m，主要由大气降雨及基岩孔、裂隙水补给，通常富水性弱，不利于储存。该层接受补给后，容易形成沿大量连通的孔隙向地势较低排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（4）矿区地下水的补给、径流和排泄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矿区所处的位置相对较高，大气降水是矿区地下水的唯一补给来源，地下水的运动受含（隔）水层产状和地形控制，降水通过疏松的基岩风化带渗入基岩裂隙而成为地下水，沿着各种构造空间流动，主要以渗流的方式径流和排泄。</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（5）采场充水因素分析</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矿区最低开采标高+1050m，高于当地最低侵蚀基准面（标高+900m）。未来矿山为中型露天采矿，采场主要充水因素来自于大气降水，均可自流排出。矿体层富水性差，对采场充水影响较小。</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3）矿区水文地质条件变化预测</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未来矿山按照开发利用方案设计的要求从上往下分台级逐级开采，总体来看，开采结束后，矿区范围内地势总体呈斜坡状，自然排泄条件良好，揭露岩体与出露岩体岩性一致，坡上排水沟汇集大气降水顺地形或经排水沟汇入溪沟，总体而言对当地水文地质条件影响不大。</w:t>
      </w:r>
    </w:p>
    <w:p>
      <w:pPr>
        <w:pStyle w:val="20"/>
        <w:autoSpaceDE w:val="0"/>
        <w:spacing w:line="360" w:lineRule="auto"/>
        <w:ind w:left="0" w:leftChars="0"/>
        <w:rPr>
          <w:rFonts w:hint="eastAsia" w:ascii="宋体" w:hAnsi="宋体"/>
          <w:color w:val="000000" w:themeColor="text1"/>
          <w:highlight w:val="none"/>
        </w:rPr>
      </w:pPr>
      <w:r>
        <w:rPr>
          <w:rFonts w:hint="eastAsia" w:ascii="宋体" w:hAnsi="宋体"/>
          <w:color w:val="000000" w:themeColor="text1"/>
          <w:highlight w:val="none"/>
        </w:rPr>
        <w:t>4）矿区水文地质条件小结</w:t>
      </w:r>
    </w:p>
    <w:p>
      <w:pPr>
        <w:pStyle w:val="20"/>
        <w:autoSpaceDE w:val="0"/>
        <w:spacing w:line="360" w:lineRule="auto"/>
        <w:ind w:left="0" w:leftChars="0"/>
        <w:rPr>
          <w:color w:val="000000" w:themeColor="text1"/>
          <w:highlight w:val="none"/>
        </w:rPr>
      </w:pPr>
      <w:r>
        <w:rPr>
          <w:rFonts w:hint="eastAsia" w:ascii="宋体" w:hAnsi="宋体"/>
          <w:color w:val="000000" w:themeColor="text1"/>
          <w:highlight w:val="none"/>
        </w:rPr>
        <w:t>综上所述，矿区水文地质以松散岩类孔隙含水岩组、基岩类裂隙含水岩组为主；矿体位于当地最低侵蚀基准面以上，未来矿山露天开采，不形成凹陷，地形有利于自然排水，采场水主要来大气降水，可自流排出，因此矿区水文地质条件属简单类型。</w:t>
      </w:r>
    </w:p>
    <w:p>
      <w:pPr>
        <w:pStyle w:val="5"/>
        <w:spacing w:before="82" w:after="82"/>
        <w:rPr>
          <w:color w:val="000000" w:themeColor="text1"/>
          <w:highlight w:val="none"/>
        </w:rPr>
      </w:pPr>
      <w:bookmarkStart w:id="86" w:name="_Toc9369"/>
      <w:r>
        <w:rPr>
          <w:color w:val="000000" w:themeColor="text1"/>
          <w:highlight w:val="none"/>
        </w:rPr>
        <w:t>2.2.4工程地质</w:t>
      </w:r>
      <w:bookmarkEnd w:id="85"/>
      <w:bookmarkEnd w:id="86"/>
    </w:p>
    <w:p>
      <w:pPr>
        <w:rPr>
          <w:color w:val="000000" w:themeColor="text1"/>
          <w:highlight w:val="none"/>
        </w:rPr>
      </w:pPr>
      <w:r>
        <w:rPr>
          <w:rFonts w:hint="eastAsia" w:ascii="宋体" w:hAnsi="宋体"/>
          <w:color w:val="000000" w:themeColor="text1"/>
          <w:highlight w:val="none"/>
        </w:rPr>
        <w:t>按《四川省工程地质分区图》划分，测区属低中山较稳定地质区之米仓山—大巴山中山工程地质亚区，主要表现为新构造运动大面积间歇性微弱抬升，无明显差异升降运动。基岩以灰岩类为主，岩体坚固，产状稳定，断裂构造不发育，仅局部节理、裂隙发育。</w:t>
      </w:r>
    </w:p>
    <w:p>
      <w:pPr>
        <w:rPr>
          <w:color w:val="000000" w:themeColor="text1"/>
          <w:highlight w:val="none"/>
        </w:rPr>
      </w:pPr>
      <w:r>
        <w:rPr>
          <w:rFonts w:hint="eastAsia" w:ascii="宋体" w:hAnsi="宋体"/>
          <w:color w:val="000000" w:themeColor="text1"/>
          <w:highlight w:val="none"/>
        </w:rPr>
        <w:t>总体而言，矿区工程地质条件较简单。</w:t>
      </w:r>
    </w:p>
    <w:p>
      <w:pPr>
        <w:pStyle w:val="5"/>
        <w:spacing w:before="82" w:after="82"/>
        <w:rPr>
          <w:color w:val="000000" w:themeColor="text1"/>
          <w:highlight w:val="none"/>
        </w:rPr>
      </w:pPr>
      <w:bookmarkStart w:id="87" w:name="_Toc29299"/>
      <w:r>
        <w:rPr>
          <w:color w:val="000000" w:themeColor="text1"/>
          <w:highlight w:val="none"/>
        </w:rPr>
        <w:t>2.2.5其他开采技术条件</w:t>
      </w:r>
      <w:bookmarkEnd w:id="87"/>
    </w:p>
    <w:p>
      <w:pPr>
        <w:rPr>
          <w:color w:val="000000" w:themeColor="text1"/>
          <w:highlight w:val="none"/>
        </w:rPr>
      </w:pPr>
      <w:r>
        <w:rPr>
          <w:rFonts w:hint="eastAsia"/>
          <w:color w:val="000000" w:themeColor="text1"/>
          <w:highlight w:val="none"/>
        </w:rPr>
        <w:t>1、对土地资源的影响</w:t>
      </w:r>
    </w:p>
    <w:p>
      <w:pPr>
        <w:rPr>
          <w:color w:val="000000" w:themeColor="text1"/>
          <w:highlight w:val="none"/>
        </w:rPr>
      </w:pPr>
      <w:r>
        <w:rPr>
          <w:rFonts w:hint="eastAsia"/>
          <w:color w:val="000000" w:themeColor="text1"/>
          <w:highlight w:val="none"/>
        </w:rPr>
        <w:t>矿山开采范围内主要为荒坡及少量林地，矿山在兴建过程中，将占用少量的土地资源。建议边开发边整治及时做好恢复治理工作。</w:t>
      </w:r>
    </w:p>
    <w:p>
      <w:pPr>
        <w:rPr>
          <w:color w:val="000000" w:themeColor="text1"/>
          <w:highlight w:val="none"/>
        </w:rPr>
      </w:pPr>
      <w:r>
        <w:rPr>
          <w:rFonts w:hint="eastAsia"/>
          <w:color w:val="000000" w:themeColor="text1"/>
          <w:highlight w:val="none"/>
        </w:rPr>
        <w:t>2、对生态地质环境的影响</w:t>
      </w:r>
    </w:p>
    <w:p>
      <w:pPr>
        <w:rPr>
          <w:color w:val="000000" w:themeColor="text1"/>
          <w:highlight w:val="none"/>
        </w:rPr>
      </w:pPr>
      <w:r>
        <w:rPr>
          <w:rFonts w:hint="eastAsia"/>
          <w:color w:val="000000" w:themeColor="text1"/>
          <w:highlight w:val="none"/>
        </w:rPr>
        <w:t>矿山采用露天开采，将改变局部地形、地貌环境现状，造成一定的水土流失和植被破坏。</w:t>
      </w:r>
    </w:p>
    <w:p>
      <w:pPr>
        <w:rPr>
          <w:color w:val="000000" w:themeColor="text1"/>
          <w:highlight w:val="none"/>
        </w:rPr>
      </w:pPr>
      <w:r>
        <w:rPr>
          <w:rFonts w:hint="eastAsia"/>
          <w:color w:val="000000" w:themeColor="text1"/>
          <w:highlight w:val="none"/>
        </w:rPr>
        <w:t>矿山废渣、矿渣生活垃圾等如不规范管理将对矿区周边环境造成一定的污染，给局部水质带来污染，对生态环境有影响。</w:t>
      </w:r>
    </w:p>
    <w:p>
      <w:pPr>
        <w:rPr>
          <w:color w:val="000000" w:themeColor="text1"/>
          <w:highlight w:val="none"/>
        </w:rPr>
      </w:pPr>
      <w:r>
        <w:rPr>
          <w:rFonts w:hint="eastAsia"/>
          <w:color w:val="000000" w:themeColor="text1"/>
          <w:highlight w:val="none"/>
        </w:rPr>
        <w:t>调查中矿区内尚未发现地下水天然露头，地下水以裂隙、孔隙水为主，地表水以冲沟侵蚀排泄为主，矿山规模较小，生产排污水量小，对水质影响轻微。</w:t>
      </w:r>
    </w:p>
    <w:p>
      <w:pPr>
        <w:rPr>
          <w:color w:val="000000" w:themeColor="text1"/>
          <w:highlight w:val="none"/>
        </w:rPr>
      </w:pPr>
      <w:r>
        <w:rPr>
          <w:rFonts w:hint="eastAsia"/>
          <w:color w:val="000000" w:themeColor="text1"/>
          <w:highlight w:val="none"/>
        </w:rPr>
        <w:t>总体而言，只要规范采矿将对生态地质环境影响较小，但矿山应加强对废弃物、残渣及污水排放处理的管理工作。</w:t>
      </w:r>
    </w:p>
    <w:p>
      <w:pPr>
        <w:rPr>
          <w:color w:val="000000" w:themeColor="text1"/>
          <w:highlight w:val="none"/>
        </w:rPr>
      </w:pPr>
      <w:r>
        <w:rPr>
          <w:rFonts w:hint="eastAsia"/>
          <w:color w:val="000000" w:themeColor="text1"/>
          <w:highlight w:val="none"/>
        </w:rPr>
        <w:t>3、废渣堆放</w:t>
      </w:r>
    </w:p>
    <w:p>
      <w:pPr>
        <w:rPr>
          <w:color w:val="000000" w:themeColor="text1"/>
          <w:highlight w:val="none"/>
        </w:rPr>
      </w:pPr>
      <w:r>
        <w:rPr>
          <w:rFonts w:hint="eastAsia"/>
          <w:color w:val="000000" w:themeColor="text1"/>
          <w:highlight w:val="none"/>
        </w:rPr>
        <w:t>矿山未建专门的废渣堆放场，</w:t>
      </w:r>
      <w:bookmarkStart w:id="88" w:name="_Toc178397124"/>
      <w:bookmarkStart w:id="89" w:name="_Toc178341994"/>
      <w:r>
        <w:rPr>
          <w:rFonts w:hint="eastAsia"/>
          <w:color w:val="000000" w:themeColor="text1"/>
          <w:highlight w:val="none"/>
        </w:rPr>
        <w:t>根据现有矿山生产工艺，矿山设计资源利用系数达9</w:t>
      </w:r>
      <w:r>
        <w:rPr>
          <w:rFonts w:hint="eastAsia"/>
          <w:color w:val="000000" w:themeColor="text1"/>
          <w:highlight w:val="none"/>
          <w:lang w:val="en-US" w:eastAsia="zh-CN"/>
        </w:rPr>
        <w:t>5</w:t>
      </w:r>
      <w:r>
        <w:rPr>
          <w:rFonts w:hint="eastAsia"/>
          <w:color w:val="000000" w:themeColor="text1"/>
          <w:highlight w:val="none"/>
        </w:rPr>
        <w:t>%。采矿所形成的废石、废渣均堆临时放于采矿平台中，后期进行利用，堆放高度小，稳定性较好，未发生废渣堆垮塌、废渣泥石流等灾害；根据本次现场调查，矿区内临时堆放的废渣已用于矿山公路的铺设和配矿处理，矿区内无废渣堆放</w:t>
      </w:r>
      <w:r>
        <w:rPr>
          <w:color w:val="000000" w:themeColor="text1"/>
          <w:highlight w:val="none"/>
        </w:rPr>
        <w:t>。</w:t>
      </w:r>
    </w:p>
    <w:p>
      <w:pPr>
        <w:rPr>
          <w:color w:val="000000" w:themeColor="text1"/>
          <w:highlight w:val="none"/>
        </w:rPr>
      </w:pPr>
      <w:r>
        <w:rPr>
          <w:rFonts w:hint="eastAsia"/>
          <w:color w:val="000000" w:themeColor="text1"/>
          <w:highlight w:val="none"/>
        </w:rPr>
        <w:t>4、开采技术条件小结</w:t>
      </w:r>
      <w:bookmarkEnd w:id="88"/>
      <w:bookmarkEnd w:id="89"/>
    </w:p>
    <w:p>
      <w:pPr>
        <w:rPr>
          <w:color w:val="000000" w:themeColor="text1"/>
          <w:highlight w:val="none"/>
        </w:rPr>
      </w:pPr>
      <w:r>
        <w:rPr>
          <w:rFonts w:hint="eastAsia"/>
          <w:color w:val="000000" w:themeColor="text1"/>
          <w:highlight w:val="none"/>
        </w:rPr>
        <w:t>矿山为露天开采，开采方式简单，矿山的水文地质条件、工程地质条件简单，环境地质条件较好。随着矿山生产的进行，开采深度的增加，开采面积增大，可能会有一些新的地质环境问题出现如局部崩塌、滑坡、矿渣泥石流，水土流失，环境污染等，矿山应加强防范，</w:t>
      </w:r>
      <w:r>
        <w:rPr>
          <w:color w:val="000000" w:themeColor="text1"/>
          <w:highlight w:val="none"/>
        </w:rPr>
        <w:t>认真贯彻执行《水土保持法》和《四川省地质环境管理条例》，合理开发利用矿产资源，</w:t>
      </w:r>
      <w:r>
        <w:rPr>
          <w:rFonts w:hint="eastAsia"/>
          <w:color w:val="000000" w:themeColor="text1"/>
          <w:highlight w:val="none"/>
        </w:rPr>
        <w:t>并</w:t>
      </w:r>
      <w:r>
        <w:rPr>
          <w:color w:val="000000" w:themeColor="text1"/>
          <w:highlight w:val="none"/>
        </w:rPr>
        <w:t>严格按照《安全</w:t>
      </w:r>
      <w:r>
        <w:rPr>
          <w:rFonts w:hint="eastAsia"/>
          <w:color w:val="000000" w:themeColor="text1"/>
          <w:highlight w:val="none"/>
        </w:rPr>
        <w:t>生产</w:t>
      </w:r>
      <w:r>
        <w:rPr>
          <w:color w:val="000000" w:themeColor="text1"/>
          <w:highlight w:val="none"/>
        </w:rPr>
        <w:t>规程》</w:t>
      </w:r>
      <w:r>
        <w:rPr>
          <w:rFonts w:hint="eastAsia"/>
          <w:color w:val="000000" w:themeColor="text1"/>
          <w:highlight w:val="none"/>
        </w:rPr>
        <w:t>、</w:t>
      </w:r>
      <w:r>
        <w:rPr>
          <w:color w:val="000000" w:themeColor="text1"/>
          <w:highlight w:val="none"/>
        </w:rPr>
        <w:t>《作业规程》</w:t>
      </w:r>
      <w:r>
        <w:rPr>
          <w:rFonts w:hint="eastAsia"/>
          <w:color w:val="000000" w:themeColor="text1"/>
          <w:highlight w:val="none"/>
        </w:rPr>
        <w:t>和有资质单位设计的开发利用方案进行操作。</w:t>
      </w:r>
    </w:p>
    <w:p>
      <w:pPr>
        <w:rPr>
          <w:color w:val="000000" w:themeColor="text1"/>
          <w:highlight w:val="none"/>
        </w:rPr>
      </w:pPr>
      <w:r>
        <w:rPr>
          <w:rFonts w:hint="eastAsia"/>
          <w:color w:val="000000" w:themeColor="text1"/>
          <w:highlight w:val="none"/>
        </w:rPr>
        <w:t>总之，矿区开采技术条件简单。</w:t>
      </w:r>
    </w:p>
    <w:p>
      <w:pPr>
        <w:pStyle w:val="5"/>
        <w:spacing w:before="82" w:after="82"/>
        <w:rPr>
          <w:color w:val="000000" w:themeColor="text1"/>
          <w:highlight w:val="none"/>
        </w:rPr>
      </w:pPr>
      <w:bookmarkStart w:id="90" w:name="_Toc21204"/>
      <w:bookmarkStart w:id="91" w:name="_Toc24083"/>
      <w:r>
        <w:rPr>
          <w:color w:val="000000" w:themeColor="text1"/>
          <w:highlight w:val="none"/>
        </w:rPr>
        <w:t>2.2.6矿体地质特征</w:t>
      </w:r>
      <w:bookmarkEnd w:id="90"/>
      <w:bookmarkEnd w:id="91"/>
    </w:p>
    <w:p>
      <w:pPr>
        <w:rPr>
          <w:color w:val="000000" w:themeColor="text1"/>
          <w:highlight w:val="none"/>
        </w:rPr>
      </w:pPr>
      <w:r>
        <w:rPr>
          <w:color w:val="000000" w:themeColor="text1"/>
          <w:highlight w:val="none"/>
        </w:rPr>
        <w:t>1</w:t>
      </w:r>
      <w:r>
        <w:rPr>
          <w:b/>
          <w:color w:val="000000" w:themeColor="text1"/>
          <w:highlight w:val="none"/>
        </w:rPr>
        <w:t>、</w:t>
      </w:r>
      <w:r>
        <w:rPr>
          <w:rFonts w:hint="eastAsia"/>
          <w:color w:val="000000" w:themeColor="text1"/>
          <w:highlight w:val="none"/>
        </w:rPr>
        <w:t>赋矿层位</w:t>
      </w:r>
    </w:p>
    <w:p>
      <w:pPr>
        <w:rPr>
          <w:color w:val="000000" w:themeColor="text1"/>
          <w:highlight w:val="none"/>
        </w:rPr>
      </w:pPr>
      <w:r>
        <w:rPr>
          <w:rFonts w:hint="eastAsia"/>
          <w:color w:val="000000" w:themeColor="text1"/>
          <w:highlight w:val="none"/>
        </w:rPr>
        <w:t>矿区所采灰岩矿赋存于三叠系中统雷口坡组上段（T</w:t>
      </w:r>
      <w:r>
        <w:rPr>
          <w:rFonts w:hint="eastAsia"/>
          <w:color w:val="000000" w:themeColor="text1"/>
          <w:highlight w:val="none"/>
          <w:vertAlign w:val="subscript"/>
        </w:rPr>
        <w:t>2</w:t>
      </w:r>
      <w:r>
        <w:rPr>
          <w:rFonts w:hint="eastAsia"/>
          <w:color w:val="000000" w:themeColor="text1"/>
          <w:highlight w:val="none"/>
        </w:rPr>
        <w:t>l</w:t>
      </w:r>
      <w:r>
        <w:rPr>
          <w:rFonts w:hint="eastAsia"/>
          <w:color w:val="000000" w:themeColor="text1"/>
          <w:highlight w:val="none"/>
          <w:vertAlign w:val="superscript"/>
        </w:rPr>
        <w:t>2</w:t>
      </w:r>
      <w:r>
        <w:rPr>
          <w:rFonts w:hint="eastAsia"/>
          <w:color w:val="000000" w:themeColor="text1"/>
          <w:highlight w:val="none"/>
        </w:rPr>
        <w:t>），为灰～灰白色中—厚层状致密块状石灰岩、白云质灰岩，呈层状产出，矿体控制长度约236m，厚度约170m，矿体平均产状 182°∠46°，延伸较稳定，地表局部较破碎，裂隙发育，地貌上多形成陡岩和斜切坡。</w:t>
      </w:r>
    </w:p>
    <w:p>
      <w:pPr>
        <w:rPr>
          <w:color w:val="000000" w:themeColor="text1"/>
          <w:highlight w:val="none"/>
        </w:rPr>
      </w:pPr>
      <w:r>
        <w:rPr>
          <w:rFonts w:hint="eastAsia"/>
          <w:color w:val="000000" w:themeColor="text1"/>
          <w:highlight w:val="none"/>
        </w:rPr>
        <w:t>2、矿体特征</w:t>
      </w:r>
    </w:p>
    <w:p>
      <w:pPr>
        <w:pStyle w:val="89"/>
        <w:ind w:firstLine="560"/>
      </w:pPr>
      <w:r>
        <w:rPr>
          <w:rFonts w:hint="eastAsia"/>
          <w:lang w:eastAsia="zh-CN"/>
        </w:rPr>
        <w:t>（</w:t>
      </w:r>
      <w:r>
        <w:rPr>
          <w:rFonts w:hint="eastAsia"/>
          <w:lang w:val="en-US" w:eastAsia="zh-CN"/>
        </w:rPr>
        <w:t>1</w:t>
      </w:r>
      <w:r>
        <w:rPr>
          <w:rFonts w:hint="eastAsia"/>
          <w:lang w:eastAsia="zh-CN"/>
        </w:rPr>
        <w:t>）</w:t>
      </w:r>
      <w:r>
        <w:rPr>
          <w:rFonts w:hint="eastAsia"/>
        </w:rPr>
        <w:t>矿石矿物成分</w:t>
      </w:r>
    </w:p>
    <w:p>
      <w:pPr>
        <w:ind w:firstLine="560"/>
      </w:pPr>
      <w:r>
        <w:rPr>
          <w:rFonts w:hint="eastAsia"/>
        </w:rPr>
        <w:t>矿石矿物成分主要方解石，次为白云石、微量石英、泥质及铁质等。</w:t>
      </w:r>
    </w:p>
    <w:p>
      <w:pPr>
        <w:pStyle w:val="89"/>
        <w:ind w:firstLine="560"/>
      </w:pPr>
      <w:r>
        <w:rPr>
          <w:rFonts w:hint="eastAsia"/>
          <w:lang w:eastAsia="zh-CN"/>
        </w:rPr>
        <w:t>（</w:t>
      </w:r>
      <w:r>
        <w:rPr>
          <w:rFonts w:hint="eastAsia"/>
          <w:lang w:val="en-US" w:eastAsia="zh-CN"/>
        </w:rPr>
        <w:t>2</w:t>
      </w:r>
      <w:r>
        <w:rPr>
          <w:rFonts w:hint="eastAsia"/>
          <w:lang w:eastAsia="zh-CN"/>
        </w:rPr>
        <w:t>）</w:t>
      </w:r>
      <w:r>
        <w:rPr>
          <w:rFonts w:hint="eastAsia"/>
        </w:rPr>
        <w:t>矿石结构、构造</w:t>
      </w:r>
    </w:p>
    <w:p>
      <w:pPr>
        <w:pStyle w:val="89"/>
        <w:ind w:firstLine="560"/>
      </w:pPr>
      <w:r>
        <w:rPr>
          <w:rFonts w:hint="eastAsia"/>
        </w:rPr>
        <w:t>矿石呈浅灰～灰白色，微晶～泥晶结构，块状构造，质地致密均匀。</w:t>
      </w:r>
    </w:p>
    <w:p>
      <w:pPr>
        <w:pStyle w:val="89"/>
        <w:ind w:firstLine="560"/>
      </w:pPr>
      <w:r>
        <w:rPr>
          <w:rFonts w:hint="eastAsia"/>
          <w:lang w:eastAsia="zh-CN"/>
        </w:rPr>
        <w:t>（</w:t>
      </w:r>
      <w:r>
        <w:rPr>
          <w:rFonts w:hint="eastAsia"/>
          <w:lang w:val="en-US" w:eastAsia="zh-CN"/>
        </w:rPr>
        <w:t>3</w:t>
      </w:r>
      <w:r>
        <w:rPr>
          <w:rFonts w:hint="eastAsia"/>
          <w:lang w:eastAsia="zh-CN"/>
        </w:rPr>
        <w:t>）</w:t>
      </w:r>
      <w:r>
        <w:rPr>
          <w:rFonts w:hint="eastAsia"/>
        </w:rPr>
        <w:t>物理性质</w:t>
      </w:r>
    </w:p>
    <w:p>
      <w:pPr>
        <w:rPr>
          <w:color w:val="000000" w:themeColor="text1"/>
          <w:highlight w:val="none"/>
          <w:lang w:val="zh-CN"/>
        </w:rPr>
      </w:pPr>
      <w:r>
        <w:rPr>
          <w:rFonts w:hint="eastAsia"/>
        </w:rPr>
        <w:t>矿石新鲜断面呈浅灰～灰白色，风化表面呈浅红色至灰褐色，粗糙贝壳状断口，较坚硬，</w:t>
      </w:r>
      <w:r>
        <w:rPr>
          <w:rFonts w:hint="eastAsia" w:ascii="宋体" w:hAnsi="宋体" w:cs="宋体"/>
          <w:bCs/>
          <w:color w:val="000000"/>
        </w:rPr>
        <w:t>岩石坚固性系数8＜</w:t>
      </w:r>
      <w:r>
        <w:rPr>
          <w:rFonts w:hint="eastAsia" w:ascii="宋体" w:hAnsi="宋体" w:cs="宋体"/>
          <w:bCs/>
          <w:i/>
          <w:color w:val="000000"/>
        </w:rPr>
        <w:t>f</w:t>
      </w:r>
      <w:r>
        <w:rPr>
          <w:rFonts w:hint="eastAsia" w:ascii="宋体" w:hAnsi="宋体" w:cs="宋体"/>
          <w:bCs/>
          <w:color w:val="000000"/>
        </w:rPr>
        <w:t>＜12</w:t>
      </w:r>
      <w:r>
        <w:rPr>
          <w:rFonts w:hint="eastAsia"/>
        </w:rPr>
        <w:t>。2020</w:t>
      </w:r>
      <w:r>
        <w:rPr>
          <w:rFonts w:hint="eastAsia" w:ascii="宋体"/>
        </w:rPr>
        <w:t>年</w:t>
      </w:r>
      <w:r>
        <w:rPr>
          <w:rFonts w:hint="eastAsia"/>
        </w:rPr>
        <w:t>1</w:t>
      </w:r>
      <w:r>
        <w:rPr>
          <w:rFonts w:hint="eastAsia" w:ascii="宋体"/>
        </w:rPr>
        <w:t>月化探队曾采</w:t>
      </w:r>
      <w:r>
        <w:rPr>
          <w:rFonts w:hint="eastAsia"/>
        </w:rPr>
        <w:t>30</w:t>
      </w:r>
      <w:r>
        <w:rPr>
          <w:rFonts w:hint="eastAsia" w:ascii="宋体"/>
        </w:rPr>
        <w:t>件</w:t>
      </w:r>
      <w:r>
        <w:rPr>
          <w:rFonts w:ascii="宋体"/>
        </w:rPr>
        <w:t>小体重样</w:t>
      </w:r>
      <w:r>
        <w:rPr>
          <w:rFonts w:hint="eastAsia" w:ascii="宋体"/>
        </w:rPr>
        <w:t>送</w:t>
      </w:r>
      <w:r>
        <w:rPr>
          <w:rFonts w:ascii="宋体"/>
        </w:rPr>
        <w:t>广元冶金地质测试所进行测试，</w:t>
      </w:r>
      <w:r>
        <w:rPr>
          <w:rFonts w:hint="eastAsia" w:ascii="宋体"/>
        </w:rPr>
        <w:t>矿石</w:t>
      </w:r>
      <w:r>
        <w:rPr>
          <w:rFonts w:ascii="宋体"/>
        </w:rPr>
        <w:t>体重</w:t>
      </w:r>
      <w:r>
        <w:rPr>
          <w:rFonts w:hint="eastAsia" w:ascii="宋体"/>
        </w:rPr>
        <w:t>一般为</w:t>
      </w:r>
      <w:r>
        <w:rPr>
          <w:rFonts w:hint="eastAsia"/>
        </w:rPr>
        <w:t>2.</w:t>
      </w:r>
      <w:r>
        <w:t>58</w:t>
      </w:r>
      <w:r>
        <w:rPr>
          <w:rFonts w:hint="eastAsia" w:ascii="宋体"/>
        </w:rPr>
        <w:t>～</w:t>
      </w:r>
      <w:r>
        <w:rPr>
          <w:rFonts w:hint="eastAsia"/>
        </w:rPr>
        <w:t>2.82</w:t>
      </w:r>
      <w:r>
        <w:t>t/m</w:t>
      </w:r>
      <w:r>
        <w:rPr>
          <w:vertAlign w:val="superscript"/>
        </w:rPr>
        <w:t>3</w:t>
      </w:r>
      <w:r>
        <w:rPr>
          <w:rFonts w:hint="eastAsia" w:ascii="宋体"/>
        </w:rPr>
        <w:t>，平均为</w:t>
      </w:r>
      <w:r>
        <w:rPr>
          <w:rFonts w:hint="eastAsia"/>
        </w:rPr>
        <w:t>2.</w:t>
      </w:r>
      <w:r>
        <w:t>71 t/m</w:t>
      </w:r>
      <w:r>
        <w:rPr>
          <w:vertAlign w:val="superscript"/>
        </w:rPr>
        <w:t>3</w:t>
      </w:r>
      <w:r>
        <w:t>。</w:t>
      </w:r>
      <w:r>
        <w:rPr>
          <w:rFonts w:hint="eastAsia"/>
        </w:rPr>
        <w:t>本次共采集测试矿石小体重</w:t>
      </w:r>
      <w:r>
        <w:t>样10</w:t>
      </w:r>
      <w:r>
        <w:rPr>
          <w:rFonts w:hint="eastAsia"/>
        </w:rPr>
        <w:t>件，由四川西冶检测科技有限公司进行测试，矿石体重值一般为</w:t>
      </w:r>
      <w:r>
        <w:t>2.62</w:t>
      </w:r>
      <w:r>
        <w:rPr>
          <w:rFonts w:hint="eastAsia"/>
        </w:rPr>
        <w:t>～</w:t>
      </w:r>
      <w:r>
        <w:t>2.76t/m</w:t>
      </w:r>
      <w:r>
        <w:rPr>
          <w:vertAlign w:val="superscript"/>
        </w:rPr>
        <w:t>3</w:t>
      </w:r>
      <w:r>
        <w:rPr>
          <w:rFonts w:hint="eastAsia"/>
        </w:rPr>
        <w:t>，平均为</w:t>
      </w:r>
      <w:r>
        <w:t>2.71t/m</w:t>
      </w:r>
      <w:r>
        <w:rPr>
          <w:vertAlign w:val="superscript"/>
        </w:rPr>
        <w:t>3</w:t>
      </w:r>
      <w:r>
        <w:rPr>
          <w:rFonts w:hint="eastAsia"/>
          <w:color w:val="000000" w:themeColor="text1"/>
          <w:highlight w:val="none"/>
          <w:lang w:val="zh-CN"/>
        </w:rPr>
        <w:t>。</w:t>
      </w:r>
    </w:p>
    <w:p>
      <w:pPr>
        <w:rPr>
          <w:color w:val="000000" w:themeColor="text1"/>
          <w:highlight w:val="none"/>
        </w:rPr>
      </w:pPr>
      <w:bookmarkStart w:id="92" w:name="_Toc3136"/>
      <w:r>
        <w:rPr>
          <w:rFonts w:hint="eastAsia"/>
          <w:color w:val="000000" w:themeColor="text1"/>
          <w:highlight w:val="none"/>
        </w:rPr>
        <w:t>3、矿石类型</w:t>
      </w:r>
    </w:p>
    <w:p>
      <w:pPr>
        <w:rPr>
          <w:color w:val="000000" w:themeColor="text1"/>
          <w:highlight w:val="none"/>
          <w:lang w:val="zh-CN"/>
        </w:rPr>
      </w:pPr>
      <w:r>
        <w:rPr>
          <w:rFonts w:hint="eastAsia"/>
          <w:color w:val="000000"/>
          <w:szCs w:val="28"/>
        </w:rPr>
        <w:t>根据矿石化学成分分析结果，矿区矿石自然类型单一，为石灰岩，矿石质量达到水泥用</w:t>
      </w:r>
      <w:r>
        <w:rPr>
          <w:color w:val="000000"/>
          <w:szCs w:val="28"/>
        </w:rPr>
        <w:t>石灰质原料Ⅱ级品</w:t>
      </w:r>
      <w:r>
        <w:rPr>
          <w:rFonts w:hint="eastAsia"/>
          <w:color w:val="000000"/>
          <w:szCs w:val="28"/>
        </w:rPr>
        <w:t>质量要求，可作为水泥用</w:t>
      </w:r>
      <w:r>
        <w:rPr>
          <w:color w:val="000000"/>
          <w:szCs w:val="28"/>
        </w:rPr>
        <w:t>石灰质原料</w:t>
      </w:r>
      <w:r>
        <w:rPr>
          <w:rFonts w:hint="eastAsia"/>
          <w:color w:val="000000" w:themeColor="text1"/>
          <w:highlight w:val="none"/>
          <w:lang w:val="zh-CN"/>
        </w:rPr>
        <w:t>。</w:t>
      </w:r>
    </w:p>
    <w:p>
      <w:pPr>
        <w:rPr>
          <w:color w:val="000000" w:themeColor="text1"/>
          <w:highlight w:val="none"/>
        </w:rPr>
      </w:pPr>
      <w:r>
        <w:rPr>
          <w:rFonts w:hint="eastAsia"/>
          <w:color w:val="000000" w:themeColor="text1"/>
          <w:highlight w:val="none"/>
        </w:rPr>
        <w:t>4、矿石化学成分及质量</w:t>
      </w:r>
    </w:p>
    <w:p>
      <w:pPr>
        <w:rPr>
          <w:color w:val="000000" w:themeColor="text1"/>
          <w:highlight w:val="none"/>
        </w:rPr>
      </w:pPr>
      <w:r>
        <w:rPr>
          <w:rFonts w:hint="eastAsia"/>
        </w:rPr>
        <w:t>矿石主要化学成分为氧化钙（</w:t>
      </w:r>
      <w:r>
        <w:t>CaO</w:t>
      </w:r>
      <w:r>
        <w:rPr>
          <w:rFonts w:hint="eastAsia"/>
        </w:rPr>
        <w:t>）、氧化镁（</w:t>
      </w:r>
      <w:r>
        <w:t>MgO</w:t>
      </w:r>
      <w:r>
        <w:rPr>
          <w:rFonts w:hint="eastAsia"/>
        </w:rPr>
        <w:t>）。氧化钙（</w:t>
      </w:r>
      <w:r>
        <w:t>CaO</w:t>
      </w:r>
      <w:r>
        <w:rPr>
          <w:rFonts w:hint="eastAsia"/>
        </w:rPr>
        <w:t>）含量一般为</w:t>
      </w:r>
      <w:r>
        <w:t>43.86%</w:t>
      </w:r>
      <w:r>
        <w:rPr>
          <w:rFonts w:hint="eastAsia"/>
        </w:rPr>
        <w:t>～</w:t>
      </w:r>
      <w:r>
        <w:t>54.67%</w:t>
      </w:r>
      <w:r>
        <w:rPr>
          <w:rFonts w:hint="eastAsia"/>
        </w:rPr>
        <w:t>，平均</w:t>
      </w:r>
      <w:r>
        <w:t>49.46%</w:t>
      </w:r>
      <w:r>
        <w:rPr>
          <w:rFonts w:hint="eastAsia"/>
        </w:rPr>
        <w:t>，氧化镁（</w:t>
      </w:r>
      <w:r>
        <w:t>MgO</w:t>
      </w:r>
      <w:r>
        <w:rPr>
          <w:rFonts w:hint="eastAsia"/>
        </w:rPr>
        <w:t>）一般为</w:t>
      </w:r>
      <w:r>
        <w:t>0.64%</w:t>
      </w:r>
      <w:r>
        <w:rPr>
          <w:rFonts w:hint="eastAsia"/>
        </w:rPr>
        <w:t>～</w:t>
      </w:r>
      <w:r>
        <w:t>6.61%</w:t>
      </w:r>
      <w:r>
        <w:rPr>
          <w:rFonts w:hint="eastAsia"/>
        </w:rPr>
        <w:t>，平均</w:t>
      </w:r>
      <w:r>
        <w:t>3.24%</w:t>
      </w:r>
      <w:r>
        <w:rPr>
          <w:rFonts w:hint="eastAsia"/>
        </w:rPr>
        <w:t>，其它</w:t>
      </w:r>
      <w:r>
        <w:t>K</w:t>
      </w:r>
      <w:r>
        <w:rPr>
          <w:vertAlign w:val="subscript"/>
        </w:rPr>
        <w:t>2</w:t>
      </w:r>
      <w:r>
        <w:t>O</w:t>
      </w:r>
      <w:r>
        <w:rPr>
          <w:rFonts w:hint="eastAsia"/>
        </w:rPr>
        <w:t>、</w:t>
      </w:r>
      <w:r>
        <w:t>Na</w:t>
      </w:r>
      <w:r>
        <w:rPr>
          <w:vertAlign w:val="subscript"/>
        </w:rPr>
        <w:t>2</w:t>
      </w:r>
      <w:r>
        <w:t>O</w:t>
      </w:r>
      <w:r>
        <w:rPr>
          <w:rFonts w:hint="eastAsia"/>
        </w:rPr>
        <w:t>等含量甚微</w:t>
      </w:r>
      <w:r>
        <w:rPr>
          <w:rFonts w:hint="eastAsia"/>
          <w:color w:val="000000" w:themeColor="text1"/>
          <w:highlight w:val="none"/>
        </w:rPr>
        <w:t>。</w:t>
      </w:r>
    </w:p>
    <w:p>
      <w:pPr>
        <w:rPr>
          <w:color w:val="000000" w:themeColor="text1"/>
          <w:highlight w:val="none"/>
        </w:rPr>
      </w:pPr>
      <w:r>
        <w:rPr>
          <w:rFonts w:hint="eastAsia"/>
          <w:color w:val="000000" w:themeColor="text1"/>
          <w:highlight w:val="none"/>
        </w:rPr>
        <w:t>5、矿体围岩和夹石</w:t>
      </w:r>
    </w:p>
    <w:p>
      <w:pPr>
        <w:rPr>
          <w:color w:val="000000" w:themeColor="text1"/>
          <w:highlight w:val="none"/>
        </w:rPr>
      </w:pPr>
      <w:r>
        <w:rPr>
          <w:rFonts w:hint="eastAsia"/>
          <w:szCs w:val="28"/>
        </w:rPr>
        <w:t>矿体直接底板</w:t>
      </w:r>
      <w:r>
        <w:rPr>
          <w:rFonts w:hint="eastAsia" w:ascii="宋体" w:hAnsi="宋体"/>
          <w:szCs w:val="28"/>
        </w:rPr>
        <w:t>为</w:t>
      </w:r>
      <w:r>
        <w:rPr>
          <w:rFonts w:hint="eastAsia"/>
        </w:rPr>
        <w:t>三叠系中统雷口坡组下段（T</w:t>
      </w:r>
      <w:r>
        <w:rPr>
          <w:rFonts w:hint="eastAsia"/>
          <w:vertAlign w:val="subscript"/>
        </w:rPr>
        <w:t>2</w:t>
      </w:r>
      <w:r>
        <w:rPr>
          <w:rFonts w:hint="eastAsia"/>
          <w:i/>
        </w:rPr>
        <w:t>l</w:t>
      </w:r>
      <w:r>
        <w:rPr>
          <w:vertAlign w:val="superscript"/>
        </w:rPr>
        <w:t>1</w:t>
      </w:r>
      <w:r>
        <w:rPr>
          <w:rFonts w:hint="eastAsia"/>
        </w:rPr>
        <w:t>）灰～深灰色薄层状泥质灰岩</w:t>
      </w:r>
      <w:r>
        <w:rPr>
          <w:rFonts w:hint="eastAsia" w:ascii="宋体" w:hAnsi="宋体"/>
          <w:szCs w:val="28"/>
        </w:rPr>
        <w:t>，</w:t>
      </w:r>
      <w:r>
        <w:rPr>
          <w:rFonts w:hint="eastAsia"/>
          <w:szCs w:val="28"/>
        </w:rPr>
        <w:t>与矿体界线基本清晰（见照片1、2）。</w:t>
      </w:r>
      <w:r>
        <w:rPr>
          <w:rFonts w:hint="eastAsia" w:ascii="宋体" w:hAnsi="宋体" w:cs="宋体"/>
          <w:szCs w:val="28"/>
        </w:rPr>
        <w:t>矿体中裂隙充填泥岩、泥岩夹灰岩碎块，夹石厚度一般小于0.</w:t>
      </w:r>
      <w:r>
        <w:rPr>
          <w:rFonts w:ascii="宋体" w:hAnsi="宋体" w:cs="宋体"/>
          <w:szCs w:val="28"/>
        </w:rPr>
        <w:t>5</w:t>
      </w:r>
      <w:r>
        <w:rPr>
          <w:rFonts w:hint="eastAsia" w:ascii="宋体" w:hAnsi="宋体" w:cs="宋体"/>
          <w:szCs w:val="28"/>
        </w:rPr>
        <w:t>m，且不连续。矿体顶板为</w:t>
      </w:r>
      <w:r>
        <w:rPr>
          <w:rFonts w:hint="eastAsia"/>
        </w:rPr>
        <w:t>三叠系上统须家河组（T</w:t>
      </w:r>
      <w:r>
        <w:rPr>
          <w:rFonts w:hint="eastAsia"/>
          <w:vertAlign w:val="subscript"/>
        </w:rPr>
        <w:t>3</w:t>
      </w:r>
      <w:r>
        <w:rPr>
          <w:rFonts w:hint="eastAsia"/>
          <w:i/>
        </w:rPr>
        <w:t>xj</w:t>
      </w:r>
      <w:r>
        <w:rPr>
          <w:rFonts w:hint="eastAsia"/>
        </w:rPr>
        <w:t>）砂岩</w:t>
      </w:r>
      <w:r>
        <w:rPr>
          <w:rFonts w:hint="eastAsia"/>
          <w:color w:val="000000" w:themeColor="text1"/>
          <w:highlight w:val="none"/>
        </w:rPr>
        <w:t>。</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7"/>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8" w:hRule="atLeast"/>
        </w:trPr>
        <w:tc>
          <w:tcPr>
            <w:tcW w:w="4428" w:type="dxa"/>
            <w:shd w:val="clear" w:color="auto" w:fill="auto"/>
          </w:tcPr>
          <w:p>
            <w:pPr>
              <w:spacing w:line="360" w:lineRule="auto"/>
              <w:ind w:firstLine="0" w:firstLineChars="0"/>
              <w:jc w:val="center"/>
              <w:rPr>
                <w:szCs w:val="28"/>
              </w:rPr>
            </w:pPr>
            <w:r>
              <w:rPr>
                <w:szCs w:val="28"/>
              </w:rPr>
              <w:drawing>
                <wp:inline distT="0" distB="0" distL="114300" distR="114300">
                  <wp:extent cx="2875915" cy="3832225"/>
                  <wp:effectExtent l="0" t="0" r="635" b="15875"/>
                  <wp:docPr id="30" name="图片 12" descr="微信图片_20220122111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微信图片_202201221117043"/>
                          <pic:cNvPicPr>
                            <a:picLocks noChangeAspect="1"/>
                          </pic:cNvPicPr>
                        </pic:nvPicPr>
                        <pic:blipFill>
                          <a:blip r:embed="rId25"/>
                          <a:stretch>
                            <a:fillRect/>
                          </a:stretch>
                        </pic:blipFill>
                        <pic:spPr>
                          <a:xfrm>
                            <a:off x="0" y="0"/>
                            <a:ext cx="2875915" cy="3832225"/>
                          </a:xfrm>
                          <a:prstGeom prst="rect">
                            <a:avLst/>
                          </a:prstGeom>
                          <a:noFill/>
                          <a:ln>
                            <a:noFill/>
                          </a:ln>
                        </pic:spPr>
                      </pic:pic>
                    </a:graphicData>
                  </a:graphic>
                </wp:inline>
              </w:drawing>
            </w:r>
          </w:p>
        </w:tc>
        <w:tc>
          <w:tcPr>
            <w:tcW w:w="4428" w:type="dxa"/>
            <w:shd w:val="clear" w:color="auto" w:fill="auto"/>
          </w:tcPr>
          <w:p>
            <w:pPr>
              <w:spacing w:line="360" w:lineRule="auto"/>
              <w:ind w:firstLine="0" w:firstLineChars="0"/>
              <w:jc w:val="center"/>
              <w:rPr>
                <w:szCs w:val="28"/>
              </w:rPr>
            </w:pPr>
            <w:r>
              <w:rPr>
                <w:szCs w:val="28"/>
              </w:rPr>
              <w:drawing>
                <wp:inline distT="0" distB="0" distL="114300" distR="114300">
                  <wp:extent cx="2875915" cy="3815715"/>
                  <wp:effectExtent l="0" t="0" r="635" b="13335"/>
                  <wp:docPr id="31" name="图片 13" descr="微信图片_2022012211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微信图片_20220122111605"/>
                          <pic:cNvPicPr>
                            <a:picLocks noChangeAspect="1"/>
                          </pic:cNvPicPr>
                        </pic:nvPicPr>
                        <pic:blipFill>
                          <a:blip r:embed="rId26"/>
                          <a:stretch>
                            <a:fillRect/>
                          </a:stretch>
                        </pic:blipFill>
                        <pic:spPr>
                          <a:xfrm>
                            <a:off x="0" y="0"/>
                            <a:ext cx="2875915" cy="38157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shd w:val="clear" w:color="auto" w:fill="auto"/>
          </w:tcPr>
          <w:p>
            <w:pPr>
              <w:spacing w:line="360" w:lineRule="auto"/>
              <w:ind w:firstLine="0" w:firstLineChars="0"/>
              <w:jc w:val="center"/>
              <w:rPr>
                <w:rFonts w:ascii="宋体" w:hAnsi="宋体"/>
                <w:b/>
                <w:sz w:val="24"/>
                <w:szCs w:val="24"/>
              </w:rPr>
            </w:pPr>
            <w:r>
              <w:rPr>
                <w:rFonts w:hint="eastAsia" w:ascii="宋体" w:hAnsi="宋体"/>
                <w:b/>
                <w:sz w:val="24"/>
                <w:szCs w:val="24"/>
              </w:rPr>
              <w:t>照片1</w:t>
            </w:r>
            <w:r>
              <w:rPr>
                <w:rFonts w:ascii="宋体" w:hAnsi="宋体"/>
                <w:b/>
                <w:sz w:val="24"/>
                <w:szCs w:val="24"/>
              </w:rPr>
              <w:t xml:space="preserve">  </w:t>
            </w:r>
            <w:r>
              <w:rPr>
                <w:rFonts w:hint="eastAsia" w:ascii="宋体" w:hAnsi="宋体"/>
                <w:b/>
                <w:sz w:val="24"/>
                <w:szCs w:val="24"/>
              </w:rPr>
              <w:t>矿体底板（泥质灰岩）</w:t>
            </w:r>
          </w:p>
        </w:tc>
        <w:tc>
          <w:tcPr>
            <w:tcW w:w="4428" w:type="dxa"/>
            <w:shd w:val="clear" w:color="auto" w:fill="auto"/>
          </w:tcPr>
          <w:p>
            <w:pPr>
              <w:spacing w:line="360" w:lineRule="auto"/>
              <w:ind w:firstLine="0" w:firstLineChars="0"/>
              <w:jc w:val="center"/>
              <w:rPr>
                <w:b/>
                <w:szCs w:val="28"/>
              </w:rPr>
            </w:pPr>
            <w:r>
              <w:rPr>
                <w:rFonts w:hint="eastAsia" w:ascii="宋体" w:hAnsi="宋体"/>
                <w:b/>
                <w:sz w:val="24"/>
                <w:szCs w:val="24"/>
              </w:rPr>
              <w:t>照片2</w:t>
            </w:r>
            <w:r>
              <w:rPr>
                <w:rFonts w:ascii="宋体" w:hAnsi="宋体"/>
                <w:b/>
                <w:sz w:val="24"/>
                <w:szCs w:val="24"/>
              </w:rPr>
              <w:t xml:space="preserve"> </w:t>
            </w:r>
            <w:r>
              <w:rPr>
                <w:rFonts w:hint="eastAsia" w:ascii="宋体" w:hAnsi="宋体"/>
                <w:b/>
                <w:sz w:val="24"/>
                <w:szCs w:val="24"/>
              </w:rPr>
              <w:t>矿体（白云质灰岩）</w:t>
            </w:r>
          </w:p>
        </w:tc>
      </w:tr>
    </w:tbl>
    <w:p>
      <w:pPr>
        <w:rPr>
          <w:color w:val="000000" w:themeColor="text1"/>
          <w:highlight w:val="none"/>
        </w:rPr>
      </w:pPr>
      <w:bookmarkStart w:id="93" w:name="_Toc112215601"/>
      <w:r>
        <w:rPr>
          <w:rFonts w:hint="eastAsia"/>
          <w:color w:val="000000" w:themeColor="text1"/>
          <w:highlight w:val="none"/>
        </w:rPr>
        <w:t>5、矿区岩溶</w:t>
      </w:r>
      <w:bookmarkEnd w:id="93"/>
    </w:p>
    <w:p>
      <w:pPr>
        <w:rPr>
          <w:color w:val="000000" w:themeColor="text1"/>
          <w:highlight w:val="none"/>
        </w:rPr>
      </w:pPr>
      <w:r>
        <w:rPr>
          <w:rFonts w:hint="eastAsia"/>
          <w:color w:val="000000" w:themeColor="text1"/>
          <w:highlight w:val="none"/>
        </w:rPr>
        <w:t>该区岩溶发育程度较低，在矿区范围及其周边未发现溶洞，仅地表局部地段可见岩体表面出现零星溶蚀现象，岩溶率小于1%。矿区岩溶发育程度较低，对矿山开采和资源储量影响较小。</w:t>
      </w:r>
    </w:p>
    <w:p>
      <w:pPr>
        <w:pStyle w:val="4"/>
        <w:spacing w:before="82" w:after="82"/>
        <w:rPr>
          <w:color w:val="000000" w:themeColor="text1"/>
          <w:highlight w:val="none"/>
        </w:rPr>
      </w:pPr>
      <w:bookmarkStart w:id="94" w:name="_Toc3732"/>
      <w:r>
        <w:rPr>
          <w:color w:val="000000" w:themeColor="text1"/>
          <w:highlight w:val="none"/>
        </w:rPr>
        <w:t>2.3矿区社会经济概况</w:t>
      </w:r>
      <w:bookmarkEnd w:id="92"/>
      <w:bookmarkEnd w:id="94"/>
    </w:p>
    <w:p>
      <w:pPr>
        <w:rPr>
          <w:rFonts w:hint="eastAsia"/>
          <w:color w:val="000000" w:themeColor="text1"/>
          <w:highlight w:val="none"/>
        </w:rPr>
      </w:pPr>
      <w:bookmarkStart w:id="95" w:name="_Toc20223"/>
      <w:r>
        <w:rPr>
          <w:rFonts w:hint="eastAsia"/>
          <w:color w:val="000000" w:themeColor="text1"/>
          <w:highlight w:val="none"/>
        </w:rPr>
        <w:t>2020年</w:t>
      </w:r>
      <w:r>
        <w:rPr>
          <w:rFonts w:hint="eastAsia"/>
          <w:color w:val="000000" w:themeColor="text1"/>
          <w:highlight w:val="none"/>
          <w:lang w:eastAsia="zh-CN"/>
        </w:rPr>
        <w:t>，</w:t>
      </w:r>
      <w:r>
        <w:rPr>
          <w:rFonts w:hint="eastAsia"/>
          <w:color w:val="000000" w:themeColor="text1"/>
          <w:highlight w:val="none"/>
        </w:rPr>
        <w:t>面对突如其来的新冠肺炎疫情和更加复杂严峻的宏观经济形势，全县上下坚定以习近平新时代中国特色社会主义思想为指导，在市委、市政府和县委的坚强领导下，在县人大、县政协的监督支持下，一手抓疫情防控、一手抓经济社会发展，扎实做好“六稳”工作，全面落实“六保”任务，推动县域经济社会实现了稳步发展。全县地区生产总值达到138.89亿元、增长3.8%；地方一般公共预算收入实现4.39亿元；城乡居民人均可支配收入分别达到36240元、14429元，分别增长6.6%、9.5%。三次产业结构比由17.9</w:t>
      </w:r>
      <w:r>
        <w:rPr>
          <w:rFonts w:hint="eastAsia"/>
          <w:color w:val="000000" w:themeColor="text1"/>
          <w:highlight w:val="none"/>
          <w:lang w:eastAsia="zh-CN"/>
        </w:rPr>
        <w:t>：</w:t>
      </w:r>
      <w:r>
        <w:rPr>
          <w:rFonts w:hint="eastAsia"/>
          <w:color w:val="000000" w:themeColor="text1"/>
          <w:highlight w:val="none"/>
        </w:rPr>
        <w:t>47</w:t>
      </w:r>
      <w:r>
        <w:rPr>
          <w:rFonts w:hint="eastAsia"/>
          <w:color w:val="000000" w:themeColor="text1"/>
          <w:highlight w:val="none"/>
          <w:lang w:eastAsia="zh-CN"/>
        </w:rPr>
        <w:t>：</w:t>
      </w:r>
      <w:r>
        <w:rPr>
          <w:rFonts w:hint="eastAsia"/>
          <w:color w:val="000000" w:themeColor="text1"/>
          <w:highlight w:val="none"/>
        </w:rPr>
        <w:t>35.1调整为20.3</w:t>
      </w:r>
      <w:r>
        <w:rPr>
          <w:rFonts w:hint="eastAsia"/>
          <w:color w:val="000000" w:themeColor="text1"/>
          <w:highlight w:val="none"/>
          <w:lang w:eastAsia="zh-CN"/>
        </w:rPr>
        <w:t>：</w:t>
      </w:r>
      <w:r>
        <w:rPr>
          <w:rFonts w:hint="eastAsia"/>
          <w:color w:val="000000" w:themeColor="text1"/>
          <w:highlight w:val="none"/>
        </w:rPr>
        <w:t>44.7</w:t>
      </w:r>
      <w:r>
        <w:rPr>
          <w:rFonts w:hint="eastAsia"/>
          <w:color w:val="000000" w:themeColor="text1"/>
          <w:highlight w:val="none"/>
          <w:lang w:eastAsia="zh-CN"/>
        </w:rPr>
        <w:t>：</w:t>
      </w:r>
      <w:r>
        <w:rPr>
          <w:rFonts w:hint="eastAsia"/>
          <w:color w:val="000000" w:themeColor="text1"/>
          <w:highlight w:val="none"/>
        </w:rPr>
        <w:t>35.0。</w:t>
      </w:r>
    </w:p>
    <w:p>
      <w:pPr>
        <w:rPr>
          <w:rFonts w:hint="eastAsia"/>
          <w:color w:val="000000" w:themeColor="text1"/>
          <w:highlight w:val="none"/>
        </w:rPr>
      </w:pPr>
      <w:r>
        <w:rPr>
          <w:rFonts w:hint="eastAsia"/>
          <w:color w:val="000000" w:themeColor="text1"/>
          <w:highlight w:val="none"/>
        </w:rPr>
        <w:t>2020年，全社会固定资产投资实现98.16亿元、增长11%。总投资150.8亿元的133个重大项目分6批次集中开工。52个省市县重点项目有序推进，废弃矿山综合治理（第一批）、2019年畜禽粪污资源化利用整县推进等146个项目全面竣工，孙家坝城市综合体等96个项目加快推进，罐子坝水库及灌区工程初步纳入省“十四五”规划。累计滚动储备项目522个、总投资1516.8亿元，分别较年初增长179%、37.9%。新签约项目30个，其中亿元以上重大项目21个。争取到位专项债券、抗疫特别国债等各类项目资金36.51亿元，同比增长22.47%。</w:t>
      </w:r>
    </w:p>
    <w:p>
      <w:pPr>
        <w:rPr>
          <w:rFonts w:hint="eastAsia"/>
          <w:color w:val="000000" w:themeColor="text1"/>
          <w:highlight w:val="none"/>
        </w:rPr>
      </w:pPr>
      <w:r>
        <w:rPr>
          <w:rFonts w:hint="eastAsia"/>
          <w:color w:val="000000" w:themeColor="text1"/>
          <w:highlight w:val="none"/>
        </w:rPr>
        <w:t>2020年</w:t>
      </w:r>
      <w:r>
        <w:rPr>
          <w:rFonts w:hint="eastAsia"/>
          <w:color w:val="000000" w:themeColor="text1"/>
          <w:highlight w:val="none"/>
          <w:lang w:eastAsia="zh-CN"/>
        </w:rPr>
        <w:t>，</w:t>
      </w:r>
      <w:r>
        <w:rPr>
          <w:rFonts w:hint="eastAsia"/>
          <w:color w:val="000000" w:themeColor="text1"/>
          <w:highlight w:val="none"/>
        </w:rPr>
        <w:t>制定了重点企业和重点项目全流程服务“直通卡”实施办法，新增减税6298万元，减免国有资产类经营用房房租36.88万元。创新推出“银税贷”，为中小微企业发放信用贷款2550万元。严格落实阶段性降低用气、用电成本等优惠政策，工商业企业用气价格下调比例超过10%，累计优惠各类企业电费570余万元。全年新增民营企业420户、个体工商户2399户，民营经济实体个数同比增长16%。</w:t>
      </w:r>
    </w:p>
    <w:p>
      <w:pPr>
        <w:rPr>
          <w:color w:val="000000" w:themeColor="text1"/>
          <w:highlight w:val="none"/>
        </w:rPr>
      </w:pPr>
      <w:r>
        <w:rPr>
          <w:rFonts w:hint="eastAsia"/>
          <w:color w:val="000000" w:themeColor="text1"/>
          <w:highlight w:val="none"/>
        </w:rPr>
        <w:t>2020年</w:t>
      </w:r>
      <w:r>
        <w:rPr>
          <w:rFonts w:hint="eastAsia"/>
          <w:color w:val="000000" w:themeColor="text1"/>
          <w:highlight w:val="none"/>
          <w:lang w:eastAsia="zh-CN"/>
        </w:rPr>
        <w:t>，</w:t>
      </w:r>
      <w:r>
        <w:rPr>
          <w:rFonts w:hint="eastAsia"/>
          <w:color w:val="000000" w:themeColor="text1"/>
          <w:highlight w:val="none"/>
        </w:rPr>
        <w:t>新建高标准农田3.2万亩，粮油产量实现25.89万吨。新发展黄茶、道地药材、笋用竹、仙居杨梅等特色产业4.5万亩，实施核桃品种改良3万亩。扎实抓好非洲猪瘟等动植物疫病防控，成功引进新希望六和年出栏100万头生猪全产业链、华西特驱年出栏25万头生猪等重大项目，出栏生猪61.3万头、肉牛2.35万头、肉羊12.72万只、剑门关土鸡585.44万羽。全省唯一茶叶种业园区落地旺苍，大茅坡现代农业园区、英萃现代林业园区成功创建为市级园区。新培育国家级示范合作社1家，省级龙头企业2家、示范合作社7家，认证“三品一标”农产品52个，荣获“四川省茶业十强县”称号。</w:t>
      </w:r>
    </w:p>
    <w:p>
      <w:pPr>
        <w:rPr>
          <w:color w:val="000000" w:themeColor="text1"/>
          <w:highlight w:val="none"/>
        </w:rPr>
      </w:pPr>
      <w:r>
        <w:rPr>
          <w:color w:val="000000" w:themeColor="text1"/>
          <w:highlight w:val="none"/>
        </w:rPr>
        <w:t>矿区有丰富的自然资源，但由于是大山区，地理位置偏僻，交通、通讯滞后，科技人才匮乏，现代科技水平低，农业科技推广普及面较小，地方产品科技含量低。由于地理环境因素制约，丰富的自然资源长期以来“养在深山人未识”，没有得到较好的利用和开发，未能将资源优势转化为商品优势、经济优势。</w:t>
      </w:r>
    </w:p>
    <w:p>
      <w:pPr>
        <w:pStyle w:val="4"/>
        <w:spacing w:before="82" w:after="82"/>
        <w:rPr>
          <w:color w:val="000000" w:themeColor="text1"/>
          <w:highlight w:val="none"/>
        </w:rPr>
      </w:pPr>
      <w:bookmarkStart w:id="96" w:name="_Toc21658"/>
      <w:r>
        <w:rPr>
          <w:color w:val="000000" w:themeColor="text1"/>
          <w:highlight w:val="none"/>
        </w:rPr>
        <w:t>2.4矿区土地利用现状</w:t>
      </w:r>
      <w:bookmarkEnd w:id="95"/>
      <w:bookmarkEnd w:id="96"/>
    </w:p>
    <w:p>
      <w:pPr>
        <w:pStyle w:val="5"/>
        <w:spacing w:before="82" w:after="82"/>
        <w:rPr>
          <w:color w:val="000000" w:themeColor="text1"/>
          <w:highlight w:val="none"/>
        </w:rPr>
      </w:pPr>
      <w:bookmarkStart w:id="97" w:name="_Toc394447655"/>
      <w:bookmarkStart w:id="98" w:name="_Toc9958"/>
      <w:bookmarkStart w:id="99" w:name="_Toc26783"/>
      <w:bookmarkStart w:id="100" w:name="_Toc481328173"/>
      <w:r>
        <w:rPr>
          <w:color w:val="000000" w:themeColor="text1"/>
          <w:highlight w:val="none"/>
        </w:rPr>
        <w:t>2.4.1土地利用</w:t>
      </w:r>
      <w:bookmarkEnd w:id="97"/>
      <w:r>
        <w:rPr>
          <w:color w:val="000000" w:themeColor="text1"/>
          <w:highlight w:val="none"/>
        </w:rPr>
        <w:t>类型</w:t>
      </w:r>
      <w:bookmarkEnd w:id="98"/>
      <w:bookmarkEnd w:id="99"/>
      <w:bookmarkEnd w:id="100"/>
    </w:p>
    <w:p>
      <w:pPr>
        <w:rPr>
          <w:color w:val="000000" w:themeColor="text1"/>
          <w:highlight w:val="none"/>
        </w:rPr>
      </w:pPr>
      <w:r>
        <w:rPr>
          <w:rFonts w:ascii="宋体" w:hAnsi="宋体"/>
          <w:color w:val="000000" w:themeColor="text1"/>
          <w:highlight w:val="none"/>
        </w:rPr>
        <w:t>矿山为</w:t>
      </w:r>
      <w:r>
        <w:rPr>
          <w:rFonts w:hint="eastAsia" w:ascii="宋体" w:hAnsi="宋体"/>
          <w:color w:val="000000" w:themeColor="text1"/>
          <w:highlight w:val="none"/>
          <w:lang w:eastAsia="zh-CN"/>
        </w:rPr>
        <w:t>在</w:t>
      </w:r>
      <w:r>
        <w:rPr>
          <w:rFonts w:ascii="宋体" w:hAnsi="宋体"/>
          <w:color w:val="000000" w:themeColor="text1"/>
          <w:highlight w:val="none"/>
        </w:rPr>
        <w:t>生产矿山，根据经省国土资源厅批复的矿区拐点坐标范围，叠合旺苍县</w:t>
      </w:r>
      <w:r>
        <w:rPr>
          <w:color w:val="000000" w:themeColor="text1"/>
          <w:highlight w:val="none"/>
        </w:rPr>
        <w:t>20</w:t>
      </w:r>
      <w:r>
        <w:rPr>
          <w:rFonts w:hint="eastAsia"/>
          <w:color w:val="000000" w:themeColor="text1"/>
          <w:highlight w:val="none"/>
          <w:lang w:val="en-US" w:eastAsia="zh-CN"/>
        </w:rPr>
        <w:t>20</w:t>
      </w:r>
      <w:r>
        <w:rPr>
          <w:rFonts w:ascii="宋体" w:hAnsi="宋体"/>
          <w:color w:val="000000" w:themeColor="text1"/>
          <w:highlight w:val="none"/>
        </w:rPr>
        <w:t>年土地利用变更调查现状图（由旺苍县国土资源局提供），</w:t>
      </w:r>
      <w:r>
        <w:rPr>
          <w:rFonts w:hint="eastAsia" w:ascii="宋体" w:hAnsi="宋体"/>
          <w:color w:val="000000" w:themeColor="text1"/>
          <w:highlight w:val="none"/>
          <w:lang w:eastAsia="zh-CN"/>
        </w:rPr>
        <w:t>原采矿权</w:t>
      </w:r>
      <w:r>
        <w:rPr>
          <w:rFonts w:ascii="宋体" w:hAnsi="宋体"/>
          <w:color w:val="000000" w:themeColor="text1"/>
          <w:highlight w:val="none"/>
        </w:rPr>
        <w:t>采矿权范围</w:t>
      </w:r>
      <w:r>
        <w:rPr>
          <w:rFonts w:hint="eastAsia" w:ascii="宋体" w:hAnsi="宋体"/>
          <w:color w:val="000000" w:themeColor="text1"/>
          <w:highlight w:val="none"/>
          <w:lang w:eastAsia="zh-CN"/>
        </w:rPr>
        <w:t>、拟变更采矿权范围、矿区外露天采场及矿山公路</w:t>
      </w:r>
      <w:r>
        <w:rPr>
          <w:rFonts w:ascii="宋体" w:hAnsi="宋体"/>
          <w:color w:val="000000" w:themeColor="text1"/>
          <w:highlight w:val="none"/>
        </w:rPr>
        <w:t>土地总面积</w:t>
      </w:r>
      <w:r>
        <w:rPr>
          <w:rFonts w:hint="eastAsia"/>
          <w:color w:val="000000" w:themeColor="text1"/>
          <w:highlight w:val="none"/>
          <w:lang w:val="en-US" w:eastAsia="zh-CN"/>
        </w:rPr>
        <w:t>16.2841</w:t>
      </w:r>
      <w:r>
        <w:rPr>
          <w:color w:val="000000" w:themeColor="text1"/>
          <w:highlight w:val="none"/>
        </w:rPr>
        <w:t>hm</w:t>
      </w:r>
      <w:r>
        <w:rPr>
          <w:color w:val="000000" w:themeColor="text1"/>
          <w:highlight w:val="none"/>
          <w:vertAlign w:val="superscript"/>
        </w:rPr>
        <w:t>2</w:t>
      </w:r>
      <w:r>
        <w:rPr>
          <w:rFonts w:ascii="宋体" w:hAnsi="宋体"/>
          <w:color w:val="000000" w:themeColor="text1"/>
          <w:highlight w:val="none"/>
        </w:rPr>
        <w:t>，</w:t>
      </w:r>
      <w:r>
        <w:rPr>
          <w:rFonts w:hint="eastAsia"/>
          <w:color w:val="000000" w:themeColor="text1"/>
          <w:highlight w:val="none"/>
          <w:lang w:val="en-US" w:eastAsia="zh-CN"/>
        </w:rPr>
        <w:t>地类包括旱地0.0703</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、乔木林地11.9055</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、灌木林地0.1144</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、采矿用地4.1939</w:t>
      </w:r>
      <w:r>
        <w:rPr>
          <w:color w:val="000000" w:themeColor="text1"/>
          <w:highlight w:val="none"/>
        </w:rPr>
        <w:t>hm</w:t>
      </w:r>
      <w:r>
        <w:rPr>
          <w:color w:val="000000" w:themeColor="text1"/>
          <w:highlight w:val="none"/>
          <w:vertAlign w:val="superscript"/>
        </w:rPr>
        <w:t>2</w:t>
      </w:r>
      <w:r>
        <w:rPr>
          <w:rFonts w:ascii="宋体" w:hAnsi="宋体"/>
          <w:color w:val="000000" w:themeColor="text1"/>
          <w:highlight w:val="none"/>
        </w:rPr>
        <w:t>。</w:t>
      </w:r>
    </w:p>
    <w:p>
      <w:pPr>
        <w:ind w:firstLine="482"/>
        <w:rPr>
          <w:b/>
          <w:bCs/>
          <w:color w:val="000000" w:themeColor="text1"/>
          <w:highlight w:val="none"/>
        </w:rPr>
      </w:pPr>
      <w:r>
        <w:rPr>
          <w:b/>
          <w:bCs/>
          <w:color w:val="000000" w:themeColor="text1"/>
          <w:highlight w:val="none"/>
        </w:rPr>
        <w:t>经查询矿区范围不在自然保护区内，矿区范围内</w:t>
      </w:r>
      <w:r>
        <w:rPr>
          <w:rFonts w:hint="eastAsia"/>
          <w:b/>
          <w:bCs/>
          <w:color w:val="000000" w:themeColor="text1"/>
          <w:highlight w:val="none"/>
        </w:rPr>
        <w:t>不涉及</w:t>
      </w:r>
      <w:r>
        <w:rPr>
          <w:b/>
          <w:bCs/>
          <w:color w:val="000000" w:themeColor="text1"/>
          <w:highlight w:val="none"/>
        </w:rPr>
        <w:t>基本农田，矿山采矿活动不影响基本农田。</w:t>
      </w:r>
    </w:p>
    <w:p>
      <w:pPr>
        <w:rPr>
          <w:color w:val="000000" w:themeColor="text1"/>
          <w:highlight w:val="none"/>
        </w:rPr>
      </w:pPr>
      <w:r>
        <w:rPr>
          <w:color w:val="000000" w:themeColor="text1"/>
          <w:highlight w:val="none"/>
        </w:rPr>
        <w:t>根据实地调查，项目区土地以</w:t>
      </w:r>
      <w:r>
        <w:rPr>
          <w:rFonts w:hint="eastAsia"/>
          <w:color w:val="000000" w:themeColor="text1"/>
          <w:highlight w:val="none"/>
        </w:rPr>
        <w:t>林地</w:t>
      </w:r>
      <w:r>
        <w:rPr>
          <w:color w:val="000000" w:themeColor="text1"/>
          <w:highlight w:val="none"/>
        </w:rPr>
        <w:t>为主，</w:t>
      </w:r>
      <w:r>
        <w:rPr>
          <w:rFonts w:hint="eastAsia"/>
          <w:color w:val="000000" w:themeColor="text1"/>
          <w:highlight w:val="none"/>
          <w:lang w:eastAsia="zh-CN"/>
        </w:rPr>
        <w:t>采矿用地</w:t>
      </w:r>
      <w:r>
        <w:rPr>
          <w:color w:val="000000" w:themeColor="text1"/>
          <w:highlight w:val="none"/>
        </w:rPr>
        <w:t>次之，</w:t>
      </w:r>
      <w:r>
        <w:rPr>
          <w:rFonts w:hint="eastAsia"/>
          <w:color w:val="000000" w:themeColor="text1"/>
          <w:highlight w:val="none"/>
        </w:rPr>
        <w:t>林地</w:t>
      </w:r>
      <w:r>
        <w:rPr>
          <w:color w:val="000000" w:themeColor="text1"/>
          <w:highlight w:val="none"/>
        </w:rPr>
        <w:t>又以</w:t>
      </w:r>
      <w:r>
        <w:rPr>
          <w:rFonts w:hint="eastAsia"/>
          <w:color w:val="000000" w:themeColor="text1"/>
          <w:highlight w:val="none"/>
          <w:lang w:eastAsia="zh-CN"/>
        </w:rPr>
        <w:t>乔木林地</w:t>
      </w:r>
      <w:r>
        <w:rPr>
          <w:color w:val="000000" w:themeColor="text1"/>
          <w:highlight w:val="none"/>
        </w:rPr>
        <w:t>为主。</w:t>
      </w:r>
    </w:p>
    <w:p>
      <w:pPr>
        <w:pStyle w:val="67"/>
        <w:rPr>
          <w:color w:val="000000" w:themeColor="text1"/>
          <w:highlight w:val="none"/>
        </w:rPr>
      </w:pPr>
      <w:r>
        <w:rPr>
          <w:color w:val="000000" w:themeColor="text1"/>
          <w:highlight w:val="none"/>
        </w:rPr>
        <w:t>表2-3项目区土地利用现状总表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2129"/>
        <w:gridCol w:w="1700"/>
        <w:gridCol w:w="155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vMerge w:val="restart"/>
            <w:shd w:val="clear" w:color="auto" w:fill="auto"/>
            <w:vAlign w:val="center"/>
          </w:tcPr>
          <w:p>
            <w:pPr>
              <w:pStyle w:val="63"/>
              <w:rPr>
                <w:color w:val="000000" w:themeColor="text1"/>
                <w:highlight w:val="none"/>
              </w:rPr>
            </w:pPr>
            <w:bookmarkStart w:id="101" w:name="_Toc394447656"/>
            <w:bookmarkStart w:id="102" w:name="_Toc481328174"/>
            <w:bookmarkStart w:id="103" w:name="_Toc22809"/>
            <w:r>
              <w:rPr>
                <w:color w:val="000000" w:themeColor="text1"/>
                <w:highlight w:val="none"/>
              </w:rPr>
              <w:t>一级地类</w:t>
            </w:r>
          </w:p>
        </w:tc>
        <w:tc>
          <w:tcPr>
            <w:tcW w:w="1250" w:type="pct"/>
            <w:vMerge w:val="restart"/>
            <w:shd w:val="clear" w:color="auto" w:fill="auto"/>
            <w:vAlign w:val="center"/>
          </w:tcPr>
          <w:p>
            <w:pPr>
              <w:pStyle w:val="63"/>
              <w:rPr>
                <w:color w:val="000000" w:themeColor="text1"/>
                <w:highlight w:val="none"/>
              </w:rPr>
            </w:pPr>
            <w:r>
              <w:rPr>
                <w:color w:val="000000" w:themeColor="text1"/>
                <w:highlight w:val="none"/>
              </w:rPr>
              <w:t>二级地类</w:t>
            </w:r>
          </w:p>
        </w:tc>
        <w:tc>
          <w:tcPr>
            <w:tcW w:w="2772" w:type="pct"/>
            <w:gridSpan w:val="3"/>
            <w:shd w:val="clear" w:color="auto" w:fill="auto"/>
            <w:vAlign w:val="center"/>
          </w:tcPr>
          <w:p>
            <w:pPr>
              <w:pStyle w:val="63"/>
              <w:rPr>
                <w:color w:val="000000" w:themeColor="text1"/>
                <w:highlight w:val="none"/>
              </w:rPr>
            </w:pPr>
            <w:r>
              <w:rPr>
                <w:color w:val="000000" w:themeColor="text1"/>
                <w:highlight w:val="none"/>
              </w:rPr>
              <w:t>面积</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vMerge w:val="continue"/>
            <w:shd w:val="clear" w:color="auto" w:fill="auto"/>
            <w:vAlign w:val="center"/>
          </w:tcPr>
          <w:p>
            <w:pPr>
              <w:pStyle w:val="63"/>
              <w:rPr>
                <w:color w:val="000000" w:themeColor="text1"/>
                <w:highlight w:val="none"/>
              </w:rPr>
            </w:pPr>
          </w:p>
        </w:tc>
        <w:tc>
          <w:tcPr>
            <w:tcW w:w="1250" w:type="pct"/>
            <w:vMerge w:val="continue"/>
            <w:shd w:val="clear" w:color="auto" w:fill="auto"/>
            <w:vAlign w:val="center"/>
          </w:tcPr>
          <w:p>
            <w:pPr>
              <w:pStyle w:val="63"/>
              <w:rPr>
                <w:color w:val="000000" w:themeColor="text1"/>
                <w:highlight w:val="none"/>
              </w:rPr>
            </w:pPr>
          </w:p>
        </w:tc>
        <w:tc>
          <w:tcPr>
            <w:tcW w:w="998" w:type="pct"/>
            <w:shd w:val="clear" w:color="auto" w:fill="auto"/>
            <w:vAlign w:val="center"/>
          </w:tcPr>
          <w:p>
            <w:pPr>
              <w:pStyle w:val="63"/>
              <w:rPr>
                <w:color w:val="000000" w:themeColor="text1"/>
                <w:highlight w:val="none"/>
              </w:rPr>
            </w:pPr>
            <w:r>
              <w:rPr>
                <w:color w:val="000000" w:themeColor="text1"/>
                <w:szCs w:val="22"/>
                <w:highlight w:val="none"/>
              </w:rPr>
              <w:t>矿区内</w:t>
            </w:r>
          </w:p>
        </w:tc>
        <w:tc>
          <w:tcPr>
            <w:tcW w:w="914" w:type="pct"/>
            <w:shd w:val="clear" w:color="auto" w:fill="auto"/>
            <w:vAlign w:val="center"/>
          </w:tcPr>
          <w:p>
            <w:pPr>
              <w:pStyle w:val="63"/>
              <w:rPr>
                <w:color w:val="000000" w:themeColor="text1"/>
                <w:szCs w:val="22"/>
                <w:highlight w:val="none"/>
              </w:rPr>
            </w:pPr>
            <w:r>
              <w:rPr>
                <w:color w:val="000000" w:themeColor="text1"/>
                <w:szCs w:val="22"/>
                <w:highlight w:val="none"/>
              </w:rPr>
              <w:t>矿区外</w:t>
            </w:r>
          </w:p>
        </w:tc>
        <w:tc>
          <w:tcPr>
            <w:tcW w:w="860" w:type="pct"/>
            <w:shd w:val="clear" w:color="auto" w:fill="auto"/>
            <w:vAlign w:val="center"/>
          </w:tcPr>
          <w:p>
            <w:pPr>
              <w:pStyle w:val="63"/>
              <w:rPr>
                <w:color w:val="000000" w:themeColor="text1"/>
                <w:szCs w:val="22"/>
                <w:highlight w:val="none"/>
              </w:rPr>
            </w:pPr>
            <w:r>
              <w:rPr>
                <w:color w:val="000000" w:themeColor="text1"/>
                <w:szCs w:val="22"/>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shd w:val="clear" w:color="auto" w:fill="auto"/>
            <w:vAlign w:val="center"/>
          </w:tcPr>
          <w:p>
            <w:pPr>
              <w:pStyle w:val="63"/>
              <w:rPr>
                <w:color w:val="000000" w:themeColor="text1"/>
                <w:highlight w:val="none"/>
              </w:rPr>
            </w:pPr>
            <w:r>
              <w:rPr>
                <w:color w:val="000000" w:themeColor="text1"/>
                <w:highlight w:val="none"/>
              </w:rPr>
              <w:t>耕地（01）</w:t>
            </w:r>
          </w:p>
        </w:tc>
        <w:tc>
          <w:tcPr>
            <w:tcW w:w="1250" w:type="pct"/>
            <w:shd w:val="clear" w:color="auto" w:fill="auto"/>
            <w:vAlign w:val="center"/>
          </w:tcPr>
          <w:p>
            <w:pPr>
              <w:pStyle w:val="63"/>
              <w:rPr>
                <w:color w:val="000000" w:themeColor="text1"/>
                <w:highlight w:val="none"/>
              </w:rPr>
            </w:pPr>
            <w:r>
              <w:rPr>
                <w:color w:val="000000" w:themeColor="text1"/>
                <w:highlight w:val="none"/>
              </w:rPr>
              <w:t>旱地（01</w:t>
            </w:r>
            <w:r>
              <w:rPr>
                <w:rFonts w:hint="eastAsia"/>
                <w:color w:val="000000" w:themeColor="text1"/>
                <w:highlight w:val="none"/>
                <w:lang w:val="en-US" w:eastAsia="zh-CN"/>
              </w:rPr>
              <w:t>0</w:t>
            </w:r>
            <w:r>
              <w:rPr>
                <w:color w:val="000000" w:themeColor="text1"/>
                <w:highlight w:val="none"/>
              </w:rPr>
              <w:t>3）</w:t>
            </w:r>
          </w:p>
        </w:tc>
        <w:tc>
          <w:tcPr>
            <w:tcW w:w="998"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0.0703</w:t>
            </w:r>
          </w:p>
        </w:tc>
        <w:tc>
          <w:tcPr>
            <w:tcW w:w="914"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szCs w:val="22"/>
                <w:highlight w:val="none"/>
                <w:lang w:val="en-US" w:eastAsia="zh-CN"/>
              </w:rPr>
              <w:t>0</w:t>
            </w:r>
          </w:p>
        </w:tc>
        <w:tc>
          <w:tcPr>
            <w:tcW w:w="860" w:type="pct"/>
            <w:shd w:val="clear" w:color="auto" w:fill="auto"/>
            <w:vAlign w:val="center"/>
          </w:tcPr>
          <w:p>
            <w:pPr>
              <w:pStyle w:val="63"/>
              <w:rPr>
                <w:color w:val="000000" w:themeColor="text1"/>
                <w:highlight w:val="none"/>
              </w:rPr>
            </w:pPr>
            <w:r>
              <w:rPr>
                <w:rFonts w:hint="eastAsia"/>
                <w:color w:val="000000" w:themeColor="text1"/>
                <w:highlight w:val="none"/>
                <w:lang w:val="en-US" w:eastAsia="zh-CN"/>
              </w:rPr>
              <w:t>0.0703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vMerge w:val="restart"/>
            <w:shd w:val="clear" w:color="auto" w:fill="auto"/>
            <w:vAlign w:val="center"/>
          </w:tcPr>
          <w:p>
            <w:pPr>
              <w:pStyle w:val="63"/>
              <w:rPr>
                <w:color w:val="000000" w:themeColor="text1"/>
                <w:highlight w:val="none"/>
              </w:rPr>
            </w:pPr>
            <w:r>
              <w:rPr>
                <w:color w:val="000000" w:themeColor="text1"/>
                <w:highlight w:val="none"/>
              </w:rPr>
              <w:t>林地（03）</w:t>
            </w:r>
          </w:p>
        </w:tc>
        <w:tc>
          <w:tcPr>
            <w:tcW w:w="1250" w:type="pct"/>
            <w:shd w:val="clear" w:color="auto" w:fill="auto"/>
            <w:vAlign w:val="center"/>
          </w:tcPr>
          <w:p>
            <w:pPr>
              <w:pStyle w:val="63"/>
              <w:rPr>
                <w:color w:val="000000" w:themeColor="text1"/>
                <w:highlight w:val="none"/>
              </w:rPr>
            </w:pPr>
            <w:r>
              <w:rPr>
                <w:rFonts w:hint="eastAsia"/>
                <w:color w:val="000000" w:themeColor="text1"/>
                <w:highlight w:val="none"/>
                <w:lang w:eastAsia="zh-CN"/>
              </w:rPr>
              <w:t>乔木林地</w:t>
            </w:r>
            <w:r>
              <w:rPr>
                <w:color w:val="000000" w:themeColor="text1"/>
                <w:highlight w:val="none"/>
              </w:rPr>
              <w:t>（03</w:t>
            </w:r>
            <w:r>
              <w:rPr>
                <w:rFonts w:hint="eastAsia"/>
                <w:color w:val="000000" w:themeColor="text1"/>
                <w:highlight w:val="none"/>
                <w:lang w:val="en-US" w:eastAsia="zh-CN"/>
              </w:rPr>
              <w:t>0</w:t>
            </w:r>
            <w:r>
              <w:rPr>
                <w:color w:val="000000" w:themeColor="text1"/>
                <w:highlight w:val="none"/>
              </w:rPr>
              <w:t>1）</w:t>
            </w:r>
          </w:p>
        </w:tc>
        <w:tc>
          <w:tcPr>
            <w:tcW w:w="998" w:type="pct"/>
            <w:shd w:val="clear" w:color="auto" w:fill="auto"/>
            <w:noWrap/>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11.3838</w:t>
            </w:r>
          </w:p>
        </w:tc>
        <w:tc>
          <w:tcPr>
            <w:tcW w:w="914"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0.5217</w:t>
            </w:r>
          </w:p>
        </w:tc>
        <w:tc>
          <w:tcPr>
            <w:tcW w:w="860" w:type="pct"/>
            <w:shd w:val="clear" w:color="auto" w:fill="auto"/>
            <w:vAlign w:val="center"/>
          </w:tcPr>
          <w:p>
            <w:pPr>
              <w:pStyle w:val="63"/>
              <w:rPr>
                <w:color w:val="000000" w:themeColor="text1"/>
                <w:highlight w:val="none"/>
              </w:rPr>
            </w:pPr>
            <w:r>
              <w:rPr>
                <w:rFonts w:hint="eastAsia"/>
                <w:color w:val="000000" w:themeColor="text1"/>
                <w:highlight w:val="none"/>
                <w:lang w:val="en-US" w:eastAsia="zh-CN"/>
              </w:rPr>
              <w:t>11.9055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vMerge w:val="continue"/>
            <w:vAlign w:val="center"/>
          </w:tcPr>
          <w:p>
            <w:pPr>
              <w:pStyle w:val="63"/>
              <w:rPr>
                <w:color w:val="000000" w:themeColor="text1"/>
                <w:highlight w:val="none"/>
              </w:rPr>
            </w:pPr>
          </w:p>
        </w:tc>
        <w:tc>
          <w:tcPr>
            <w:tcW w:w="1250" w:type="pct"/>
            <w:shd w:val="clear" w:color="auto" w:fill="auto"/>
            <w:vAlign w:val="center"/>
          </w:tcPr>
          <w:p>
            <w:pPr>
              <w:pStyle w:val="63"/>
              <w:rPr>
                <w:color w:val="000000" w:themeColor="text1"/>
                <w:highlight w:val="none"/>
              </w:rPr>
            </w:pPr>
            <w:r>
              <w:rPr>
                <w:color w:val="000000" w:themeColor="text1"/>
                <w:highlight w:val="none"/>
              </w:rPr>
              <w:t>灌木林地（03</w:t>
            </w:r>
            <w:r>
              <w:rPr>
                <w:rFonts w:hint="eastAsia"/>
                <w:color w:val="000000" w:themeColor="text1"/>
                <w:highlight w:val="none"/>
                <w:lang w:val="en-US" w:eastAsia="zh-CN"/>
              </w:rPr>
              <w:t>05</w:t>
            </w:r>
            <w:r>
              <w:rPr>
                <w:color w:val="000000" w:themeColor="text1"/>
                <w:highlight w:val="none"/>
              </w:rPr>
              <w:t>）</w:t>
            </w:r>
          </w:p>
        </w:tc>
        <w:tc>
          <w:tcPr>
            <w:tcW w:w="998" w:type="pct"/>
            <w:shd w:val="clear" w:color="auto" w:fill="auto"/>
            <w:noWrap/>
            <w:vAlign w:val="center"/>
          </w:tcPr>
          <w:p>
            <w:pPr>
              <w:pStyle w:val="63"/>
              <w:rPr>
                <w:rFonts w:hint="default" w:eastAsia="宋体"/>
                <w:color w:val="000000" w:themeColor="text1"/>
                <w:highlight w:val="none"/>
                <w:lang w:val="en-US" w:eastAsia="zh-CN"/>
              </w:rPr>
            </w:pPr>
            <w:r>
              <w:rPr>
                <w:rFonts w:hint="eastAsia"/>
                <w:color w:val="000000" w:themeColor="text1"/>
                <w:szCs w:val="22"/>
                <w:highlight w:val="none"/>
                <w:lang w:val="en-US" w:eastAsia="zh-CN"/>
              </w:rPr>
              <w:t>0.0223</w:t>
            </w:r>
          </w:p>
        </w:tc>
        <w:tc>
          <w:tcPr>
            <w:tcW w:w="914" w:type="pct"/>
            <w:shd w:val="clear" w:color="auto" w:fill="auto"/>
            <w:vAlign w:val="center"/>
          </w:tcPr>
          <w:p>
            <w:pPr>
              <w:pStyle w:val="63"/>
              <w:rPr>
                <w:rFonts w:hint="default"/>
                <w:color w:val="000000" w:themeColor="text1"/>
                <w:highlight w:val="none"/>
                <w:lang w:val="en-US"/>
              </w:rPr>
            </w:pPr>
            <w:r>
              <w:rPr>
                <w:rFonts w:hint="eastAsia"/>
                <w:color w:val="000000" w:themeColor="text1"/>
                <w:highlight w:val="none"/>
                <w:lang w:val="en-US" w:eastAsia="zh-CN"/>
              </w:rPr>
              <w:t>0.0921</w:t>
            </w:r>
          </w:p>
        </w:tc>
        <w:tc>
          <w:tcPr>
            <w:tcW w:w="860" w:type="pct"/>
            <w:shd w:val="clear" w:color="auto" w:fill="auto"/>
            <w:vAlign w:val="center"/>
          </w:tcPr>
          <w:p>
            <w:pPr>
              <w:pStyle w:val="63"/>
              <w:rPr>
                <w:color w:val="000000" w:themeColor="text1"/>
                <w:highlight w:val="none"/>
              </w:rPr>
            </w:pPr>
            <w:r>
              <w:rPr>
                <w:rFonts w:hint="eastAsia"/>
                <w:color w:val="000000" w:themeColor="text1"/>
                <w:highlight w:val="none"/>
                <w:lang w:val="en-US" w:eastAsia="zh-CN"/>
              </w:rPr>
              <w:t>0.1144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7" w:type="pct"/>
            <w:shd w:val="clear" w:color="auto" w:fill="auto"/>
            <w:vAlign w:val="center"/>
          </w:tcPr>
          <w:p>
            <w:pPr>
              <w:pStyle w:val="63"/>
              <w:rPr>
                <w:color w:val="000000" w:themeColor="text1"/>
                <w:highlight w:val="none"/>
              </w:rPr>
            </w:pPr>
            <w:r>
              <w:rPr>
                <w:color w:val="000000" w:themeColor="text1"/>
                <w:highlight w:val="none"/>
              </w:rPr>
              <w:t>城镇及工矿用地（</w:t>
            </w:r>
            <w:r>
              <w:rPr>
                <w:rFonts w:hint="eastAsia"/>
                <w:color w:val="000000" w:themeColor="text1"/>
                <w:highlight w:val="none"/>
                <w:lang w:val="en-US" w:eastAsia="zh-CN"/>
              </w:rPr>
              <w:t>06</w:t>
            </w:r>
            <w:r>
              <w:rPr>
                <w:color w:val="000000" w:themeColor="text1"/>
                <w:highlight w:val="none"/>
              </w:rPr>
              <w:t>）</w:t>
            </w:r>
          </w:p>
        </w:tc>
        <w:tc>
          <w:tcPr>
            <w:tcW w:w="1250" w:type="pct"/>
            <w:shd w:val="clear" w:color="auto" w:fill="auto"/>
            <w:vAlign w:val="center"/>
          </w:tcPr>
          <w:p>
            <w:pPr>
              <w:pStyle w:val="63"/>
              <w:ind w:firstLine="0" w:firstLineChars="0"/>
              <w:rPr>
                <w:rFonts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rPr>
              <w:t>采矿用地（</w:t>
            </w:r>
            <w:r>
              <w:rPr>
                <w:rFonts w:hint="eastAsia"/>
                <w:color w:val="000000" w:themeColor="text1"/>
                <w:highlight w:val="none"/>
                <w:lang w:val="en-US" w:eastAsia="zh-CN"/>
              </w:rPr>
              <w:t>0602</w:t>
            </w:r>
            <w:r>
              <w:rPr>
                <w:rFonts w:hint="eastAsia"/>
                <w:color w:val="000000" w:themeColor="text1"/>
                <w:highlight w:val="none"/>
              </w:rPr>
              <w:t>)</w:t>
            </w:r>
          </w:p>
        </w:tc>
        <w:tc>
          <w:tcPr>
            <w:tcW w:w="998" w:type="pct"/>
            <w:shd w:val="clear" w:color="auto" w:fill="auto"/>
            <w:noWrap/>
            <w:vAlign w:val="center"/>
          </w:tcPr>
          <w:p>
            <w:pPr>
              <w:pStyle w:val="63"/>
              <w:ind w:firstLine="0" w:firstLineChars="0"/>
              <w:rPr>
                <w:rFonts w:hint="default"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lang w:val="en-US" w:eastAsia="zh-CN"/>
              </w:rPr>
              <w:t>2.7172</w:t>
            </w:r>
          </w:p>
        </w:tc>
        <w:tc>
          <w:tcPr>
            <w:tcW w:w="914" w:type="pct"/>
            <w:shd w:val="clear" w:color="auto" w:fill="auto"/>
            <w:vAlign w:val="center"/>
          </w:tcPr>
          <w:p>
            <w:pPr>
              <w:pStyle w:val="63"/>
              <w:ind w:firstLine="0" w:firstLineChars="0"/>
              <w:rPr>
                <w:rFonts w:hint="default"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szCs w:val="22"/>
                <w:highlight w:val="none"/>
                <w:lang w:val="en-US" w:eastAsia="zh-CN"/>
              </w:rPr>
              <w:t>1.4767</w:t>
            </w:r>
          </w:p>
        </w:tc>
        <w:tc>
          <w:tcPr>
            <w:tcW w:w="860" w:type="pct"/>
            <w:shd w:val="clear" w:color="auto" w:fill="auto"/>
            <w:vAlign w:val="center"/>
          </w:tcPr>
          <w:p>
            <w:pPr>
              <w:pStyle w:val="63"/>
              <w:ind w:firstLine="0" w:firstLineChars="0"/>
              <w:rPr>
                <w:rFonts w:ascii="Times New Roman" w:hAnsi="Times New Roman" w:eastAsia="宋体" w:cs="Times New Roman"/>
                <w:color w:val="000000" w:themeColor="text1"/>
                <w:kern w:val="2"/>
                <w:sz w:val="21"/>
                <w:szCs w:val="20"/>
                <w:highlight w:val="none"/>
                <w:lang w:val="en-US" w:eastAsia="zh-CN" w:bidi="ar-SA"/>
              </w:rPr>
            </w:pPr>
            <w:r>
              <w:rPr>
                <w:rFonts w:hint="eastAsia" w:ascii="Times New Roman" w:hAnsi="Times New Roman" w:eastAsia="宋体" w:cs="Times New Roman"/>
                <w:color w:val="000000" w:themeColor="text1"/>
                <w:kern w:val="2"/>
                <w:sz w:val="21"/>
                <w:szCs w:val="20"/>
                <w:highlight w:val="none"/>
                <w:lang w:val="en-US" w:eastAsia="zh-CN" w:bidi="ar-SA"/>
              </w:rPr>
              <w:t>4.1939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27" w:type="pct"/>
            <w:gridSpan w:val="2"/>
            <w:shd w:val="clear" w:color="auto" w:fill="auto"/>
            <w:vAlign w:val="center"/>
          </w:tcPr>
          <w:p>
            <w:pPr>
              <w:pStyle w:val="63"/>
              <w:rPr>
                <w:color w:val="000000" w:themeColor="text1"/>
                <w:highlight w:val="none"/>
              </w:rPr>
            </w:pPr>
            <w:r>
              <w:rPr>
                <w:color w:val="000000" w:themeColor="text1"/>
                <w:highlight w:val="none"/>
              </w:rPr>
              <w:t>合计</w:t>
            </w:r>
          </w:p>
        </w:tc>
        <w:tc>
          <w:tcPr>
            <w:tcW w:w="1700" w:type="dxa"/>
            <w:shd w:val="clear" w:color="auto" w:fill="auto"/>
            <w:noWrap/>
            <w:vAlign w:val="center"/>
          </w:tcPr>
          <w:p>
            <w:pPr>
              <w:pStyle w:val="63"/>
              <w:ind w:firstLine="0" w:firstLineChars="0"/>
              <w:rPr>
                <w:rFonts w:hint="eastAsia"/>
                <w:color w:val="000000" w:themeColor="text1"/>
                <w:highlight w:val="none"/>
                <w:lang w:val="en-US" w:eastAsia="zh-CN"/>
              </w:rPr>
            </w:pPr>
            <w:r>
              <w:rPr>
                <w:rFonts w:hint="default"/>
                <w:color w:val="000000" w:themeColor="text1"/>
                <w:highlight w:val="none"/>
                <w:lang w:val="en-US" w:eastAsia="zh-CN"/>
              </w:rPr>
              <w:t>14.1936</w:t>
            </w:r>
          </w:p>
        </w:tc>
        <w:tc>
          <w:tcPr>
            <w:tcW w:w="1557" w:type="dxa"/>
            <w:shd w:val="clear" w:color="auto" w:fill="auto"/>
            <w:vAlign w:val="center"/>
          </w:tcPr>
          <w:p>
            <w:pPr>
              <w:pStyle w:val="63"/>
              <w:ind w:firstLine="0" w:firstLineChars="0"/>
              <w:rPr>
                <w:rFonts w:hint="eastAsia"/>
                <w:color w:val="000000" w:themeColor="text1"/>
                <w:highlight w:val="none"/>
                <w:lang w:val="en-US" w:eastAsia="zh-CN"/>
              </w:rPr>
            </w:pPr>
            <w:r>
              <w:rPr>
                <w:rFonts w:hint="default"/>
                <w:color w:val="000000" w:themeColor="text1"/>
                <w:highlight w:val="none"/>
                <w:lang w:val="en-US" w:eastAsia="zh-CN"/>
              </w:rPr>
              <w:t>2.0905</w:t>
            </w:r>
          </w:p>
        </w:tc>
        <w:tc>
          <w:tcPr>
            <w:tcW w:w="1465" w:type="dxa"/>
            <w:shd w:val="clear" w:color="auto" w:fill="auto"/>
            <w:vAlign w:val="center"/>
          </w:tcPr>
          <w:p>
            <w:pPr>
              <w:pStyle w:val="63"/>
              <w:ind w:firstLine="0" w:firstLineChars="0"/>
              <w:rPr>
                <w:rFonts w:hint="eastAsia"/>
                <w:color w:val="000000" w:themeColor="text1"/>
                <w:highlight w:val="none"/>
                <w:lang w:val="en-US" w:eastAsia="zh-CN"/>
              </w:rPr>
            </w:pPr>
            <w:r>
              <w:rPr>
                <w:rFonts w:hint="default"/>
                <w:color w:val="000000" w:themeColor="text1"/>
                <w:highlight w:val="none"/>
                <w:lang w:val="en-US" w:eastAsia="zh-CN"/>
              </w:rPr>
              <w:t>16.2841</w:t>
            </w:r>
          </w:p>
        </w:tc>
      </w:tr>
    </w:tbl>
    <w:p>
      <w:pPr>
        <w:pStyle w:val="5"/>
        <w:spacing w:before="82" w:after="82"/>
        <w:rPr>
          <w:color w:val="000000" w:themeColor="text1"/>
          <w:highlight w:val="none"/>
        </w:rPr>
      </w:pPr>
      <w:bookmarkStart w:id="104" w:name="_Toc21084"/>
      <w:r>
        <w:rPr>
          <w:color w:val="000000" w:themeColor="text1"/>
          <w:highlight w:val="none"/>
        </w:rPr>
        <w:t>2.4.2土地权属状况</w:t>
      </w:r>
      <w:bookmarkEnd w:id="101"/>
      <w:bookmarkEnd w:id="102"/>
      <w:bookmarkEnd w:id="103"/>
      <w:bookmarkEnd w:id="104"/>
    </w:p>
    <w:p>
      <w:pPr>
        <w:rPr>
          <w:color w:val="000000" w:themeColor="text1"/>
          <w:highlight w:val="none"/>
        </w:rPr>
      </w:pPr>
      <w:r>
        <w:rPr>
          <w:color w:val="000000" w:themeColor="text1"/>
          <w:highlight w:val="none"/>
          <w:lang w:val="en-GB"/>
        </w:rPr>
        <w:t>矿区土地权属为</w:t>
      </w:r>
      <w:r>
        <w:rPr>
          <w:rFonts w:hint="eastAsia"/>
          <w:color w:val="000000" w:themeColor="text1"/>
          <w:spacing w:val="-2"/>
          <w:highlight w:val="none"/>
        </w:rPr>
        <w:t>旺苍县</w:t>
      </w:r>
      <w:r>
        <w:rPr>
          <w:rFonts w:hint="eastAsia"/>
          <w:color w:val="000000" w:themeColor="text1"/>
          <w:spacing w:val="-2"/>
          <w:highlight w:val="none"/>
          <w:lang w:eastAsia="zh-CN"/>
        </w:rPr>
        <w:t>三江镇战旗村</w:t>
      </w:r>
      <w:r>
        <w:rPr>
          <w:color w:val="000000" w:themeColor="text1"/>
          <w:spacing w:val="-2"/>
          <w:highlight w:val="none"/>
        </w:rPr>
        <w:t>集体所有。</w:t>
      </w:r>
      <w:r>
        <w:rPr>
          <w:color w:val="000000" w:themeColor="text1"/>
          <w:highlight w:val="none"/>
        </w:rPr>
        <w:t>详见表2-</w:t>
      </w:r>
      <w:r>
        <w:rPr>
          <w:rFonts w:hint="eastAsia"/>
          <w:color w:val="000000" w:themeColor="text1"/>
          <w:highlight w:val="none"/>
        </w:rPr>
        <w:t>4</w:t>
      </w:r>
      <w:r>
        <w:rPr>
          <w:color w:val="000000" w:themeColor="text1"/>
          <w:highlight w:val="none"/>
        </w:rPr>
        <w:t>。</w:t>
      </w:r>
    </w:p>
    <w:p>
      <w:pPr>
        <w:pStyle w:val="67"/>
        <w:rPr>
          <w:color w:val="000000" w:themeColor="text1"/>
          <w:highlight w:val="none"/>
        </w:rPr>
      </w:pPr>
      <w:r>
        <w:rPr>
          <w:color w:val="000000" w:themeColor="text1"/>
          <w:highlight w:val="none"/>
        </w:rPr>
        <w:t>表2-</w:t>
      </w:r>
      <w:r>
        <w:rPr>
          <w:rFonts w:hint="eastAsia"/>
          <w:color w:val="000000" w:themeColor="text1"/>
          <w:highlight w:val="none"/>
        </w:rPr>
        <w:t xml:space="preserve">4  </w:t>
      </w:r>
      <w:r>
        <w:rPr>
          <w:color w:val="000000" w:themeColor="text1"/>
          <w:highlight w:val="none"/>
        </w:rPr>
        <w:t>项目区土地利用权属表</w:t>
      </w:r>
      <w:r>
        <w:rPr>
          <w:color w:val="000000" w:themeColor="text1"/>
          <w:highlight w:val="none"/>
        </w:rPr>
        <w:tab/>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558"/>
        <w:gridCol w:w="1142"/>
        <w:gridCol w:w="1091"/>
        <w:gridCol w:w="1159"/>
        <w:gridCol w:w="140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pct"/>
            <w:gridSpan w:val="2"/>
            <w:vMerge w:val="restart"/>
            <w:shd w:val="clear" w:color="auto" w:fill="auto"/>
            <w:noWrap/>
            <w:vAlign w:val="center"/>
          </w:tcPr>
          <w:p>
            <w:pPr>
              <w:pStyle w:val="63"/>
              <w:rPr>
                <w:rFonts w:hint="eastAsia"/>
                <w:color w:val="000000" w:themeColor="text1"/>
                <w:highlight w:val="none"/>
              </w:rPr>
            </w:pPr>
            <w:bookmarkStart w:id="105" w:name="_Toc26311"/>
            <w:r>
              <w:rPr>
                <w:rFonts w:hint="eastAsia"/>
                <w:color w:val="000000" w:themeColor="text1"/>
                <w:highlight w:val="none"/>
              </w:rPr>
              <w:t>权属</w:t>
            </w:r>
          </w:p>
        </w:tc>
        <w:tc>
          <w:tcPr>
            <w:tcW w:w="3349" w:type="pct"/>
            <w:gridSpan w:val="5"/>
            <w:shd w:val="clear" w:color="auto" w:fill="auto"/>
            <w:vAlign w:val="center"/>
          </w:tcPr>
          <w:p>
            <w:pPr>
              <w:pStyle w:val="63"/>
              <w:rPr>
                <w:color w:val="000000" w:themeColor="text1"/>
                <w:highlight w:val="none"/>
              </w:rPr>
            </w:pPr>
            <w:r>
              <w:rPr>
                <w:rFonts w:hint="eastAsia"/>
                <w:color w:val="000000" w:themeColor="text1"/>
                <w:highlight w:val="none"/>
              </w:rPr>
              <w:t>地类及面积（</w:t>
            </w:r>
            <w:r>
              <w:rPr>
                <w:color w:val="000000" w:themeColor="text1"/>
                <w:highlight w:val="none"/>
              </w:rPr>
              <w:t>hm</w:t>
            </w:r>
            <w:r>
              <w:rPr>
                <w:color w:val="000000" w:themeColor="text1"/>
                <w:highlight w:val="none"/>
                <w:vertAlign w:val="superscript"/>
              </w:rPr>
              <w:t>2</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pct"/>
            <w:gridSpan w:val="2"/>
            <w:vMerge w:val="continue"/>
            <w:vAlign w:val="center"/>
          </w:tcPr>
          <w:p>
            <w:pPr>
              <w:pStyle w:val="63"/>
              <w:rPr>
                <w:rFonts w:hint="eastAsia"/>
                <w:color w:val="000000" w:themeColor="text1"/>
                <w:highlight w:val="none"/>
              </w:rPr>
            </w:pPr>
          </w:p>
        </w:tc>
        <w:tc>
          <w:tcPr>
            <w:tcW w:w="670" w:type="pct"/>
            <w:shd w:val="clear" w:color="auto" w:fill="auto"/>
            <w:vAlign w:val="center"/>
          </w:tcPr>
          <w:p>
            <w:pPr>
              <w:pStyle w:val="63"/>
              <w:rPr>
                <w:color w:val="000000" w:themeColor="text1"/>
                <w:highlight w:val="none"/>
              </w:rPr>
            </w:pPr>
            <w:r>
              <w:rPr>
                <w:rFonts w:hint="eastAsia"/>
                <w:color w:val="000000" w:themeColor="text1"/>
                <w:highlight w:val="none"/>
              </w:rPr>
              <w:t>耕地</w:t>
            </w:r>
            <w:r>
              <w:rPr>
                <w:color w:val="000000" w:themeColor="text1"/>
                <w:highlight w:val="none"/>
              </w:rPr>
              <w:t>0</w:t>
            </w:r>
            <w:r>
              <w:rPr>
                <w:rFonts w:hint="eastAsia"/>
                <w:color w:val="000000" w:themeColor="text1"/>
                <w:highlight w:val="none"/>
              </w:rPr>
              <w:t>1</w:t>
            </w:r>
          </w:p>
        </w:tc>
        <w:tc>
          <w:tcPr>
            <w:tcW w:w="1321" w:type="pct"/>
            <w:gridSpan w:val="2"/>
            <w:shd w:val="clear" w:color="auto" w:fill="auto"/>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03</w:t>
            </w:r>
          </w:p>
        </w:tc>
        <w:tc>
          <w:tcPr>
            <w:tcW w:w="825"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rPr>
              <w:t>城镇村及工矿用地</w:t>
            </w:r>
            <w:r>
              <w:rPr>
                <w:rFonts w:hint="eastAsia"/>
                <w:color w:val="000000" w:themeColor="text1"/>
                <w:highlight w:val="none"/>
                <w:lang w:val="en-US" w:eastAsia="zh-CN"/>
              </w:rPr>
              <w:t>06</w:t>
            </w:r>
          </w:p>
        </w:tc>
        <w:tc>
          <w:tcPr>
            <w:tcW w:w="531" w:type="pct"/>
            <w:vMerge w:val="restart"/>
            <w:shd w:val="clear" w:color="auto" w:fill="auto"/>
            <w:vAlign w:val="center"/>
          </w:tcPr>
          <w:p>
            <w:pPr>
              <w:pStyle w:val="63"/>
              <w:rPr>
                <w:color w:val="000000" w:themeColor="text1"/>
                <w:highlight w:val="none"/>
              </w:rPr>
            </w:pPr>
            <w:r>
              <w:rPr>
                <w:rFonts w:hint="eastAsia"/>
                <w:color w:val="000000" w:themeColor="text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pct"/>
            <w:gridSpan w:val="2"/>
            <w:vMerge w:val="continue"/>
            <w:vAlign w:val="center"/>
          </w:tcPr>
          <w:p>
            <w:pPr>
              <w:pStyle w:val="63"/>
              <w:rPr>
                <w:rFonts w:hint="eastAsia"/>
                <w:color w:val="000000" w:themeColor="text1"/>
                <w:highlight w:val="none"/>
              </w:rPr>
            </w:pPr>
          </w:p>
        </w:tc>
        <w:tc>
          <w:tcPr>
            <w:tcW w:w="670" w:type="pct"/>
            <w:shd w:val="clear" w:color="auto" w:fill="auto"/>
            <w:vAlign w:val="center"/>
          </w:tcPr>
          <w:p>
            <w:pPr>
              <w:pStyle w:val="63"/>
              <w:rPr>
                <w:color w:val="000000" w:themeColor="text1"/>
                <w:highlight w:val="none"/>
              </w:rPr>
            </w:pPr>
            <w:r>
              <w:rPr>
                <w:rFonts w:hint="eastAsia"/>
                <w:color w:val="000000" w:themeColor="text1"/>
                <w:highlight w:val="none"/>
              </w:rPr>
              <w:t>旱地</w:t>
            </w:r>
            <w:r>
              <w:rPr>
                <w:color w:val="000000" w:themeColor="text1"/>
                <w:highlight w:val="none"/>
              </w:rPr>
              <w:t>01</w:t>
            </w:r>
            <w:r>
              <w:rPr>
                <w:rFonts w:hint="eastAsia"/>
                <w:color w:val="000000" w:themeColor="text1"/>
                <w:highlight w:val="none"/>
                <w:lang w:val="en-US" w:eastAsia="zh-CN"/>
              </w:rPr>
              <w:t>0</w:t>
            </w:r>
            <w:r>
              <w:rPr>
                <w:color w:val="000000" w:themeColor="text1"/>
                <w:highlight w:val="none"/>
              </w:rPr>
              <w:t>3</w:t>
            </w:r>
          </w:p>
        </w:tc>
        <w:tc>
          <w:tcPr>
            <w:tcW w:w="640" w:type="pct"/>
            <w:shd w:val="clear" w:color="auto" w:fill="auto"/>
            <w:vAlign w:val="center"/>
          </w:tcPr>
          <w:p>
            <w:pPr>
              <w:pStyle w:val="63"/>
              <w:rPr>
                <w:color w:val="000000" w:themeColor="text1"/>
                <w:highlight w:val="none"/>
              </w:rPr>
            </w:pPr>
            <w:r>
              <w:rPr>
                <w:rFonts w:hint="eastAsia"/>
                <w:color w:val="000000" w:themeColor="text1"/>
                <w:highlight w:val="none"/>
                <w:lang w:eastAsia="zh-CN"/>
              </w:rPr>
              <w:t>乔木林地</w:t>
            </w:r>
            <w:r>
              <w:rPr>
                <w:color w:val="000000" w:themeColor="text1"/>
                <w:highlight w:val="none"/>
              </w:rPr>
              <w:t>031</w:t>
            </w:r>
          </w:p>
        </w:tc>
        <w:tc>
          <w:tcPr>
            <w:tcW w:w="680" w:type="pct"/>
            <w:shd w:val="clear" w:color="auto" w:fill="auto"/>
            <w:vAlign w:val="center"/>
          </w:tcPr>
          <w:p>
            <w:pPr>
              <w:pStyle w:val="63"/>
              <w:rPr>
                <w:color w:val="000000" w:themeColor="text1"/>
                <w:highlight w:val="none"/>
              </w:rPr>
            </w:pPr>
            <w:r>
              <w:rPr>
                <w:rFonts w:hint="eastAsia"/>
                <w:color w:val="000000" w:themeColor="text1"/>
                <w:highlight w:val="none"/>
              </w:rPr>
              <w:t>灌木林地</w:t>
            </w:r>
            <w:r>
              <w:rPr>
                <w:color w:val="000000" w:themeColor="text1"/>
                <w:highlight w:val="none"/>
              </w:rPr>
              <w:t>03</w:t>
            </w:r>
            <w:r>
              <w:rPr>
                <w:rFonts w:hint="eastAsia"/>
                <w:color w:val="000000" w:themeColor="text1"/>
                <w:highlight w:val="none"/>
                <w:lang w:val="en-US" w:eastAsia="zh-CN"/>
              </w:rPr>
              <w:t>05</w:t>
            </w:r>
          </w:p>
        </w:tc>
        <w:tc>
          <w:tcPr>
            <w:tcW w:w="825"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rPr>
              <w:t>采矿用地</w:t>
            </w:r>
            <w:r>
              <w:rPr>
                <w:rFonts w:hint="eastAsia"/>
                <w:color w:val="000000" w:themeColor="text1"/>
                <w:highlight w:val="none"/>
                <w:lang w:val="en-US" w:eastAsia="zh-CN"/>
              </w:rPr>
              <w:t>0602</w:t>
            </w:r>
          </w:p>
        </w:tc>
        <w:tc>
          <w:tcPr>
            <w:tcW w:w="531" w:type="pct"/>
            <w:vMerge w:val="continue"/>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pct"/>
            <w:shd w:val="clear" w:color="auto" w:fill="auto"/>
            <w:vAlign w:val="center"/>
          </w:tcPr>
          <w:p>
            <w:pPr>
              <w:pStyle w:val="63"/>
              <w:rPr>
                <w:rFonts w:hint="eastAsia"/>
                <w:color w:val="000000" w:themeColor="text1"/>
                <w:highlight w:val="none"/>
              </w:rPr>
            </w:pPr>
            <w:r>
              <w:rPr>
                <w:rFonts w:hint="eastAsia"/>
                <w:color w:val="000000" w:themeColor="text1"/>
                <w:highlight w:val="none"/>
              </w:rPr>
              <w:t>四川省广元市</w:t>
            </w:r>
          </w:p>
        </w:tc>
        <w:tc>
          <w:tcPr>
            <w:tcW w:w="915" w:type="pct"/>
            <w:shd w:val="clear" w:color="auto" w:fill="auto"/>
            <w:noWrap/>
            <w:vAlign w:val="center"/>
          </w:tcPr>
          <w:p>
            <w:pPr>
              <w:pStyle w:val="63"/>
              <w:rPr>
                <w:rFonts w:hint="eastAsia"/>
                <w:color w:val="000000" w:themeColor="text1"/>
                <w:highlight w:val="none"/>
              </w:rPr>
            </w:pPr>
            <w:r>
              <w:rPr>
                <w:rFonts w:hint="eastAsia"/>
                <w:color w:val="000000" w:themeColor="text1"/>
                <w:highlight w:val="none"/>
                <w:lang w:val="en-US" w:eastAsia="zh-CN"/>
              </w:rPr>
              <w:t>旺苍县三江镇战旗村</w:t>
            </w:r>
          </w:p>
        </w:tc>
        <w:tc>
          <w:tcPr>
            <w:tcW w:w="67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0.0703</w:t>
            </w:r>
          </w:p>
        </w:tc>
        <w:tc>
          <w:tcPr>
            <w:tcW w:w="64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11.9055</w:t>
            </w:r>
          </w:p>
        </w:tc>
        <w:tc>
          <w:tcPr>
            <w:tcW w:w="68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0.1144</w:t>
            </w:r>
          </w:p>
        </w:tc>
        <w:tc>
          <w:tcPr>
            <w:tcW w:w="825" w:type="pct"/>
            <w:shd w:val="clear" w:color="auto" w:fill="auto"/>
            <w:noWrap/>
            <w:vAlign w:val="center"/>
          </w:tcPr>
          <w:p>
            <w:pPr>
              <w:pStyle w:val="63"/>
              <w:rPr>
                <w:color w:val="000000" w:themeColor="text1"/>
                <w:highlight w:val="none"/>
              </w:rPr>
            </w:pPr>
            <w:r>
              <w:rPr>
                <w:rFonts w:hint="eastAsia" w:ascii="Times New Roman" w:hAnsi="Times New Roman" w:eastAsia="宋体" w:cs="Times New Roman"/>
                <w:color w:val="000000" w:themeColor="text1"/>
                <w:kern w:val="2"/>
                <w:sz w:val="21"/>
                <w:szCs w:val="20"/>
                <w:highlight w:val="none"/>
                <w:lang w:val="en-US" w:eastAsia="zh-CN" w:bidi="ar-SA"/>
              </w:rPr>
              <w:t>4.1939</w:t>
            </w:r>
          </w:p>
        </w:tc>
        <w:tc>
          <w:tcPr>
            <w:tcW w:w="531" w:type="pct"/>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16.2841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50" w:type="pct"/>
            <w:gridSpan w:val="2"/>
            <w:shd w:val="clear" w:color="auto" w:fill="auto"/>
            <w:noWrap/>
            <w:vAlign w:val="center"/>
          </w:tcPr>
          <w:p>
            <w:pPr>
              <w:pStyle w:val="63"/>
              <w:rPr>
                <w:rFonts w:hint="eastAsia"/>
                <w:color w:val="000000" w:themeColor="text1"/>
                <w:highlight w:val="none"/>
              </w:rPr>
            </w:pPr>
            <w:r>
              <w:rPr>
                <w:rFonts w:hint="eastAsia"/>
                <w:color w:val="000000" w:themeColor="text1"/>
                <w:highlight w:val="none"/>
              </w:rPr>
              <w:t>合计</w:t>
            </w:r>
          </w:p>
        </w:tc>
        <w:tc>
          <w:tcPr>
            <w:tcW w:w="67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0.0703</w:t>
            </w:r>
          </w:p>
        </w:tc>
        <w:tc>
          <w:tcPr>
            <w:tcW w:w="64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11.9055</w:t>
            </w:r>
          </w:p>
        </w:tc>
        <w:tc>
          <w:tcPr>
            <w:tcW w:w="680" w:type="pct"/>
            <w:shd w:val="clear" w:color="auto" w:fill="auto"/>
            <w:noWrap/>
            <w:vAlign w:val="center"/>
          </w:tcPr>
          <w:p>
            <w:pPr>
              <w:pStyle w:val="63"/>
              <w:rPr>
                <w:color w:val="000000" w:themeColor="text1"/>
                <w:highlight w:val="none"/>
              </w:rPr>
            </w:pPr>
            <w:r>
              <w:rPr>
                <w:rFonts w:hint="eastAsia"/>
                <w:color w:val="000000" w:themeColor="text1"/>
                <w:highlight w:val="none"/>
                <w:lang w:val="en-US" w:eastAsia="zh-CN"/>
              </w:rPr>
              <w:t>0.1144</w:t>
            </w:r>
          </w:p>
        </w:tc>
        <w:tc>
          <w:tcPr>
            <w:tcW w:w="825" w:type="pct"/>
            <w:shd w:val="clear" w:color="auto" w:fill="auto"/>
            <w:noWrap/>
            <w:vAlign w:val="center"/>
          </w:tcPr>
          <w:p>
            <w:pPr>
              <w:pStyle w:val="63"/>
              <w:rPr>
                <w:color w:val="000000" w:themeColor="text1"/>
                <w:highlight w:val="none"/>
              </w:rPr>
            </w:pPr>
            <w:r>
              <w:rPr>
                <w:rFonts w:hint="eastAsia" w:ascii="Times New Roman" w:hAnsi="Times New Roman" w:eastAsia="宋体" w:cs="Times New Roman"/>
                <w:color w:val="000000" w:themeColor="text1"/>
                <w:kern w:val="2"/>
                <w:sz w:val="21"/>
                <w:szCs w:val="20"/>
                <w:highlight w:val="none"/>
                <w:lang w:val="en-US" w:eastAsia="zh-CN" w:bidi="ar-SA"/>
              </w:rPr>
              <w:t>4.1939</w:t>
            </w:r>
          </w:p>
        </w:tc>
        <w:tc>
          <w:tcPr>
            <w:tcW w:w="531" w:type="pct"/>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16.2841</w:t>
            </w:r>
          </w:p>
        </w:tc>
      </w:tr>
    </w:tbl>
    <w:p>
      <w:pPr>
        <w:pStyle w:val="4"/>
        <w:spacing w:before="82" w:after="82"/>
        <w:rPr>
          <w:color w:val="000000" w:themeColor="text1"/>
          <w:highlight w:val="none"/>
        </w:rPr>
      </w:pPr>
      <w:bookmarkStart w:id="106" w:name="_Toc31391"/>
      <w:r>
        <w:rPr>
          <w:color w:val="000000" w:themeColor="text1"/>
          <w:highlight w:val="none"/>
        </w:rPr>
        <w:t>2.5矿山及周边其他人类重大工程活动</w:t>
      </w:r>
      <w:bookmarkEnd w:id="105"/>
      <w:bookmarkEnd w:id="106"/>
    </w:p>
    <w:p>
      <w:pPr>
        <w:rPr>
          <w:color w:val="000000" w:themeColor="text1"/>
          <w:highlight w:val="none"/>
        </w:rPr>
      </w:pPr>
      <w:bookmarkStart w:id="107" w:name="_Toc480648154"/>
      <w:bookmarkStart w:id="108" w:name="_Toc481328176"/>
      <w:bookmarkStart w:id="109" w:name="_Toc6874"/>
      <w:r>
        <w:rPr>
          <w:color w:val="000000" w:themeColor="text1"/>
          <w:highlight w:val="none"/>
        </w:rPr>
        <w:t>矿区内地面无重大水体、铁路和重要建筑物，矿区及周边安全影响范围内无风景区、文物、自然保护区、军事设施、重要基础设施及重要工业设施等</w:t>
      </w:r>
      <w:r>
        <w:rPr>
          <w:rFonts w:hint="eastAsia"/>
          <w:color w:val="000000" w:themeColor="text1"/>
          <w:highlight w:val="none"/>
        </w:rPr>
        <w:t>。</w:t>
      </w:r>
      <w:r>
        <w:rPr>
          <w:rFonts w:hint="eastAsia"/>
          <w:color w:val="000000" w:themeColor="text1"/>
          <w:highlight w:val="none"/>
          <w:lang w:eastAsia="zh-CN"/>
        </w:rPr>
        <w:t>三江镇战旗石灰石矿</w:t>
      </w:r>
      <w:r>
        <w:rPr>
          <w:color w:val="000000" w:themeColor="text1"/>
          <w:highlight w:val="none"/>
        </w:rPr>
        <w:t>废水主要为生活污水</w:t>
      </w:r>
      <w:r>
        <w:rPr>
          <w:rFonts w:hint="eastAsia"/>
          <w:color w:val="000000" w:themeColor="text1"/>
          <w:highlight w:val="none"/>
        </w:rPr>
        <w:t>，</w:t>
      </w:r>
      <w:r>
        <w:rPr>
          <w:color w:val="000000" w:themeColor="text1"/>
          <w:highlight w:val="none"/>
        </w:rPr>
        <w:t>对于生活污水，矿山基建时</w:t>
      </w:r>
      <w:r>
        <w:rPr>
          <w:rFonts w:hint="eastAsia"/>
          <w:color w:val="000000" w:themeColor="text1"/>
          <w:highlight w:val="none"/>
        </w:rPr>
        <w:t>，</w:t>
      </w:r>
      <w:r>
        <w:rPr>
          <w:color w:val="000000" w:themeColor="text1"/>
          <w:highlight w:val="none"/>
        </w:rPr>
        <w:t>在办公生活区修建了化粪池</w:t>
      </w:r>
      <w:r>
        <w:rPr>
          <w:rFonts w:hint="eastAsia"/>
          <w:color w:val="000000" w:themeColor="text1"/>
          <w:highlight w:val="none"/>
          <w:lang w:eastAsia="zh-CN"/>
        </w:rPr>
        <w:t>，</w:t>
      </w:r>
      <w:r>
        <w:rPr>
          <w:rFonts w:hint="eastAsia"/>
          <w:color w:val="000000" w:themeColor="text1"/>
          <w:highlight w:val="none"/>
        </w:rPr>
        <w:t>经污水处理后</w:t>
      </w:r>
      <w:r>
        <w:rPr>
          <w:rFonts w:hint="eastAsia"/>
          <w:color w:val="000000" w:themeColor="text1"/>
          <w:highlight w:val="none"/>
          <w:lang w:eastAsia="zh-CN"/>
        </w:rPr>
        <w:t>用于灌溉，不外排</w:t>
      </w:r>
      <w:r>
        <w:rPr>
          <w:color w:val="000000" w:themeColor="text1"/>
          <w:highlight w:val="none"/>
        </w:rPr>
        <w:t>。</w:t>
      </w:r>
    </w:p>
    <w:p>
      <w:pPr>
        <w:rPr>
          <w:color w:val="000000" w:themeColor="text1"/>
          <w:highlight w:val="none"/>
        </w:rPr>
      </w:pPr>
      <w:r>
        <w:rPr>
          <w:color w:val="000000" w:themeColor="text1"/>
          <w:highlight w:val="none"/>
        </w:rPr>
        <w:t>综上所述，破坏地质环境的人类工程活动</w:t>
      </w:r>
      <w:r>
        <w:rPr>
          <w:rFonts w:hint="eastAsia"/>
          <w:color w:val="000000" w:themeColor="text1"/>
          <w:highlight w:val="none"/>
        </w:rPr>
        <w:t>中等</w:t>
      </w:r>
      <w:r>
        <w:rPr>
          <w:color w:val="000000" w:themeColor="text1"/>
          <w:highlight w:val="none"/>
        </w:rPr>
        <w:t>。</w:t>
      </w:r>
    </w:p>
    <w:p>
      <w:pPr>
        <w:pStyle w:val="4"/>
        <w:spacing w:before="82" w:after="82"/>
        <w:rPr>
          <w:color w:val="000000" w:themeColor="text1"/>
          <w:highlight w:val="none"/>
        </w:rPr>
      </w:pPr>
      <w:bookmarkStart w:id="110" w:name="_Toc3282"/>
      <w:r>
        <w:rPr>
          <w:color w:val="000000" w:themeColor="text1"/>
          <w:highlight w:val="none"/>
        </w:rPr>
        <w:t>2.6矿山及周边矿山地质环境治理与土地复垦方案案例分析</w:t>
      </w:r>
      <w:bookmarkEnd w:id="107"/>
      <w:bookmarkEnd w:id="108"/>
      <w:bookmarkEnd w:id="109"/>
      <w:bookmarkEnd w:id="110"/>
    </w:p>
    <w:p>
      <w:pPr>
        <w:rPr>
          <w:color w:val="000000" w:themeColor="text1"/>
          <w:highlight w:val="none"/>
        </w:rPr>
      </w:pPr>
      <w:r>
        <w:rPr>
          <w:rFonts w:hint="eastAsia"/>
          <w:color w:val="000000" w:themeColor="text1"/>
          <w:highlight w:val="none"/>
        </w:rPr>
        <w:t>1、矿山周边地质环境治理与土地复垦案例</w:t>
      </w:r>
    </w:p>
    <w:p>
      <w:pPr>
        <w:rPr>
          <w:color w:val="000000" w:themeColor="text1"/>
          <w:highlight w:val="none"/>
        </w:rPr>
      </w:pPr>
      <w:r>
        <w:rPr>
          <w:rFonts w:hint="eastAsia"/>
          <w:color w:val="000000" w:themeColor="text1"/>
          <w:highlight w:val="none"/>
        </w:rPr>
        <w:t>参照《</w:t>
      </w:r>
      <w:r>
        <w:rPr>
          <w:rFonts w:hint="eastAsia"/>
          <w:color w:val="000000" w:themeColor="text1"/>
          <w:highlight w:val="none"/>
          <w:lang w:eastAsia="zh-CN"/>
        </w:rPr>
        <w:t>广元市旺苍县大德镇埂坎河灰岩矿矿山地质环境保护与土地复垦方案</w:t>
      </w:r>
      <w:r>
        <w:rPr>
          <w:rFonts w:hint="eastAsia"/>
          <w:color w:val="000000" w:themeColor="text1"/>
          <w:highlight w:val="none"/>
        </w:rPr>
        <w:t>》，主要有一下矿山治理措施：</w:t>
      </w:r>
    </w:p>
    <w:p>
      <w:pPr>
        <w:rPr>
          <w:color w:val="000000" w:themeColor="text1"/>
          <w:highlight w:val="none"/>
        </w:rPr>
      </w:pPr>
      <w:r>
        <w:rPr>
          <w:rFonts w:hint="eastAsia"/>
          <w:color w:val="000000" w:themeColor="text1"/>
          <w:highlight w:val="none"/>
        </w:rPr>
        <w:t>（1）</w:t>
      </w:r>
      <w:r>
        <w:rPr>
          <w:color w:val="000000" w:themeColor="text1"/>
          <w:highlight w:val="none"/>
        </w:rPr>
        <w:t>矿山地质环境治理</w:t>
      </w:r>
    </w:p>
    <w:p>
      <w:pPr>
        <w:rPr>
          <w:color w:val="000000" w:themeColor="text1"/>
          <w:highlight w:val="none"/>
        </w:rPr>
      </w:pPr>
      <w:r>
        <w:rPr>
          <w:color w:val="000000" w:themeColor="text1"/>
          <w:highlight w:val="none"/>
        </w:rPr>
        <w:t>矿山地质环境治理主要有地质灾害隐患点监测</w:t>
      </w:r>
      <w:r>
        <w:rPr>
          <w:rFonts w:hint="eastAsia"/>
          <w:color w:val="000000" w:themeColor="text1"/>
          <w:highlight w:val="none"/>
        </w:rPr>
        <w:t>，</w:t>
      </w:r>
      <w:r>
        <w:rPr>
          <w:color w:val="000000" w:themeColor="text1"/>
          <w:highlight w:val="none"/>
        </w:rPr>
        <w:t>修建截排水沟等</w:t>
      </w:r>
      <w:r>
        <w:rPr>
          <w:rFonts w:hint="eastAsia"/>
          <w:color w:val="000000" w:themeColor="text1"/>
          <w:highlight w:val="none"/>
        </w:rPr>
        <w:t>。</w:t>
      </w:r>
    </w:p>
    <w:p>
      <w:pPr>
        <w:rPr>
          <w:color w:val="000000" w:themeColor="text1"/>
          <w:highlight w:val="none"/>
        </w:rPr>
      </w:pPr>
      <w:r>
        <w:rPr>
          <w:rFonts w:hint="eastAsia"/>
          <w:color w:val="000000" w:themeColor="text1"/>
          <w:highlight w:val="none"/>
        </w:rPr>
        <w:t>（2）矿山土地复垦</w:t>
      </w:r>
    </w:p>
    <w:p>
      <w:pPr>
        <w:rPr>
          <w:color w:val="000000" w:themeColor="text1"/>
          <w:highlight w:val="none"/>
        </w:rPr>
      </w:pPr>
      <w:r>
        <w:rPr>
          <w:rFonts w:hint="eastAsia"/>
          <w:color w:val="000000" w:themeColor="text1"/>
          <w:highlight w:val="none"/>
        </w:rPr>
        <w:t>矿山土地复垦，主要复垦为林地、草地，</w:t>
      </w:r>
      <w:r>
        <w:rPr>
          <w:rFonts w:ascii="宋体" w:hAnsi="宋体"/>
          <w:color w:val="000000" w:themeColor="text1"/>
          <w:highlight w:val="none"/>
        </w:rPr>
        <w:t>复垦区全面覆土，覆土厚度为</w:t>
      </w:r>
      <w:r>
        <w:rPr>
          <w:color w:val="000000" w:themeColor="text1"/>
          <w:highlight w:val="none"/>
        </w:rPr>
        <w:t>30cm</w:t>
      </w:r>
      <w:r>
        <w:rPr>
          <w:rFonts w:hint="eastAsia" w:ascii="宋体" w:hAnsi="宋体"/>
          <w:color w:val="000000" w:themeColor="text1"/>
          <w:highlight w:val="none"/>
        </w:rPr>
        <w:t>；</w:t>
      </w:r>
      <w:r>
        <w:rPr>
          <w:rFonts w:ascii="宋体" w:hAnsi="宋体"/>
          <w:color w:val="000000" w:themeColor="text1"/>
          <w:highlight w:val="none"/>
        </w:rPr>
        <w:t>复垦</w:t>
      </w:r>
      <w:r>
        <w:rPr>
          <w:rFonts w:hint="eastAsia" w:ascii="宋体" w:hAnsi="宋体"/>
          <w:color w:val="000000" w:themeColor="text1"/>
          <w:highlight w:val="none"/>
          <w:lang w:eastAsia="zh-CN"/>
        </w:rPr>
        <w:t>乔木林地</w:t>
      </w:r>
      <w:r>
        <w:rPr>
          <w:rFonts w:ascii="宋体" w:hAnsi="宋体"/>
          <w:color w:val="000000" w:themeColor="text1"/>
          <w:highlight w:val="none"/>
        </w:rPr>
        <w:t>栽种马尾松。</w:t>
      </w:r>
    </w:p>
    <w:p>
      <w:pPr>
        <w:rPr>
          <w:color w:val="000000" w:themeColor="text1"/>
          <w:highlight w:val="none"/>
        </w:rPr>
      </w:pPr>
      <w:r>
        <w:rPr>
          <w:rFonts w:ascii="宋体" w:hAnsi="宋体"/>
          <w:color w:val="000000" w:themeColor="text1"/>
          <w:highlight w:val="none"/>
        </w:rPr>
        <w:t>马尾松采用坑栽，种植间距</w:t>
      </w:r>
      <w:r>
        <w:rPr>
          <w:color w:val="000000" w:themeColor="text1"/>
          <w:highlight w:val="none"/>
        </w:rPr>
        <w:t>2m×2m</w:t>
      </w:r>
      <w:r>
        <w:rPr>
          <w:rFonts w:ascii="宋体" w:hAnsi="宋体"/>
          <w:color w:val="000000" w:themeColor="text1"/>
          <w:sz w:val="23"/>
          <w:szCs w:val="23"/>
          <w:highlight w:val="none"/>
        </w:rPr>
        <w:t>，</w:t>
      </w:r>
      <w:r>
        <w:rPr>
          <w:rFonts w:ascii="宋体" w:hAnsi="宋体"/>
          <w:color w:val="000000" w:themeColor="text1"/>
          <w:kern w:val="0"/>
          <w:highlight w:val="none"/>
        </w:rPr>
        <w:t>种植密度为</w:t>
      </w:r>
      <w:r>
        <w:rPr>
          <w:color w:val="000000" w:themeColor="text1"/>
          <w:kern w:val="0"/>
          <w:highlight w:val="none"/>
        </w:rPr>
        <w:t>2500</w:t>
      </w:r>
      <w:r>
        <w:rPr>
          <w:rFonts w:ascii="宋体" w:hAnsi="宋体"/>
          <w:color w:val="000000" w:themeColor="text1"/>
          <w:kern w:val="0"/>
          <w:highlight w:val="none"/>
        </w:rPr>
        <w:t>株</w:t>
      </w:r>
      <w:r>
        <w:rPr>
          <w:color w:val="000000" w:themeColor="text1"/>
          <w:kern w:val="0"/>
          <w:highlight w:val="none"/>
        </w:rPr>
        <w:t>/</w:t>
      </w:r>
      <w:r>
        <w:rPr>
          <w:rFonts w:ascii="宋体" w:hAnsi="宋体"/>
          <w:color w:val="000000" w:themeColor="text1"/>
          <w:kern w:val="0"/>
          <w:highlight w:val="none"/>
        </w:rPr>
        <w:t>公顷，补植率</w:t>
      </w:r>
      <w:r>
        <w:rPr>
          <w:color w:val="000000" w:themeColor="text1"/>
          <w:kern w:val="0"/>
          <w:highlight w:val="none"/>
        </w:rPr>
        <w:t>30%</w:t>
      </w:r>
      <w:r>
        <w:rPr>
          <w:rFonts w:ascii="宋体" w:hAnsi="宋体"/>
          <w:color w:val="000000" w:themeColor="text1"/>
          <w:kern w:val="0"/>
          <w:highlight w:val="none"/>
        </w:rPr>
        <w:t>。</w:t>
      </w:r>
      <w:r>
        <w:rPr>
          <w:rFonts w:ascii="宋体" w:hAnsi="宋体"/>
          <w:color w:val="000000" w:themeColor="text1"/>
          <w:highlight w:val="none"/>
        </w:rPr>
        <w:t>黄荆条采用栽种的方式，种植间距为</w:t>
      </w:r>
      <w:r>
        <w:rPr>
          <w:color w:val="000000" w:themeColor="text1"/>
          <w:highlight w:val="none"/>
        </w:rPr>
        <w:t>1.0m×1.0m/</w:t>
      </w:r>
      <w:r>
        <w:rPr>
          <w:rFonts w:ascii="宋体" w:hAnsi="宋体"/>
          <w:color w:val="000000" w:themeColor="text1"/>
          <w:highlight w:val="none"/>
        </w:rPr>
        <w:t>株。草籽按</w:t>
      </w:r>
      <w:r>
        <w:rPr>
          <w:color w:val="000000" w:themeColor="text1"/>
          <w:highlight w:val="none"/>
        </w:rPr>
        <w:t>80kg/h</w:t>
      </w:r>
      <w:r>
        <w:rPr>
          <w:rFonts w:hint="eastAsia"/>
          <w:color w:val="000000" w:themeColor="text1"/>
          <w:highlight w:val="none"/>
        </w:rPr>
        <w:t>m</w:t>
      </w:r>
      <w:r>
        <w:rPr>
          <w:rFonts w:hint="eastAsia"/>
          <w:color w:val="000000" w:themeColor="text1"/>
          <w:highlight w:val="none"/>
          <w:vertAlign w:val="superscript"/>
        </w:rPr>
        <w:t>2</w:t>
      </w:r>
      <w:r>
        <w:rPr>
          <w:rFonts w:ascii="宋体" w:hAnsi="宋体"/>
          <w:color w:val="000000" w:themeColor="text1"/>
          <w:highlight w:val="none"/>
        </w:rPr>
        <w:t>标准播撒。</w:t>
      </w:r>
    </w:p>
    <w:p>
      <w:pPr>
        <w:rPr>
          <w:color w:val="000000" w:themeColor="text1"/>
          <w:highlight w:val="none"/>
        </w:rPr>
      </w:pPr>
      <w:r>
        <w:rPr>
          <w:color w:val="000000" w:themeColor="text1"/>
          <w:highlight w:val="none"/>
        </w:rPr>
        <w:t>配套设施工程有</w:t>
      </w:r>
      <w:r>
        <w:rPr>
          <w:rFonts w:hint="eastAsia"/>
          <w:color w:val="000000" w:themeColor="text1"/>
          <w:highlight w:val="none"/>
        </w:rPr>
        <w:t>：</w:t>
      </w:r>
      <w:r>
        <w:rPr>
          <w:color w:val="000000" w:themeColor="text1"/>
          <w:highlight w:val="none"/>
        </w:rPr>
        <w:t>修建排水沟</w:t>
      </w:r>
      <w:r>
        <w:rPr>
          <w:rFonts w:hint="eastAsia"/>
          <w:color w:val="000000" w:themeColor="text1"/>
          <w:highlight w:val="none"/>
        </w:rPr>
        <w:t>。</w:t>
      </w:r>
    </w:p>
    <w:p>
      <w:pPr>
        <w:rPr>
          <w:rFonts w:hint="eastAsia"/>
          <w:color w:val="000000" w:themeColor="text1"/>
          <w:highlight w:val="none"/>
        </w:rPr>
      </w:pPr>
      <w:bookmarkStart w:id="111" w:name="_Toc14332"/>
    </w:p>
    <w:p>
      <w:pPr>
        <w:rPr>
          <w:rFonts w:hint="eastAsia" w:eastAsia="宋体"/>
          <w:color w:val="000000" w:themeColor="text1"/>
          <w:highlight w:val="none"/>
          <w:lang w:eastAsia="zh-CN"/>
        </w:rPr>
      </w:pPr>
    </w:p>
    <w:p>
      <w:pPr>
        <w:pStyle w:val="2"/>
        <w:rPr>
          <w:rFonts w:hint="eastAsia"/>
          <w:lang w:eastAsia="zh-CN"/>
        </w:rPr>
        <w:sectPr>
          <w:headerReference r:id="rId14" w:type="default"/>
          <w:pgSz w:w="11905" w:h="16838"/>
          <w:pgMar w:top="1440" w:right="1803" w:bottom="1440" w:left="1803" w:header="624" w:footer="624" w:gutter="0"/>
          <w:cols w:space="0" w:num="1"/>
          <w:docGrid w:type="linesAndChars" w:linePitch="331" w:charSpace="0"/>
        </w:sectPr>
      </w:pPr>
    </w:p>
    <w:p>
      <w:pPr>
        <w:pStyle w:val="3"/>
        <w:rPr>
          <w:color w:val="000000" w:themeColor="text1"/>
          <w:highlight w:val="none"/>
        </w:rPr>
      </w:pPr>
      <w:bookmarkStart w:id="112" w:name="_Toc21615"/>
      <w:r>
        <w:rPr>
          <w:color w:val="000000" w:themeColor="text1"/>
          <w:highlight w:val="none"/>
        </w:rPr>
        <w:t>第三章矿山地质环境影响和土地损毁评估</w:t>
      </w:r>
      <w:bookmarkEnd w:id="111"/>
      <w:bookmarkEnd w:id="112"/>
    </w:p>
    <w:p>
      <w:pPr>
        <w:pStyle w:val="4"/>
        <w:spacing w:before="82" w:after="82"/>
        <w:rPr>
          <w:color w:val="000000" w:themeColor="text1"/>
          <w:highlight w:val="none"/>
        </w:rPr>
      </w:pPr>
      <w:bookmarkStart w:id="113" w:name="_Toc629"/>
      <w:bookmarkStart w:id="114" w:name="_Toc25959"/>
      <w:r>
        <w:rPr>
          <w:color w:val="000000" w:themeColor="text1"/>
          <w:highlight w:val="none"/>
        </w:rPr>
        <w:t>3.1矿山地质环境与土地资源调查概述</w:t>
      </w:r>
      <w:bookmarkEnd w:id="113"/>
      <w:bookmarkEnd w:id="114"/>
    </w:p>
    <w:p>
      <w:pPr>
        <w:pStyle w:val="5"/>
        <w:spacing w:before="82" w:after="82"/>
        <w:rPr>
          <w:color w:val="000000" w:themeColor="text1"/>
          <w:highlight w:val="none"/>
        </w:rPr>
      </w:pPr>
      <w:bookmarkStart w:id="115" w:name="_Toc481328179"/>
      <w:bookmarkStart w:id="116" w:name="_Toc5020"/>
      <w:bookmarkStart w:id="117" w:name="_Toc5061"/>
      <w:r>
        <w:rPr>
          <w:color w:val="000000" w:themeColor="text1"/>
          <w:highlight w:val="none"/>
        </w:rPr>
        <w:t>3.1.1矿山地质环境调查概述</w:t>
      </w:r>
      <w:bookmarkEnd w:id="115"/>
      <w:bookmarkEnd w:id="116"/>
      <w:bookmarkEnd w:id="117"/>
    </w:p>
    <w:p>
      <w:pPr>
        <w:rPr>
          <w:color w:val="000000" w:themeColor="text1"/>
          <w:highlight w:val="none"/>
        </w:rPr>
      </w:pPr>
      <w:r>
        <w:rPr>
          <w:color w:val="000000" w:themeColor="text1"/>
          <w:highlight w:val="none"/>
        </w:rPr>
        <w:t>20</w:t>
      </w:r>
      <w:r>
        <w:rPr>
          <w:rFonts w:hint="eastAsia"/>
          <w:color w:val="000000" w:themeColor="text1"/>
          <w:highlight w:val="none"/>
        </w:rPr>
        <w:t>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10</w:t>
      </w:r>
      <w:r>
        <w:rPr>
          <w:color w:val="000000" w:themeColor="text1"/>
          <w:highlight w:val="none"/>
        </w:rPr>
        <w:t>月</w:t>
      </w:r>
      <w:r>
        <w:rPr>
          <w:rFonts w:hint="eastAsia"/>
          <w:color w:val="000000" w:themeColor="text1"/>
          <w:highlight w:val="none"/>
          <w:lang w:eastAsia="zh-CN"/>
        </w:rPr>
        <w:t>四川天梦星地质勘查技术有限公司</w:t>
      </w:r>
      <w:r>
        <w:rPr>
          <w:color w:val="000000" w:themeColor="text1"/>
          <w:highlight w:val="none"/>
        </w:rPr>
        <w:t>组织</w:t>
      </w:r>
      <w:r>
        <w:rPr>
          <w:rFonts w:hint="eastAsia"/>
          <w:color w:val="000000" w:themeColor="text1"/>
          <w:highlight w:val="none"/>
        </w:rPr>
        <w:t>3</w:t>
      </w:r>
      <w:r>
        <w:rPr>
          <w:color w:val="000000" w:themeColor="text1"/>
          <w:highlight w:val="none"/>
        </w:rPr>
        <w:t>名技术人员前往</w:t>
      </w:r>
      <w:r>
        <w:rPr>
          <w:rFonts w:hint="eastAsia"/>
          <w:color w:val="000000" w:themeColor="text1"/>
          <w:highlight w:val="none"/>
          <w:lang w:eastAsia="zh-CN"/>
        </w:rPr>
        <w:t>旺苍县华隆建材有限公司三江镇战旗石灰石矿</w:t>
      </w:r>
      <w:r>
        <w:rPr>
          <w:color w:val="000000" w:themeColor="text1"/>
          <w:highlight w:val="none"/>
        </w:rPr>
        <w:t>现场进行实地踏勘。</w:t>
      </w:r>
    </w:p>
    <w:p>
      <w:pPr>
        <w:rPr>
          <w:color w:val="000000" w:themeColor="text1"/>
          <w:highlight w:val="none"/>
          <w:lang w:val="zh-CN"/>
        </w:rPr>
      </w:pPr>
      <w:r>
        <w:rPr>
          <w:color w:val="000000" w:themeColor="text1"/>
          <w:highlight w:val="none"/>
          <w:lang w:val="zh-CN"/>
        </w:rPr>
        <w:t>在本次</w:t>
      </w:r>
      <w:r>
        <w:rPr>
          <w:color w:val="000000" w:themeColor="text1"/>
          <w:highlight w:val="none"/>
        </w:rPr>
        <w:t>矿山地质环境调查</w:t>
      </w:r>
      <w:r>
        <w:rPr>
          <w:color w:val="000000" w:themeColor="text1"/>
          <w:highlight w:val="none"/>
          <w:lang w:val="zh-CN"/>
        </w:rPr>
        <w:t>工作中，我们首先熟悉工作程序，确定工作重点，制定实施计划。在收集资料的基础上，开展矿山地质环境现状调查。在开展现场调查工作前，收集了</w:t>
      </w:r>
      <w:r>
        <w:rPr>
          <w:color w:val="000000" w:themeColor="text1"/>
          <w:highlight w:val="none"/>
        </w:rPr>
        <w:t>《</w:t>
      </w:r>
      <w:r>
        <w:rPr>
          <w:rFonts w:hint="eastAsia"/>
          <w:color w:val="000000" w:themeColor="text1"/>
          <w:highlight w:val="none"/>
          <w:lang w:eastAsia="zh-CN"/>
        </w:rPr>
        <w:t>旺苍县三江镇战旗石灰石矿资源储量核实报告</w:t>
      </w:r>
      <w:r>
        <w:rPr>
          <w:color w:val="000000" w:themeColor="text1"/>
          <w:highlight w:val="none"/>
        </w:rPr>
        <w:t>》、《</w:t>
      </w:r>
      <w:r>
        <w:rPr>
          <w:rFonts w:hint="eastAsia"/>
          <w:color w:val="000000" w:themeColor="text1"/>
          <w:highlight w:val="none"/>
          <w:lang w:eastAsia="zh-CN"/>
        </w:rPr>
        <w:t>旺苍县三江镇战旗石灰石矿矿产资源开发利用方案</w:t>
      </w:r>
      <w:r>
        <w:rPr>
          <w:color w:val="000000" w:themeColor="text1"/>
          <w:highlight w:val="none"/>
        </w:rPr>
        <w:t>》</w:t>
      </w:r>
      <w:r>
        <w:rPr>
          <w:color w:val="000000" w:themeColor="text1"/>
          <w:highlight w:val="none"/>
          <w:lang w:val="zh-CN"/>
        </w:rPr>
        <w:t>《土地利用现状图》和《</w:t>
      </w:r>
      <w:r>
        <w:rPr>
          <w:rFonts w:hint="eastAsia"/>
          <w:color w:val="000000" w:themeColor="text1"/>
          <w:highlight w:val="none"/>
        </w:rPr>
        <w:t>耕地质量</w:t>
      </w:r>
      <w:r>
        <w:rPr>
          <w:color w:val="000000" w:themeColor="text1"/>
          <w:highlight w:val="none"/>
        </w:rPr>
        <w:t>等别图</w:t>
      </w:r>
      <w:r>
        <w:rPr>
          <w:color w:val="000000" w:themeColor="text1"/>
          <w:highlight w:val="none"/>
          <w:lang w:val="zh-CN"/>
        </w:rPr>
        <w:t>》等资料，并进行了分析、整理，了解矿山地质环境条件，分析已有资料情况，确定补充资料内容和现场调查方法、调查路线及调查内容。</w:t>
      </w:r>
    </w:p>
    <w:p>
      <w:pPr>
        <w:rPr>
          <w:color w:val="000000" w:themeColor="text1"/>
          <w:highlight w:val="none"/>
          <w:lang w:val="zh-CN"/>
        </w:rPr>
      </w:pPr>
      <w:r>
        <w:rPr>
          <w:color w:val="000000" w:themeColor="text1"/>
          <w:highlight w:val="none"/>
          <w:lang w:val="zh-CN"/>
        </w:rPr>
        <w:t>现场调查采用路线穿插，地质环境点重点追索的调查方法进行。做到了逢人必问、遇沟必看，访问调查与实际调查相结合。现场采用1：5000地形图作为现场调查手图，调查点采用GPS和地形地物校核定位，对可能因采矿活动而受影响的范围进行重点调查，并对灾点和重要地质现象进行详细记录和拍照，保证了调查的质量。</w:t>
      </w:r>
    </w:p>
    <w:p>
      <w:pPr>
        <w:rPr>
          <w:color w:val="000000" w:themeColor="text1"/>
          <w:highlight w:val="none"/>
          <w:lang w:val="zh-CN"/>
        </w:rPr>
      </w:pPr>
      <w:bookmarkStart w:id="118" w:name="_Toc481328180"/>
      <w:r>
        <w:rPr>
          <w:color w:val="000000" w:themeColor="text1"/>
          <w:highlight w:val="none"/>
          <w:lang w:val="zh-CN"/>
        </w:rPr>
        <w:t>按照《矿山地质环境保护与恢复治理方案编制规范》（DZ/T223－2011）的规定：矿山地质环境调查范围为采矿登记范围和采矿活动可能影响到的范围，因此，</w:t>
      </w:r>
      <w:r>
        <w:rPr>
          <w:color w:val="000000" w:themeColor="text1"/>
          <w:highlight w:val="none"/>
        </w:rPr>
        <w:t>调查范围以矿区范围为基础，考虑到矿体采动后对地表的影响，调查范围在影响范围基础上再外扩50m，若遇泥石流沟，则扩大调查范围至500~2000m，总面积约</w:t>
      </w:r>
      <w:r>
        <w:rPr>
          <w:rFonts w:hint="eastAsia"/>
          <w:color w:val="000000" w:themeColor="text1"/>
          <w:highlight w:val="none"/>
          <w:lang w:eastAsia="zh-CN"/>
        </w:rPr>
        <w:t>0.2661</w:t>
      </w:r>
      <w:r>
        <w:rPr>
          <w:color w:val="000000" w:themeColor="text1"/>
          <w:highlight w:val="none"/>
        </w:rPr>
        <w:t>km</w:t>
      </w:r>
      <w:r>
        <w:rPr>
          <w:color w:val="000000" w:themeColor="text1"/>
          <w:highlight w:val="none"/>
          <w:vertAlign w:val="superscript"/>
        </w:rPr>
        <w:t>2</w:t>
      </w:r>
      <w:r>
        <w:rPr>
          <w:color w:val="000000" w:themeColor="text1"/>
          <w:highlight w:val="none"/>
        </w:rPr>
        <w:t>。</w:t>
      </w:r>
    </w:p>
    <w:p>
      <w:pPr>
        <w:rPr>
          <w:color w:val="000000" w:themeColor="text1"/>
          <w:highlight w:val="none"/>
          <w:lang w:val="zh-CN"/>
        </w:rPr>
      </w:pPr>
      <w:r>
        <w:rPr>
          <w:color w:val="000000" w:themeColor="text1"/>
          <w:highlight w:val="none"/>
          <w:lang w:val="zh-CN"/>
        </w:rPr>
        <w:t>现场调查内容主要对现场调查内的地形地貌景观、地表重要建筑设施、区内交通、矿山建设情况、村庄、居民饮用水、河流、能引发的地质灾害等进行了调查，基本查明了</w:t>
      </w:r>
      <w:r>
        <w:rPr>
          <w:rFonts w:hint="eastAsia"/>
          <w:color w:val="000000" w:themeColor="text1"/>
          <w:highlight w:val="none"/>
          <w:lang w:eastAsia="zh-CN"/>
        </w:rPr>
        <w:t>旺苍县华隆建材有限公司三江镇战旗石灰石矿</w:t>
      </w:r>
      <w:r>
        <w:rPr>
          <w:color w:val="000000" w:themeColor="text1"/>
          <w:highlight w:val="none"/>
          <w:lang w:val="zh-CN"/>
        </w:rPr>
        <w:t>开采影响范围内的矿山地质环境现状问题。</w:t>
      </w:r>
    </w:p>
    <w:p>
      <w:pPr>
        <w:rPr>
          <w:color w:val="000000" w:themeColor="text1"/>
          <w:highlight w:val="none"/>
          <w:lang w:val="zh-CN"/>
        </w:rPr>
      </w:pPr>
      <w:r>
        <w:rPr>
          <w:color w:val="000000" w:themeColor="text1"/>
          <w:highlight w:val="none"/>
          <w:lang w:val="zh-CN"/>
        </w:rPr>
        <w:t>现场调查工作完成了</w:t>
      </w:r>
      <w:r>
        <w:rPr>
          <w:color w:val="000000" w:themeColor="text1"/>
          <w:highlight w:val="none"/>
        </w:rPr>
        <w:t>调查线路</w:t>
      </w:r>
      <w:r>
        <w:rPr>
          <w:rFonts w:hint="eastAsia"/>
          <w:color w:val="000000" w:themeColor="text1"/>
          <w:highlight w:val="none"/>
          <w:lang w:val="en-US" w:eastAsia="zh-CN"/>
        </w:rPr>
        <w:t>3</w:t>
      </w:r>
      <w:r>
        <w:rPr>
          <w:color w:val="000000" w:themeColor="text1"/>
          <w:highlight w:val="none"/>
        </w:rPr>
        <w:t>条、调查点</w:t>
      </w:r>
      <w:r>
        <w:rPr>
          <w:rFonts w:hint="eastAsia"/>
          <w:color w:val="000000" w:themeColor="text1"/>
          <w:highlight w:val="none"/>
        </w:rPr>
        <w:t>10</w:t>
      </w:r>
      <w:r>
        <w:rPr>
          <w:color w:val="000000" w:themeColor="text1"/>
          <w:highlight w:val="none"/>
        </w:rPr>
        <w:t>个，其中包括</w:t>
      </w:r>
      <w:r>
        <w:rPr>
          <w:rFonts w:hint="eastAsia"/>
          <w:color w:val="000000" w:themeColor="text1"/>
          <w:highlight w:val="none"/>
          <w:lang w:val="en-US" w:eastAsia="zh-CN"/>
        </w:rPr>
        <w:t>1</w:t>
      </w:r>
      <w:r>
        <w:rPr>
          <w:color w:val="000000" w:themeColor="text1"/>
          <w:highlight w:val="none"/>
        </w:rPr>
        <w:t>个村庄、6个地质地貌点，拍摄相关照片</w:t>
      </w:r>
      <w:r>
        <w:rPr>
          <w:rFonts w:hint="eastAsia"/>
          <w:color w:val="000000" w:themeColor="text1"/>
          <w:highlight w:val="none"/>
        </w:rPr>
        <w:t>60余</w:t>
      </w:r>
      <w:r>
        <w:rPr>
          <w:color w:val="000000" w:themeColor="text1"/>
          <w:highlight w:val="none"/>
        </w:rPr>
        <w:t>张。</w:t>
      </w:r>
    </w:p>
    <w:p>
      <w:pPr>
        <w:pStyle w:val="5"/>
        <w:spacing w:before="82" w:after="82"/>
        <w:rPr>
          <w:color w:val="000000" w:themeColor="text1"/>
          <w:highlight w:val="none"/>
        </w:rPr>
      </w:pPr>
      <w:bookmarkStart w:id="119" w:name="_Toc23245"/>
      <w:bookmarkStart w:id="120" w:name="_Toc19428"/>
      <w:r>
        <w:rPr>
          <w:color w:val="000000" w:themeColor="text1"/>
          <w:highlight w:val="none"/>
        </w:rPr>
        <w:t>3.1.2土地资源调查概述</w:t>
      </w:r>
      <w:bookmarkEnd w:id="118"/>
      <w:bookmarkEnd w:id="119"/>
      <w:bookmarkEnd w:id="120"/>
    </w:p>
    <w:p>
      <w:pPr>
        <w:rPr>
          <w:color w:val="000000" w:themeColor="text1"/>
          <w:highlight w:val="none"/>
        </w:rPr>
      </w:pPr>
      <w:r>
        <w:rPr>
          <w:color w:val="000000" w:themeColor="text1"/>
          <w:highlight w:val="none"/>
        </w:rPr>
        <w:t>1、目的和任务</w:t>
      </w:r>
    </w:p>
    <w:p>
      <w:pPr>
        <w:rPr>
          <w:color w:val="000000" w:themeColor="text1"/>
          <w:highlight w:val="none"/>
        </w:rPr>
      </w:pPr>
      <w:r>
        <w:rPr>
          <w:color w:val="000000" w:themeColor="text1"/>
          <w:highlight w:val="none"/>
        </w:rPr>
        <w:t>此次土地资源调查的目的是全面摸清项目区土地资源和利用状况，掌握真实准确的基础数据，为科学合理地制定土地复垦方案、有效保护项目区土地资源提供依据。调查的任务主要有查清项目区内各土地利用类型及分布、项目区土地涉及权属主体、收集土地利用现状图和规划图，真实准确地掌握项目区内的土地资源利用状况。</w:t>
      </w:r>
    </w:p>
    <w:p>
      <w:pPr>
        <w:rPr>
          <w:color w:val="000000" w:themeColor="text1"/>
          <w:highlight w:val="none"/>
        </w:rPr>
      </w:pPr>
      <w:r>
        <w:rPr>
          <w:color w:val="000000" w:themeColor="text1"/>
          <w:highlight w:val="none"/>
        </w:rPr>
        <w:t>2、项目区原土地利用类型及空间分布</w:t>
      </w:r>
    </w:p>
    <w:p>
      <w:pPr>
        <w:rPr>
          <w:color w:val="000000" w:themeColor="text1"/>
          <w:highlight w:val="none"/>
        </w:rPr>
      </w:pPr>
      <w:r>
        <w:rPr>
          <w:color w:val="000000" w:themeColor="text1"/>
          <w:highlight w:val="none"/>
        </w:rPr>
        <w:t>项目区内土地利用</w:t>
      </w:r>
      <w:r>
        <w:rPr>
          <w:rFonts w:ascii="宋体" w:hAnsi="宋体"/>
          <w:color w:val="000000" w:themeColor="text1"/>
          <w:highlight w:val="none"/>
        </w:rPr>
        <w:t>总面积</w:t>
      </w:r>
      <w:r>
        <w:rPr>
          <w:rFonts w:hint="eastAsia"/>
          <w:color w:val="000000" w:themeColor="text1"/>
          <w:highlight w:val="none"/>
          <w:lang w:val="en-US" w:eastAsia="zh-CN"/>
        </w:rPr>
        <w:t>16.2841</w:t>
      </w:r>
      <w:r>
        <w:rPr>
          <w:color w:val="000000" w:themeColor="text1"/>
          <w:highlight w:val="none"/>
        </w:rPr>
        <w:t>hm</w:t>
      </w:r>
      <w:r>
        <w:rPr>
          <w:color w:val="000000" w:themeColor="text1"/>
          <w:highlight w:val="none"/>
          <w:vertAlign w:val="superscript"/>
        </w:rPr>
        <w:t>2</w:t>
      </w:r>
      <w:r>
        <w:rPr>
          <w:rFonts w:ascii="宋体" w:hAnsi="宋体"/>
          <w:color w:val="000000" w:themeColor="text1"/>
          <w:highlight w:val="none"/>
        </w:rPr>
        <w:t>，</w:t>
      </w:r>
      <w:r>
        <w:rPr>
          <w:rFonts w:hint="eastAsia"/>
          <w:color w:val="000000" w:themeColor="text1"/>
          <w:highlight w:val="none"/>
          <w:lang w:val="en-US" w:eastAsia="zh-CN"/>
        </w:rPr>
        <w:t>地类包括旱地0.0703</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、乔木林地11.9055</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、灌木林地0.1144</w:t>
      </w:r>
      <w:r>
        <w:rPr>
          <w:color w:val="000000" w:themeColor="text1"/>
          <w:highlight w:val="none"/>
        </w:rPr>
        <w:t>hm</w:t>
      </w:r>
      <w:r>
        <w:rPr>
          <w:color w:val="000000" w:themeColor="text1"/>
          <w:highlight w:val="none"/>
          <w:vertAlign w:val="superscript"/>
        </w:rPr>
        <w:t>2</w:t>
      </w:r>
      <w:r>
        <w:rPr>
          <w:rFonts w:hint="eastAsia"/>
          <w:color w:val="000000" w:themeColor="text1"/>
          <w:highlight w:val="none"/>
          <w:lang w:val="en-US" w:eastAsia="zh-CN"/>
        </w:rPr>
        <w:t>、采矿用地4.1939</w:t>
      </w:r>
      <w:r>
        <w:rPr>
          <w:color w:val="000000" w:themeColor="text1"/>
          <w:highlight w:val="none"/>
        </w:rPr>
        <w:t>hm</w:t>
      </w:r>
      <w:r>
        <w:rPr>
          <w:color w:val="000000" w:themeColor="text1"/>
          <w:highlight w:val="none"/>
          <w:vertAlign w:val="superscript"/>
        </w:rPr>
        <w:t>2</w:t>
      </w:r>
      <w:r>
        <w:rPr>
          <w:color w:val="000000" w:themeColor="text1"/>
          <w:highlight w:val="none"/>
        </w:rPr>
        <w:t>。</w:t>
      </w:r>
    </w:p>
    <w:p>
      <w:pPr>
        <w:rPr>
          <w:color w:val="000000" w:themeColor="text1"/>
          <w:highlight w:val="none"/>
        </w:rPr>
      </w:pPr>
      <w:r>
        <w:rPr>
          <w:color w:val="000000" w:themeColor="text1"/>
          <w:highlight w:val="none"/>
        </w:rPr>
        <w:t>3、已损毁土地现状</w:t>
      </w:r>
    </w:p>
    <w:p>
      <w:pPr>
        <w:rPr>
          <w:color w:val="000000" w:themeColor="text1"/>
          <w:highlight w:val="none"/>
        </w:rPr>
      </w:pPr>
      <w:r>
        <w:rPr>
          <w:color w:val="000000" w:themeColor="text1"/>
          <w:highlight w:val="none"/>
        </w:rPr>
        <w:t>已损毁土地主要为</w:t>
      </w:r>
      <w:r>
        <w:rPr>
          <w:rFonts w:hint="eastAsia"/>
          <w:color w:val="000000" w:themeColor="text1"/>
          <w:highlight w:val="none"/>
        </w:rPr>
        <w:t>露天采场对土地的挖损，</w:t>
      </w:r>
      <w:r>
        <w:rPr>
          <w:rFonts w:hint="eastAsia"/>
          <w:color w:val="000000" w:themeColor="text1"/>
          <w:highlight w:val="none"/>
          <w:lang w:eastAsia="zh-CN"/>
        </w:rPr>
        <w:t>矿山公路对土地的压占</w:t>
      </w:r>
      <w:r>
        <w:rPr>
          <w:color w:val="000000" w:themeColor="text1"/>
          <w:highlight w:val="none"/>
        </w:rPr>
        <w:t>。</w:t>
      </w:r>
    </w:p>
    <w:p>
      <w:pPr>
        <w:rPr>
          <w:color w:val="000000" w:themeColor="text1"/>
          <w:highlight w:val="none"/>
        </w:rPr>
      </w:pPr>
      <w:r>
        <w:rPr>
          <w:color w:val="000000" w:themeColor="text1"/>
          <w:highlight w:val="none"/>
        </w:rPr>
        <w:t>4、其他</w:t>
      </w:r>
    </w:p>
    <w:p>
      <w:pPr>
        <w:rPr>
          <w:color w:val="000000" w:themeColor="text1"/>
          <w:highlight w:val="none"/>
        </w:rPr>
      </w:pPr>
      <w:r>
        <w:rPr>
          <w:color w:val="000000" w:themeColor="text1"/>
          <w:highlight w:val="none"/>
        </w:rPr>
        <w:t>此次调查内容还包括了对土地相关权益人对土地利用方向、复垦标准、适宜物种和复垦措施等，调查过程中，拍摄各地类照片（包括地表各建筑物、矿山道路、</w:t>
      </w:r>
      <w:r>
        <w:rPr>
          <w:rFonts w:hint="eastAsia"/>
          <w:color w:val="000000" w:themeColor="text1"/>
          <w:highlight w:val="none"/>
        </w:rPr>
        <w:t>露天采场</w:t>
      </w:r>
      <w:r>
        <w:rPr>
          <w:color w:val="000000" w:themeColor="text1"/>
          <w:highlight w:val="none"/>
        </w:rPr>
        <w:t>等四周）等。</w:t>
      </w:r>
    </w:p>
    <w:p>
      <w:pPr>
        <w:pStyle w:val="4"/>
        <w:spacing w:before="82" w:after="82"/>
        <w:rPr>
          <w:color w:val="000000" w:themeColor="text1"/>
          <w:highlight w:val="none"/>
        </w:rPr>
      </w:pPr>
      <w:bookmarkStart w:id="121" w:name="_Toc26499"/>
      <w:bookmarkStart w:id="122" w:name="_Toc28029"/>
      <w:r>
        <w:rPr>
          <w:color w:val="000000" w:themeColor="text1"/>
          <w:highlight w:val="none"/>
        </w:rPr>
        <w:t>3.2地质环境影响评估</w:t>
      </w:r>
      <w:bookmarkEnd w:id="121"/>
      <w:bookmarkEnd w:id="122"/>
    </w:p>
    <w:p>
      <w:pPr>
        <w:pStyle w:val="5"/>
        <w:spacing w:before="82" w:after="82"/>
        <w:rPr>
          <w:color w:val="000000" w:themeColor="text1"/>
          <w:highlight w:val="none"/>
        </w:rPr>
      </w:pPr>
      <w:bookmarkStart w:id="123" w:name="_Toc9085"/>
      <w:bookmarkStart w:id="124" w:name="_Toc28724"/>
      <w:r>
        <w:rPr>
          <w:color w:val="000000" w:themeColor="text1"/>
          <w:highlight w:val="none"/>
        </w:rPr>
        <w:t>3.2.1评估范围和评估级别</w:t>
      </w:r>
      <w:bookmarkEnd w:id="123"/>
      <w:bookmarkEnd w:id="124"/>
    </w:p>
    <w:p>
      <w:pPr>
        <w:rPr>
          <w:color w:val="000000" w:themeColor="text1"/>
          <w:highlight w:val="none"/>
        </w:rPr>
      </w:pPr>
      <w:r>
        <w:rPr>
          <w:color w:val="000000" w:themeColor="text1"/>
          <w:highlight w:val="none"/>
        </w:rPr>
        <w:t>1、评估区范围</w:t>
      </w:r>
    </w:p>
    <w:p>
      <w:pPr>
        <w:rPr>
          <w:color w:val="000000" w:themeColor="text1"/>
          <w:highlight w:val="none"/>
        </w:rPr>
      </w:pPr>
      <w:r>
        <w:rPr>
          <w:color w:val="000000" w:themeColor="text1"/>
          <w:highlight w:val="none"/>
        </w:rPr>
        <w:t>根据</w:t>
      </w:r>
      <w:r>
        <w:rPr>
          <w:color w:val="000000" w:themeColor="text1"/>
          <w:kern w:val="0"/>
          <w:highlight w:val="none"/>
        </w:rPr>
        <w:t>《矿山地质环境保护与治理恢复方案编制规范》（DZ/T223-2011</w:t>
      </w:r>
      <w:r>
        <w:rPr>
          <w:rFonts w:hint="eastAsia"/>
          <w:color w:val="000000" w:themeColor="text1"/>
          <w:kern w:val="0"/>
          <w:highlight w:val="none"/>
        </w:rPr>
        <w:t>）</w:t>
      </w:r>
      <w:r>
        <w:rPr>
          <w:color w:val="000000" w:themeColor="text1"/>
          <w:highlight w:val="none"/>
        </w:rPr>
        <w:t>规定，矿山地质环境影响评估区范围不能局限于矿山用地面积之内，应将矿业活动影响范围作为评估区范围。</w:t>
      </w:r>
    </w:p>
    <w:p>
      <w:pPr>
        <w:rPr>
          <w:color w:val="000000" w:themeColor="text1"/>
          <w:highlight w:val="none"/>
        </w:rPr>
      </w:pPr>
      <w:r>
        <w:rPr>
          <w:color w:val="000000" w:themeColor="text1"/>
          <w:highlight w:val="none"/>
        </w:rPr>
        <w:t>根据矿权范围，同时考虑矿山开采后对外围的影响，以及危害来源的矿山自身的影响，评估范围将超出矿山范围，至第一分水岭，确定评估范围总面积约</w:t>
      </w:r>
      <w:r>
        <w:rPr>
          <w:rFonts w:hint="eastAsia"/>
          <w:color w:val="000000" w:themeColor="text1"/>
          <w:highlight w:val="none"/>
          <w:lang w:eastAsia="zh-CN"/>
        </w:rPr>
        <w:t>0.2661</w:t>
      </w:r>
      <w:r>
        <w:rPr>
          <w:color w:val="000000" w:themeColor="text1"/>
          <w:highlight w:val="none"/>
        </w:rPr>
        <w:t>km</w:t>
      </w:r>
      <w:r>
        <w:rPr>
          <w:color w:val="000000" w:themeColor="text1"/>
          <w:highlight w:val="none"/>
          <w:vertAlign w:val="superscript"/>
        </w:rPr>
        <w:t>2</w:t>
      </w:r>
      <w:r>
        <w:rPr>
          <w:color w:val="000000" w:themeColor="text1"/>
          <w:highlight w:val="none"/>
        </w:rPr>
        <w:t>。</w:t>
      </w:r>
    </w:p>
    <w:p>
      <w:pPr>
        <w:rPr>
          <w:color w:val="000000" w:themeColor="text1"/>
          <w:highlight w:val="none"/>
        </w:rPr>
      </w:pPr>
      <w:r>
        <w:rPr>
          <w:color w:val="000000" w:themeColor="text1"/>
          <w:highlight w:val="none"/>
        </w:rPr>
        <w:t>2、评估级别</w:t>
      </w:r>
    </w:p>
    <w:p>
      <w:pPr>
        <w:rPr>
          <w:color w:val="000000" w:themeColor="text1"/>
          <w:highlight w:val="none"/>
        </w:rPr>
      </w:pPr>
      <w:r>
        <w:rPr>
          <w:color w:val="000000" w:themeColor="text1"/>
          <w:highlight w:val="none"/>
        </w:rPr>
        <w:t>根据《矿山地质环境保护与恢复治理方案编制规范》（DZ/T0223-2011），矿山环境影响评估精度应根据评估重要程度、矿山生产建设规模、矿山地质环境条件复杂程度等综合确定。</w:t>
      </w:r>
    </w:p>
    <w:p>
      <w:pPr>
        <w:rPr>
          <w:color w:val="000000" w:themeColor="text1"/>
          <w:highlight w:val="none"/>
        </w:rPr>
      </w:pPr>
      <w:r>
        <w:rPr>
          <w:color w:val="000000" w:themeColor="text1"/>
          <w:highlight w:val="none"/>
        </w:rPr>
        <w:t>（1）评估区重要程度</w:t>
      </w:r>
    </w:p>
    <w:p>
      <w:pPr>
        <w:rPr>
          <w:color w:val="000000" w:themeColor="text1"/>
          <w:highlight w:val="none"/>
        </w:rPr>
      </w:pPr>
      <w:r>
        <w:rPr>
          <w:color w:val="000000" w:themeColor="text1"/>
          <w:highlight w:val="none"/>
        </w:rPr>
        <w:t>评估区范围内居民居住分散，居民集中居住区人口在200人以下，无高速公路、一级公路、铁路、中型以上水利、电力工程或其他重要建筑设施，无国家级自然保护区和重要旅游景区，</w:t>
      </w:r>
      <w:r>
        <w:rPr>
          <w:rFonts w:hint="eastAsia"/>
          <w:color w:val="000000" w:themeColor="text1"/>
          <w:highlight w:val="none"/>
        </w:rPr>
        <w:t>且矿山开采</w:t>
      </w:r>
      <w:r>
        <w:rPr>
          <w:color w:val="000000" w:themeColor="text1"/>
          <w:highlight w:val="none"/>
        </w:rPr>
        <w:t>破坏耕地。根据《矿山地质环境保护与治理恢复方案编制规范（修订版）》（DZ/T223-2011），评估区为</w:t>
      </w:r>
      <w:r>
        <w:rPr>
          <w:rFonts w:hint="eastAsia"/>
          <w:color w:val="000000" w:themeColor="text1"/>
          <w:highlight w:val="none"/>
          <w:lang w:eastAsia="zh-CN"/>
        </w:rPr>
        <w:t>较</w:t>
      </w:r>
      <w:r>
        <w:rPr>
          <w:color w:val="000000" w:themeColor="text1"/>
          <w:highlight w:val="none"/>
        </w:rPr>
        <w:t>重要区（见表3-1）。</w:t>
      </w:r>
    </w:p>
    <w:p>
      <w:pPr>
        <w:pStyle w:val="67"/>
        <w:rPr>
          <w:color w:val="000000" w:themeColor="text1"/>
          <w:highlight w:val="none"/>
        </w:rPr>
      </w:pPr>
      <w:r>
        <w:rPr>
          <w:color w:val="000000" w:themeColor="text1"/>
          <w:highlight w:val="none"/>
        </w:rPr>
        <w:t>表3-1评估区重要程度分级表</w:t>
      </w:r>
    </w:p>
    <w:tbl>
      <w:tblPr>
        <w:tblStyle w:val="31"/>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
        <w:gridCol w:w="3675"/>
        <w:gridCol w:w="11"/>
        <w:gridCol w:w="2966"/>
        <w:gridCol w:w="9"/>
        <w:gridCol w:w="2205"/>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tblHeader/>
          <w:jc w:val="center"/>
        </w:trPr>
        <w:tc>
          <w:tcPr>
            <w:tcW w:w="2074" w:type="pct"/>
            <w:gridSpan w:val="2"/>
            <w:vAlign w:val="center"/>
          </w:tcPr>
          <w:p>
            <w:pPr>
              <w:pStyle w:val="63"/>
              <w:rPr>
                <w:color w:val="000000" w:themeColor="text1"/>
                <w:highlight w:val="none"/>
              </w:rPr>
            </w:pPr>
            <w:r>
              <w:rPr>
                <w:color w:val="000000" w:themeColor="text1"/>
                <w:highlight w:val="none"/>
              </w:rPr>
              <w:t>重要区</w:t>
            </w:r>
          </w:p>
        </w:tc>
        <w:tc>
          <w:tcPr>
            <w:tcW w:w="1674" w:type="pct"/>
            <w:gridSpan w:val="2"/>
            <w:vAlign w:val="center"/>
          </w:tcPr>
          <w:p>
            <w:pPr>
              <w:pStyle w:val="63"/>
              <w:rPr>
                <w:color w:val="000000" w:themeColor="text1"/>
                <w:highlight w:val="none"/>
              </w:rPr>
            </w:pPr>
            <w:r>
              <w:rPr>
                <w:color w:val="000000" w:themeColor="text1"/>
                <w:highlight w:val="none"/>
              </w:rPr>
              <w:t>较重要区</w:t>
            </w:r>
          </w:p>
        </w:tc>
        <w:tc>
          <w:tcPr>
            <w:tcW w:w="1245" w:type="pct"/>
            <w:gridSpan w:val="2"/>
            <w:vAlign w:val="center"/>
          </w:tcPr>
          <w:p>
            <w:pPr>
              <w:pStyle w:val="63"/>
              <w:rPr>
                <w:color w:val="000000" w:themeColor="text1"/>
                <w:highlight w:val="none"/>
              </w:rPr>
            </w:pPr>
            <w:r>
              <w:rPr>
                <w:color w:val="000000" w:themeColor="text1"/>
                <w:highlight w:val="none"/>
              </w:rPr>
              <w:t>一般区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 w:type="pct"/>
          <w:trHeight w:val="397" w:hRule="atLeast"/>
          <w:jc w:val="center"/>
        </w:trPr>
        <w:tc>
          <w:tcPr>
            <w:tcW w:w="2074" w:type="pct"/>
            <w:gridSpan w:val="2"/>
            <w:vAlign w:val="center"/>
          </w:tcPr>
          <w:p>
            <w:pPr>
              <w:pStyle w:val="63"/>
              <w:rPr>
                <w:color w:val="000000" w:themeColor="text1"/>
                <w:highlight w:val="none"/>
              </w:rPr>
            </w:pPr>
            <w:r>
              <w:rPr>
                <w:color w:val="000000" w:themeColor="text1"/>
                <w:highlight w:val="none"/>
              </w:rPr>
              <w:t>分布有500人以上的居民集中居住区</w:t>
            </w:r>
          </w:p>
        </w:tc>
        <w:tc>
          <w:tcPr>
            <w:tcW w:w="1674" w:type="pct"/>
            <w:gridSpan w:val="2"/>
            <w:vAlign w:val="center"/>
          </w:tcPr>
          <w:p>
            <w:pPr>
              <w:pStyle w:val="63"/>
              <w:rPr>
                <w:color w:val="000000" w:themeColor="text1"/>
                <w:highlight w:val="none"/>
              </w:rPr>
            </w:pPr>
            <w:r>
              <w:rPr>
                <w:color w:val="000000" w:themeColor="text1"/>
                <w:highlight w:val="none"/>
              </w:rPr>
              <w:t>分布有200～500人的居民集中居住区</w:t>
            </w:r>
          </w:p>
        </w:tc>
        <w:tc>
          <w:tcPr>
            <w:tcW w:w="1245" w:type="pct"/>
            <w:gridSpan w:val="2"/>
            <w:vAlign w:val="center"/>
          </w:tcPr>
          <w:p>
            <w:pPr>
              <w:pStyle w:val="63"/>
              <w:rPr>
                <w:color w:val="000000" w:themeColor="text1"/>
                <w:highlight w:val="none"/>
              </w:rPr>
            </w:pPr>
            <w:r>
              <w:rPr>
                <w:b/>
                <w:bCs/>
                <w:i w:val="0"/>
                <w:iCs w:val="0"/>
                <w:color w:val="000000" w:themeColor="text1"/>
                <w:highlight w:val="none"/>
              </w:rPr>
              <w:t>居民居住分散，居民集中居住区人口在200人以下(√)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7" w:type="pct"/>
          <w:trHeight w:val="397" w:hRule="atLeast"/>
          <w:jc w:val="center"/>
        </w:trPr>
        <w:tc>
          <w:tcPr>
            <w:tcW w:w="2074" w:type="pct"/>
            <w:gridSpan w:val="2"/>
            <w:vAlign w:val="center"/>
          </w:tcPr>
          <w:p>
            <w:pPr>
              <w:pStyle w:val="63"/>
              <w:rPr>
                <w:color w:val="000000" w:themeColor="text1"/>
                <w:highlight w:val="none"/>
              </w:rPr>
            </w:pPr>
            <w:r>
              <w:rPr>
                <w:color w:val="000000" w:themeColor="text1"/>
                <w:highlight w:val="none"/>
              </w:rPr>
              <w:t>分布有高速公路、一级公路、铁路、中型以上水利、电力工程或其他重要建筑设施</w:t>
            </w:r>
          </w:p>
        </w:tc>
        <w:tc>
          <w:tcPr>
            <w:tcW w:w="1674" w:type="pct"/>
            <w:gridSpan w:val="2"/>
            <w:vAlign w:val="center"/>
          </w:tcPr>
          <w:p>
            <w:pPr>
              <w:pStyle w:val="63"/>
              <w:rPr>
                <w:color w:val="000000" w:themeColor="text1"/>
                <w:highlight w:val="none"/>
              </w:rPr>
            </w:pPr>
            <w:r>
              <w:rPr>
                <w:color w:val="000000" w:themeColor="text1"/>
                <w:highlight w:val="none"/>
              </w:rPr>
              <w:t>分布有二级公路、小型水利、电力工程或其他较重要建筑设施</w:t>
            </w:r>
          </w:p>
        </w:tc>
        <w:tc>
          <w:tcPr>
            <w:tcW w:w="1245" w:type="pct"/>
            <w:gridSpan w:val="2"/>
            <w:vAlign w:val="center"/>
          </w:tcPr>
          <w:p>
            <w:pPr>
              <w:pStyle w:val="63"/>
              <w:rPr>
                <w:color w:val="000000" w:themeColor="text1"/>
                <w:highlight w:val="none"/>
              </w:rPr>
            </w:pPr>
            <w:r>
              <w:rPr>
                <w:b/>
                <w:bCs/>
                <w:color w:val="000000" w:themeColor="text1"/>
                <w:highlight w:val="none"/>
              </w:rPr>
              <w:t>无重要交通要道或建筑设施(√)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2075" w:type="pct"/>
            <w:gridSpan w:val="2"/>
            <w:vAlign w:val="center"/>
          </w:tcPr>
          <w:p>
            <w:pPr>
              <w:pStyle w:val="63"/>
              <w:rPr>
                <w:color w:val="000000" w:themeColor="text1"/>
                <w:highlight w:val="none"/>
              </w:rPr>
            </w:pPr>
            <w:r>
              <w:rPr>
                <w:color w:val="000000" w:themeColor="text1"/>
                <w:highlight w:val="none"/>
              </w:rPr>
              <w:t>矿区紧邻国家级自然保护区(含地质公园、风景名胜区等)或重要旅游景区(点)</w:t>
            </w:r>
          </w:p>
        </w:tc>
        <w:tc>
          <w:tcPr>
            <w:tcW w:w="1675" w:type="pct"/>
            <w:gridSpan w:val="2"/>
            <w:vAlign w:val="center"/>
          </w:tcPr>
          <w:p>
            <w:pPr>
              <w:pStyle w:val="63"/>
              <w:rPr>
                <w:color w:val="000000" w:themeColor="text1"/>
                <w:highlight w:val="none"/>
              </w:rPr>
            </w:pPr>
            <w:r>
              <w:rPr>
                <w:color w:val="000000" w:themeColor="text1"/>
                <w:highlight w:val="none"/>
              </w:rPr>
              <w:t>紧邻省级、县级自然保护区或较重要旅游景区(点)</w:t>
            </w:r>
          </w:p>
        </w:tc>
        <w:tc>
          <w:tcPr>
            <w:tcW w:w="1246" w:type="pct"/>
            <w:gridSpan w:val="2"/>
            <w:vAlign w:val="center"/>
          </w:tcPr>
          <w:p>
            <w:pPr>
              <w:pStyle w:val="63"/>
              <w:rPr>
                <w:color w:val="000000" w:themeColor="text1"/>
                <w:highlight w:val="none"/>
              </w:rPr>
            </w:pPr>
            <w:r>
              <w:rPr>
                <w:b/>
                <w:bCs/>
                <w:color w:val="000000" w:themeColor="text1"/>
                <w:highlight w:val="none"/>
              </w:rPr>
              <w:t>远离各级自然保护区及旅游景区(点)(√)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2075" w:type="pct"/>
            <w:gridSpan w:val="2"/>
            <w:vAlign w:val="center"/>
          </w:tcPr>
          <w:p>
            <w:pPr>
              <w:pStyle w:val="63"/>
              <w:rPr>
                <w:color w:val="000000" w:themeColor="text1"/>
                <w:highlight w:val="none"/>
              </w:rPr>
            </w:pPr>
            <w:r>
              <w:rPr>
                <w:color w:val="000000" w:themeColor="text1"/>
                <w:highlight w:val="none"/>
              </w:rPr>
              <w:t>有重要水源地</w:t>
            </w:r>
          </w:p>
        </w:tc>
        <w:tc>
          <w:tcPr>
            <w:tcW w:w="1675" w:type="pct"/>
            <w:gridSpan w:val="2"/>
            <w:vAlign w:val="center"/>
          </w:tcPr>
          <w:p>
            <w:pPr>
              <w:pStyle w:val="63"/>
              <w:rPr>
                <w:color w:val="000000" w:themeColor="text1"/>
                <w:highlight w:val="none"/>
              </w:rPr>
            </w:pPr>
            <w:r>
              <w:rPr>
                <w:color w:val="000000" w:themeColor="text1"/>
                <w:highlight w:val="none"/>
              </w:rPr>
              <w:t>有较重要水源地</w:t>
            </w:r>
          </w:p>
        </w:tc>
        <w:tc>
          <w:tcPr>
            <w:tcW w:w="1246" w:type="pct"/>
            <w:gridSpan w:val="2"/>
            <w:vAlign w:val="center"/>
          </w:tcPr>
          <w:p>
            <w:pPr>
              <w:pStyle w:val="63"/>
              <w:rPr>
                <w:color w:val="000000" w:themeColor="text1"/>
                <w:highlight w:val="none"/>
              </w:rPr>
            </w:pPr>
            <w:r>
              <w:rPr>
                <w:b/>
                <w:bCs/>
                <w:color w:val="000000" w:themeColor="text1"/>
                <w:highlight w:val="none"/>
              </w:rPr>
              <w:t>无较重要水源地(√)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jc w:val="center"/>
        </w:trPr>
        <w:tc>
          <w:tcPr>
            <w:tcW w:w="2075" w:type="pct"/>
            <w:gridSpan w:val="2"/>
            <w:vAlign w:val="center"/>
          </w:tcPr>
          <w:p>
            <w:pPr>
              <w:pStyle w:val="63"/>
              <w:rPr>
                <w:color w:val="000000" w:themeColor="text1"/>
                <w:highlight w:val="none"/>
              </w:rPr>
            </w:pPr>
            <w:r>
              <w:rPr>
                <w:color w:val="000000" w:themeColor="text1"/>
                <w:highlight w:val="none"/>
              </w:rPr>
              <w:t>破坏耕地、园地</w:t>
            </w:r>
          </w:p>
        </w:tc>
        <w:tc>
          <w:tcPr>
            <w:tcW w:w="1675" w:type="pct"/>
            <w:gridSpan w:val="2"/>
            <w:vAlign w:val="center"/>
          </w:tcPr>
          <w:p>
            <w:pPr>
              <w:pStyle w:val="63"/>
              <w:rPr>
                <w:color w:val="000000" w:themeColor="text1"/>
                <w:highlight w:val="none"/>
              </w:rPr>
            </w:pPr>
            <w:r>
              <w:rPr>
                <w:b/>
                <w:bCs/>
                <w:color w:val="000000" w:themeColor="text1"/>
                <w:highlight w:val="none"/>
              </w:rPr>
              <w:t>破坏林地、草地(√)</w:t>
            </w:r>
          </w:p>
        </w:tc>
        <w:tc>
          <w:tcPr>
            <w:tcW w:w="1246" w:type="pct"/>
            <w:gridSpan w:val="2"/>
            <w:vAlign w:val="center"/>
          </w:tcPr>
          <w:p>
            <w:pPr>
              <w:pStyle w:val="63"/>
              <w:rPr>
                <w:color w:val="000000" w:themeColor="text1"/>
                <w:highlight w:val="none"/>
              </w:rPr>
            </w:pPr>
            <w:r>
              <w:rPr>
                <w:color w:val="000000" w:themeColor="text1"/>
                <w:highlight w:val="none"/>
              </w:rPr>
              <w:t>破坏其它类型土地</w:t>
            </w:r>
          </w:p>
        </w:tc>
      </w:tr>
    </w:tbl>
    <w:p>
      <w:pPr>
        <w:rPr>
          <w:color w:val="000000" w:themeColor="text1"/>
          <w:highlight w:val="none"/>
        </w:rPr>
      </w:pPr>
      <w:r>
        <w:rPr>
          <w:color w:val="000000" w:themeColor="text1"/>
          <w:highlight w:val="none"/>
        </w:rPr>
        <w:t>（2）矿山生产建设规模</w:t>
      </w:r>
    </w:p>
    <w:p>
      <w:pPr>
        <w:rPr>
          <w:color w:val="000000" w:themeColor="text1"/>
          <w:highlight w:val="none"/>
        </w:rPr>
      </w:pPr>
      <w:r>
        <w:rPr>
          <w:color w:val="000000" w:themeColor="text1"/>
          <w:highlight w:val="none"/>
        </w:rPr>
        <w:t>矿山设计生产规模为</w:t>
      </w:r>
      <w:r>
        <w:rPr>
          <w:rFonts w:hint="eastAsia"/>
          <w:color w:val="000000" w:themeColor="text1"/>
          <w:highlight w:val="none"/>
          <w:lang w:eastAsia="zh-CN"/>
        </w:rPr>
        <w:t>30万吨</w:t>
      </w:r>
      <w:r>
        <w:rPr>
          <w:color w:val="000000" w:themeColor="text1"/>
          <w:highlight w:val="none"/>
        </w:rPr>
        <w:t>/年，对照《矿山生产建设规模分类一览表》，</w:t>
      </w:r>
      <w:r>
        <w:rPr>
          <w:rFonts w:hint="eastAsia"/>
          <w:color w:val="000000" w:themeColor="text1"/>
          <w:highlight w:val="none"/>
        </w:rPr>
        <w:t>露天</w:t>
      </w:r>
      <w:r>
        <w:rPr>
          <w:color w:val="000000" w:themeColor="text1"/>
          <w:highlight w:val="none"/>
        </w:rPr>
        <w:t>开采</w:t>
      </w:r>
      <w:r>
        <w:rPr>
          <w:rFonts w:hint="eastAsia"/>
          <w:color w:val="000000" w:themeColor="text1"/>
          <w:highlight w:val="none"/>
        </w:rPr>
        <w:t>石灰岩矿</w:t>
      </w:r>
      <w:r>
        <w:rPr>
          <w:color w:val="000000" w:themeColor="text1"/>
          <w:highlight w:val="none"/>
        </w:rPr>
        <w:t>年产量</w:t>
      </w:r>
      <w:r>
        <w:rPr>
          <w:rFonts w:hint="eastAsia"/>
          <w:color w:val="000000" w:themeColor="text1"/>
          <w:highlight w:val="none"/>
          <w:lang w:eastAsia="zh-CN"/>
        </w:rPr>
        <w:t>30万吨</w:t>
      </w:r>
      <w:r>
        <w:rPr>
          <w:color w:val="000000" w:themeColor="text1"/>
          <w:highlight w:val="none"/>
        </w:rPr>
        <w:t>的属</w:t>
      </w:r>
      <w:r>
        <w:rPr>
          <w:rFonts w:hint="eastAsia"/>
          <w:color w:val="000000" w:themeColor="text1"/>
          <w:highlight w:val="none"/>
          <w:lang w:eastAsia="zh-CN"/>
        </w:rPr>
        <w:t>小型</w:t>
      </w:r>
      <w:r>
        <w:rPr>
          <w:color w:val="000000" w:themeColor="text1"/>
          <w:highlight w:val="none"/>
        </w:rPr>
        <w:t>矿山，故本矿山建设规模为</w:t>
      </w:r>
      <w:r>
        <w:rPr>
          <w:rFonts w:hint="eastAsia"/>
          <w:color w:val="000000" w:themeColor="text1"/>
          <w:highlight w:val="none"/>
          <w:lang w:eastAsia="zh-CN"/>
        </w:rPr>
        <w:t>小型</w:t>
      </w:r>
      <w:r>
        <w:rPr>
          <w:color w:val="000000" w:themeColor="text1"/>
          <w:highlight w:val="none"/>
        </w:rPr>
        <w:t>。</w:t>
      </w:r>
    </w:p>
    <w:p>
      <w:pPr>
        <w:rPr>
          <w:color w:val="000000" w:themeColor="text1"/>
          <w:highlight w:val="none"/>
        </w:rPr>
      </w:pPr>
      <w:r>
        <w:rPr>
          <w:color w:val="000000" w:themeColor="text1"/>
          <w:highlight w:val="none"/>
        </w:rPr>
        <w:t>（3）矿山地质环境复杂程度</w:t>
      </w:r>
    </w:p>
    <w:p>
      <w:pPr>
        <w:rPr>
          <w:color w:val="000000" w:themeColor="text1"/>
          <w:highlight w:val="none"/>
        </w:rPr>
      </w:pPr>
      <w:r>
        <w:rPr>
          <w:rFonts w:hint="eastAsia"/>
          <w:color w:val="000000" w:themeColor="text1"/>
          <w:highlight w:val="none"/>
        </w:rPr>
        <w:t>调查区采场位于地下水位以上，采场汇水面积小，与区域含水层和地表水联系不密切，采场基本无涌水，采矿和疏干排水不易导致矿区周围主要含水层的影响和破坏</w:t>
      </w:r>
      <w:r>
        <w:rPr>
          <w:rFonts w:hint="eastAsia"/>
          <w:color w:val="000000" w:themeColor="text1"/>
          <w:highlight w:val="none"/>
          <w:lang w:eastAsia="zh-CN"/>
        </w:rPr>
        <w:t>；</w:t>
      </w:r>
      <w:r>
        <w:rPr>
          <w:rFonts w:hint="eastAsia"/>
          <w:color w:val="000000" w:themeColor="text1"/>
          <w:highlight w:val="none"/>
        </w:rPr>
        <w:t>矿床围岩软弱结构面、不良工程地质层不发育，残坡积层、基岩风化破碎带厚度小于5m、稳固性较好，边坡基本不存在外倾软弱结构面或危岩，边坡较稳定</w:t>
      </w:r>
      <w:r>
        <w:rPr>
          <w:rFonts w:hint="eastAsia"/>
          <w:color w:val="000000" w:themeColor="text1"/>
          <w:highlight w:val="none"/>
          <w:lang w:eastAsia="zh-CN"/>
        </w:rPr>
        <w:t>；</w:t>
      </w:r>
      <w:r>
        <w:rPr>
          <w:rFonts w:hint="eastAsia"/>
          <w:color w:val="000000" w:themeColor="text1"/>
          <w:highlight w:val="none"/>
        </w:rPr>
        <w:t>地质构造简单;断裂构造较不发育，现状条件下矿山地质环境问题类型少、危害小，采场面积及采坑深度小;但地形起伏变化大，地形坡度46°左右符合复杂类型分类标准中地形坡度一般大于35°，相对高差大的规定，据此按表</w:t>
      </w:r>
      <w:r>
        <w:rPr>
          <w:rFonts w:hint="eastAsia"/>
          <w:color w:val="000000" w:themeColor="text1"/>
          <w:highlight w:val="none"/>
          <w:lang w:val="en-US" w:eastAsia="zh-CN"/>
        </w:rPr>
        <w:t>3</w:t>
      </w:r>
      <w:r>
        <w:rPr>
          <w:rFonts w:hint="eastAsia"/>
          <w:color w:val="000000" w:themeColor="text1"/>
          <w:highlight w:val="none"/>
        </w:rPr>
        <w:t>-2露天开采矿山地质环境条件复杂程度分级要求</w:t>
      </w:r>
      <w:r>
        <w:rPr>
          <w:rFonts w:hint="eastAsia"/>
          <w:color w:val="000000" w:themeColor="text1"/>
          <w:highlight w:val="none"/>
          <w:lang w:eastAsia="zh-CN"/>
        </w:rPr>
        <w:t>，</w:t>
      </w:r>
      <w:r>
        <w:rPr>
          <w:rFonts w:hint="eastAsia"/>
          <w:color w:val="000000" w:themeColor="text1"/>
          <w:highlight w:val="none"/>
        </w:rPr>
        <w:t>将评估区地质环境条件复杂程度确定为复杂。</w:t>
      </w:r>
    </w:p>
    <w:p>
      <w:pPr>
        <w:rPr>
          <w:color w:val="000000" w:themeColor="text1"/>
          <w:highlight w:val="none"/>
        </w:rPr>
      </w:pPr>
      <w:r>
        <w:rPr>
          <w:color w:val="000000" w:themeColor="text1"/>
          <w:highlight w:val="none"/>
        </w:rPr>
        <w:t>根据《矿山地质环境保护与恢复治理方案编制规范》（DZ/T0223－2011）附录C表C.</w:t>
      </w:r>
      <w:r>
        <w:rPr>
          <w:rFonts w:hint="eastAsia"/>
          <w:color w:val="000000" w:themeColor="text1"/>
          <w:highlight w:val="none"/>
        </w:rPr>
        <w:t>2</w:t>
      </w:r>
      <w:r>
        <w:rPr>
          <w:color w:val="000000" w:themeColor="text1"/>
          <w:highlight w:val="none"/>
        </w:rPr>
        <w:t>《</w:t>
      </w:r>
      <w:r>
        <w:rPr>
          <w:rFonts w:hint="eastAsia"/>
          <w:color w:val="000000" w:themeColor="text1"/>
          <w:highlight w:val="none"/>
        </w:rPr>
        <w:t>露天</w:t>
      </w:r>
      <w:r>
        <w:rPr>
          <w:color w:val="000000" w:themeColor="text1"/>
          <w:highlight w:val="none"/>
        </w:rPr>
        <w:t>开采矿山地质环境条件复杂程度分级表》，确定矿山地质环境条件复杂程度为</w:t>
      </w:r>
      <w:r>
        <w:rPr>
          <w:rFonts w:hint="eastAsia"/>
          <w:color w:val="000000" w:themeColor="text1"/>
          <w:highlight w:val="none"/>
          <w:lang w:eastAsia="zh-CN"/>
        </w:rPr>
        <w:t>复杂</w:t>
      </w:r>
      <w:r>
        <w:rPr>
          <w:color w:val="000000" w:themeColor="text1"/>
          <w:highlight w:val="none"/>
        </w:rPr>
        <w:t>。（见表3-2）</w:t>
      </w:r>
    </w:p>
    <w:p>
      <w:pPr>
        <w:pStyle w:val="67"/>
        <w:rPr>
          <w:color w:val="000000" w:themeColor="text1"/>
          <w:highlight w:val="none"/>
        </w:rPr>
      </w:pPr>
      <w:r>
        <w:rPr>
          <w:color w:val="000000" w:themeColor="text1"/>
          <w:highlight w:val="none"/>
        </w:rPr>
        <w:t>表3-2</w:t>
      </w:r>
      <w:r>
        <w:rPr>
          <w:rFonts w:hint="eastAsia"/>
          <w:color w:val="000000" w:themeColor="text1"/>
          <w:highlight w:val="none"/>
        </w:rPr>
        <w:t xml:space="preserve">  露天</w:t>
      </w:r>
      <w:r>
        <w:rPr>
          <w:color w:val="000000" w:themeColor="text1"/>
          <w:highlight w:val="none"/>
        </w:rPr>
        <w:t>开采矿山地质环境条件复杂程度分级表</w:t>
      </w:r>
    </w:p>
    <w:tbl>
      <w:tblPr>
        <w:tblStyle w:val="31"/>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1"/>
        <w:gridCol w:w="2976"/>
        <w:gridCol w:w="2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b/>
                <w:bCs/>
                <w:color w:val="000000" w:themeColor="text1"/>
                <w:highlight w:val="none"/>
              </w:rPr>
              <w:t>复杂</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中等</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采场矿层（体）位于地下水位以下，采场汇水面积大，采场进水边界条件复杂，与区域含水层或地表水联系密切，地下水补给、径流条件好，采场正常涌水量大于10000m</w:t>
            </w:r>
            <w:r>
              <w:rPr>
                <w:color w:val="000000" w:themeColor="text1"/>
                <w:highlight w:val="none"/>
                <w:vertAlign w:val="superscript"/>
              </w:rPr>
              <w:t>3</w:t>
            </w:r>
            <w:r>
              <w:rPr>
                <w:color w:val="000000" w:themeColor="text1"/>
                <w:highlight w:val="none"/>
              </w:rPr>
              <w:t>/d；采矿活动和疏干排水容易导致区域主要含水层破坏</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采场矿层（体）局部位于地下水位以下，采场汇水面积较大，与区域含水层或地表水联系较密切，采场正常涌水量3000～10000m</w:t>
            </w:r>
            <w:r>
              <w:rPr>
                <w:color w:val="000000" w:themeColor="text1"/>
                <w:highlight w:val="none"/>
                <w:vertAlign w:val="superscript"/>
              </w:rPr>
              <w:t>3</w:t>
            </w:r>
            <w:r>
              <w:rPr>
                <w:color w:val="000000" w:themeColor="text1"/>
                <w:highlight w:val="none"/>
              </w:rPr>
              <w:t>/d；采矿和疏干排水比较容易导致矿区周围主要含水层影响或破坏</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b/>
                <w:bCs/>
                <w:color w:val="000000" w:themeColor="text1"/>
                <w:highlight w:val="none"/>
              </w:rPr>
            </w:pPr>
            <w:r>
              <w:rPr>
                <w:b/>
                <w:bCs/>
                <w:color w:val="000000" w:themeColor="text1"/>
                <w:highlight w:val="none"/>
              </w:rPr>
              <w:t>采场矿层（体）位于地下水位以上，采场汇水面积小，与区域含水层、或地表水联系不密切，采场正常涌水量小于3000m</w:t>
            </w:r>
            <w:r>
              <w:rPr>
                <w:b/>
                <w:bCs/>
                <w:color w:val="000000" w:themeColor="text1"/>
                <w:highlight w:val="none"/>
                <w:vertAlign w:val="superscript"/>
              </w:rPr>
              <w:t>3</w:t>
            </w:r>
            <w:r>
              <w:rPr>
                <w:b/>
                <w:bCs/>
                <w:color w:val="000000" w:themeColor="text1"/>
                <w:highlight w:val="none"/>
              </w:rPr>
              <w:t>/d；采矿和疏干排水不易导致矿区周围主要含水层的影响或破坏(√)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矿床围岩岩体结构以碎裂结构、散体结构为主，软弱结构面、不良工程地质层发育，存在饱水软弱岩层或松散软弱岩层，含水砂层多，分布广，残坡积层、基岩风化破碎带厚度大于10m、稳固性差，采场岩石边坡风化破碎或土层松软，边坡外倾软弱结构面或危岩发育，易导致边坡失稳</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矿床围岩岩体结构以薄到厚层状结构为主，软弱结构面、不良工程地质层发育中等，存在饱水软弱岩层和含水砂层，残坡积层、基岩风化破碎带厚度5～10m、稳固性较差，采场边坡岩石风化较破碎，边坡存在外倾软弱结构面或危岩，局部可能产生边坡失稳</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b/>
                <w:bCs/>
                <w:color w:val="000000" w:themeColor="text1"/>
                <w:highlight w:val="none"/>
              </w:rPr>
            </w:pPr>
            <w:r>
              <w:rPr>
                <w:b/>
                <w:bCs/>
                <w:color w:val="000000" w:themeColor="text1"/>
                <w:highlight w:val="none"/>
              </w:rPr>
              <w:t>矿床围岩岩体结构以巨厚层状-块状整体结构为主，软弱结构面、不良工程地质层不发育，残坡积层、基岩风化破碎带厚度小于5m、稳固性较好，采场边坡岩石较完整到完整，土层薄，边坡基本不存在外倾软弱结构面或危岩，边坡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地质构造复杂。矿床围岩岩层产状变化大，断裂构造发育或有全新世活动断裂，导水断裂切割矿层（体）围岩、覆岩和主要含水层（带）或沟通地表水体，导水性强，对采场充水影响大</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地质构造较复杂。矿床围岩岩层产状变化较大，断裂构造较发育，切割矿层（体）围岩、覆岩和含水层（带），导水性差，对采场充水影响较大</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b/>
                <w:bCs/>
                <w:color w:val="000000" w:themeColor="text1"/>
                <w:highlight w:val="none"/>
              </w:rPr>
            </w:pPr>
            <w:r>
              <w:rPr>
                <w:b/>
                <w:bCs/>
                <w:color w:val="000000" w:themeColor="text1"/>
                <w:highlight w:val="none"/>
              </w:rPr>
              <w:t>地质构造较简单。矿床围岩岩层产状变化小，断裂构造较不发育，断裂未切割矿层（体）围岩、覆岩，对采场充水影响小(√)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现状条件下原生地质灾害发育，或矿山地质环境问题的类型多、危害大</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现状条件下，矿山地质环境问题的类型较多、危害较大</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b/>
                <w:bCs/>
                <w:color w:val="000000" w:themeColor="text1"/>
                <w:highlight w:val="none"/>
              </w:rPr>
            </w:pPr>
            <w:r>
              <w:rPr>
                <w:b/>
                <w:bCs/>
                <w:color w:val="000000" w:themeColor="text1"/>
                <w:highlight w:val="none"/>
              </w:rPr>
              <w:t>现状条件下，矿山地质环境问题的类型少、危害小(√)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采场面积及采坑深度大，边坡不稳定，易产生地质灾害</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采场面积采坑深度较大，边坡较不稳定，较易产生地质灾害</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b/>
                <w:bCs/>
                <w:color w:val="000000" w:themeColor="text1"/>
                <w:highlight w:val="none"/>
              </w:rPr>
            </w:pPr>
            <w:r>
              <w:rPr>
                <w:b/>
                <w:bCs/>
                <w:color w:val="000000" w:themeColor="text1"/>
                <w:highlight w:val="none"/>
              </w:rPr>
              <w:t>采场面积及采坑深度小，边坡较稳定，不易产生地质灾害(√)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b/>
                <w:bCs/>
                <w:color w:val="000000" w:themeColor="text1"/>
                <w:highlight w:val="none"/>
              </w:rPr>
              <w:t>地貌单元类型多，微地貌形态复杂，地形起伏变化大，不利于自然排水，地形坡度一般大于35°，相对高差大，高坡方向岩层倾向与采坑斜坡多为同向(√)</w:t>
            </w:r>
          </w:p>
        </w:tc>
        <w:tc>
          <w:tcPr>
            <w:tcW w:w="297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地貌单元类型较多，微地貌形态较复杂，地形起伏变化中等，自然排水条件一般，地形坡度一般20°～35°，相对高差较大，高坡方向岩层倾向与采坑斜坡多为斜交</w:t>
            </w:r>
          </w:p>
        </w:tc>
        <w:tc>
          <w:tcPr>
            <w:tcW w:w="291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地貌单元类型单一，微地貌形态简单，地形较平缓，有利于自然排水，地形坡度一般小于20°，相对高差较小，高坡方向岩层倾向与采坑斜坡多为</w:t>
            </w:r>
            <w:r>
              <w:rPr>
                <w:rFonts w:hint="eastAsia"/>
                <w:color w:val="000000" w:themeColor="text1"/>
                <w:highlight w:val="none"/>
                <w:lang w:eastAsia="zh-CN"/>
              </w:rPr>
              <w:t>斜向</w:t>
            </w:r>
            <w:r>
              <w:rPr>
                <w:color w:val="000000" w:themeColor="text1"/>
                <w:highlight w:val="none"/>
              </w:rPr>
              <w:t>坡</w:t>
            </w:r>
          </w:p>
        </w:tc>
      </w:tr>
    </w:tbl>
    <w:p>
      <w:pPr>
        <w:rPr>
          <w:color w:val="000000" w:themeColor="text1"/>
          <w:highlight w:val="none"/>
        </w:rPr>
      </w:pPr>
      <w:r>
        <w:rPr>
          <w:color w:val="000000" w:themeColor="text1"/>
          <w:highlight w:val="none"/>
        </w:rPr>
        <w:t>综上所述，</w:t>
      </w:r>
      <w:r>
        <w:rPr>
          <w:rFonts w:hint="eastAsia"/>
          <w:color w:val="000000" w:themeColor="text1"/>
          <w:highlight w:val="none"/>
          <w:lang w:eastAsia="zh-CN"/>
        </w:rPr>
        <w:t>旺苍县华隆建材有限公司三江镇战旗石灰石矿</w:t>
      </w:r>
      <w:r>
        <w:rPr>
          <w:color w:val="000000" w:themeColor="text1"/>
          <w:highlight w:val="none"/>
        </w:rPr>
        <w:t>矿山地质环境复杂程度属</w:t>
      </w:r>
      <w:r>
        <w:rPr>
          <w:rFonts w:hint="eastAsia"/>
          <w:color w:val="000000" w:themeColor="text1"/>
          <w:highlight w:val="none"/>
          <w:lang w:eastAsia="zh-CN"/>
        </w:rPr>
        <w:t>复杂</w:t>
      </w:r>
      <w:r>
        <w:rPr>
          <w:color w:val="000000" w:themeColor="text1"/>
          <w:highlight w:val="none"/>
        </w:rPr>
        <w:t>；所建矿山属</w:t>
      </w:r>
      <w:r>
        <w:rPr>
          <w:rFonts w:hint="eastAsia"/>
          <w:color w:val="000000" w:themeColor="text1"/>
          <w:highlight w:val="none"/>
          <w:lang w:eastAsia="zh-CN"/>
        </w:rPr>
        <w:t>小型</w:t>
      </w:r>
      <w:r>
        <w:rPr>
          <w:color w:val="000000" w:themeColor="text1"/>
          <w:highlight w:val="none"/>
        </w:rPr>
        <w:t>矿山；评估区重要程度属</w:t>
      </w:r>
      <w:r>
        <w:rPr>
          <w:rFonts w:hint="eastAsia"/>
          <w:color w:val="000000" w:themeColor="text1"/>
          <w:highlight w:val="none"/>
          <w:lang w:eastAsia="zh-CN"/>
        </w:rPr>
        <w:t>较</w:t>
      </w:r>
      <w:r>
        <w:rPr>
          <w:color w:val="000000" w:themeColor="text1"/>
          <w:highlight w:val="none"/>
        </w:rPr>
        <w:t>重要区。根据《矿山地质环境保护与治理恢复方案编制规范》（DZ/T223-2011</w:t>
      </w:r>
      <w:r>
        <w:rPr>
          <w:rFonts w:hint="eastAsia"/>
          <w:color w:val="000000" w:themeColor="text1"/>
          <w:highlight w:val="none"/>
        </w:rPr>
        <w:t>）</w:t>
      </w:r>
      <w:r>
        <w:rPr>
          <w:color w:val="000000" w:themeColor="text1"/>
          <w:highlight w:val="none"/>
        </w:rPr>
        <w:t>附录A确定矿山地质环境影响评估精度分级为一级（表3-3）。</w:t>
      </w:r>
    </w:p>
    <w:p>
      <w:pPr>
        <w:pStyle w:val="67"/>
        <w:rPr>
          <w:color w:val="000000" w:themeColor="text1"/>
          <w:highlight w:val="none"/>
        </w:rPr>
      </w:pPr>
      <w:r>
        <w:rPr>
          <w:color w:val="000000" w:themeColor="text1"/>
          <w:highlight w:val="none"/>
        </w:rPr>
        <w:t>表3-3矿山地质环境影响评估精度分级表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2162"/>
        <w:gridCol w:w="1458"/>
        <w:gridCol w:w="1458"/>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restart"/>
            <w:vAlign w:val="center"/>
          </w:tcPr>
          <w:p>
            <w:pPr>
              <w:pStyle w:val="63"/>
              <w:rPr>
                <w:color w:val="000000" w:themeColor="text1"/>
                <w:highlight w:val="none"/>
              </w:rPr>
            </w:pPr>
            <w:r>
              <w:rPr>
                <w:color w:val="000000" w:themeColor="text1"/>
                <w:highlight w:val="none"/>
              </w:rPr>
              <w:t>评估区重要程度</w:t>
            </w:r>
          </w:p>
        </w:tc>
        <w:tc>
          <w:tcPr>
            <w:tcW w:w="2162" w:type="dxa"/>
            <w:vMerge w:val="restart"/>
            <w:vAlign w:val="center"/>
          </w:tcPr>
          <w:p>
            <w:pPr>
              <w:pStyle w:val="63"/>
              <w:rPr>
                <w:color w:val="000000" w:themeColor="text1"/>
                <w:highlight w:val="none"/>
              </w:rPr>
            </w:pPr>
            <w:r>
              <w:rPr>
                <w:color w:val="000000" w:themeColor="text1"/>
                <w:highlight w:val="none"/>
              </w:rPr>
              <w:t>矿山生产建设规模</w:t>
            </w:r>
          </w:p>
        </w:tc>
        <w:tc>
          <w:tcPr>
            <w:tcW w:w="4374" w:type="dxa"/>
            <w:gridSpan w:val="3"/>
            <w:vAlign w:val="center"/>
          </w:tcPr>
          <w:p>
            <w:pPr>
              <w:pStyle w:val="63"/>
              <w:rPr>
                <w:color w:val="000000" w:themeColor="text1"/>
                <w:highlight w:val="none"/>
              </w:rPr>
            </w:pPr>
            <w:r>
              <w:rPr>
                <w:color w:val="000000" w:themeColor="text1"/>
                <w:highlight w:val="none"/>
              </w:rPr>
              <w:t>地质环境条件复杂程度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vMerge w:val="continue"/>
            <w:vAlign w:val="center"/>
          </w:tcPr>
          <w:p>
            <w:pPr>
              <w:pStyle w:val="63"/>
              <w:rPr>
                <w:color w:val="000000" w:themeColor="text1"/>
                <w:highlight w:val="none"/>
              </w:rPr>
            </w:pPr>
          </w:p>
        </w:tc>
        <w:tc>
          <w:tcPr>
            <w:tcW w:w="1458" w:type="dxa"/>
            <w:vAlign w:val="center"/>
          </w:tcPr>
          <w:p>
            <w:pPr>
              <w:pStyle w:val="63"/>
              <w:rPr>
                <w:color w:val="000000" w:themeColor="text1"/>
                <w:highlight w:val="none"/>
              </w:rPr>
            </w:pPr>
            <w:r>
              <w:rPr>
                <w:b/>
                <w:bCs/>
                <w:color w:val="000000" w:themeColor="text1"/>
                <w:highlight w:val="none"/>
              </w:rPr>
              <w:t>复杂(√)</w:t>
            </w:r>
          </w:p>
        </w:tc>
        <w:tc>
          <w:tcPr>
            <w:tcW w:w="1458" w:type="dxa"/>
            <w:vAlign w:val="center"/>
          </w:tcPr>
          <w:p>
            <w:pPr>
              <w:pStyle w:val="63"/>
              <w:rPr>
                <w:color w:val="000000" w:themeColor="text1"/>
                <w:highlight w:val="none"/>
              </w:rPr>
            </w:pPr>
            <w:r>
              <w:rPr>
                <w:color w:val="000000" w:themeColor="text1"/>
                <w:highlight w:val="none"/>
              </w:rPr>
              <w:t>中等</w:t>
            </w:r>
          </w:p>
        </w:tc>
        <w:tc>
          <w:tcPr>
            <w:tcW w:w="1458" w:type="dxa"/>
            <w:vAlign w:val="center"/>
          </w:tcPr>
          <w:p>
            <w:pPr>
              <w:pStyle w:val="63"/>
              <w:rPr>
                <w:color w:val="000000" w:themeColor="text1"/>
                <w:highlight w:val="none"/>
              </w:rPr>
            </w:pPr>
            <w:r>
              <w:rPr>
                <w:color w:val="000000" w:themeColor="text1"/>
                <w:highlight w:val="none"/>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restart"/>
            <w:vAlign w:val="center"/>
          </w:tcPr>
          <w:p>
            <w:pPr>
              <w:pStyle w:val="63"/>
              <w:rPr>
                <w:color w:val="000000" w:themeColor="text1"/>
                <w:highlight w:val="none"/>
              </w:rPr>
            </w:pPr>
            <w:r>
              <w:rPr>
                <w:color w:val="000000" w:themeColor="text1"/>
                <w:highlight w:val="none"/>
              </w:rPr>
              <w:t>重要区</w:t>
            </w:r>
          </w:p>
        </w:tc>
        <w:tc>
          <w:tcPr>
            <w:tcW w:w="2162" w:type="dxa"/>
            <w:vAlign w:val="center"/>
          </w:tcPr>
          <w:p>
            <w:pPr>
              <w:pStyle w:val="63"/>
              <w:rPr>
                <w:color w:val="000000" w:themeColor="text1"/>
                <w:highlight w:val="none"/>
              </w:rPr>
            </w:pPr>
            <w:r>
              <w:rPr>
                <w:rFonts w:hint="eastAsia"/>
                <w:color w:val="000000" w:themeColor="text1"/>
                <w:highlight w:val="none"/>
                <w:lang w:eastAsia="zh-CN"/>
              </w:rPr>
              <w:t>小型</w:t>
            </w:r>
          </w:p>
        </w:tc>
        <w:tc>
          <w:tcPr>
            <w:tcW w:w="1458" w:type="dxa"/>
            <w:vAlign w:val="center"/>
          </w:tcPr>
          <w:p>
            <w:pPr>
              <w:pStyle w:val="63"/>
              <w:rPr>
                <w:color w:val="000000" w:themeColor="text1"/>
                <w:highlight w:val="none"/>
              </w:rPr>
            </w:pPr>
            <w:r>
              <w:rPr>
                <w:color w:val="000000" w:themeColor="text1"/>
                <w:highlight w:val="none"/>
              </w:rPr>
              <w:t>一级</w:t>
            </w:r>
          </w:p>
        </w:tc>
        <w:tc>
          <w:tcPr>
            <w:tcW w:w="1458" w:type="dxa"/>
            <w:vAlign w:val="center"/>
          </w:tcPr>
          <w:p>
            <w:pPr>
              <w:pStyle w:val="63"/>
              <w:rPr>
                <w:color w:val="000000" w:themeColor="text1"/>
                <w:highlight w:val="none"/>
              </w:rPr>
            </w:pPr>
            <w:r>
              <w:rPr>
                <w:b w:val="0"/>
                <w:bCs w:val="0"/>
                <w:color w:val="000000" w:themeColor="text1"/>
                <w:highlight w:val="none"/>
              </w:rPr>
              <w:t>一级</w:t>
            </w:r>
          </w:p>
        </w:tc>
        <w:tc>
          <w:tcPr>
            <w:tcW w:w="1458" w:type="dxa"/>
            <w:vAlign w:val="center"/>
          </w:tcPr>
          <w:p>
            <w:pPr>
              <w:pStyle w:val="63"/>
              <w:rPr>
                <w:color w:val="000000" w:themeColor="text1"/>
                <w:highlight w:val="none"/>
              </w:rPr>
            </w:pPr>
            <w:r>
              <w:rPr>
                <w:color w:val="000000" w:themeColor="text1"/>
                <w:highlight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vAlign w:val="center"/>
          </w:tcPr>
          <w:p>
            <w:pPr>
              <w:pStyle w:val="63"/>
              <w:rPr>
                <w:color w:val="000000" w:themeColor="text1"/>
                <w:highlight w:val="none"/>
              </w:rPr>
            </w:pPr>
            <w:r>
              <w:rPr>
                <w:color w:val="000000" w:themeColor="text1"/>
                <w:highlight w:val="none"/>
              </w:rPr>
              <w:t>中型</w:t>
            </w:r>
          </w:p>
        </w:tc>
        <w:tc>
          <w:tcPr>
            <w:tcW w:w="1458" w:type="dxa"/>
            <w:vAlign w:val="center"/>
          </w:tcPr>
          <w:p>
            <w:pPr>
              <w:pStyle w:val="63"/>
              <w:rPr>
                <w:color w:val="000000" w:themeColor="text1"/>
                <w:highlight w:val="none"/>
              </w:rPr>
            </w:pPr>
            <w:r>
              <w:rPr>
                <w:color w:val="000000" w:themeColor="text1"/>
                <w:highlight w:val="none"/>
              </w:rPr>
              <w:t>一级</w:t>
            </w:r>
          </w:p>
        </w:tc>
        <w:tc>
          <w:tcPr>
            <w:tcW w:w="1458" w:type="dxa"/>
            <w:vAlign w:val="center"/>
          </w:tcPr>
          <w:p>
            <w:pPr>
              <w:pStyle w:val="63"/>
              <w:rPr>
                <w:color w:val="000000" w:themeColor="text1"/>
                <w:highlight w:val="none"/>
              </w:rPr>
            </w:pPr>
            <w:r>
              <w:rPr>
                <w:color w:val="000000" w:themeColor="text1"/>
                <w:highlight w:val="none"/>
              </w:rPr>
              <w:t>一级</w:t>
            </w:r>
          </w:p>
        </w:tc>
        <w:tc>
          <w:tcPr>
            <w:tcW w:w="1458" w:type="dxa"/>
            <w:vAlign w:val="center"/>
          </w:tcPr>
          <w:p>
            <w:pPr>
              <w:pStyle w:val="63"/>
              <w:rPr>
                <w:color w:val="000000" w:themeColor="text1"/>
                <w:highlight w:val="none"/>
              </w:rPr>
            </w:pPr>
            <w:r>
              <w:rPr>
                <w:color w:val="000000" w:themeColor="text1"/>
                <w:highlight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vAlign w:val="center"/>
          </w:tcPr>
          <w:p>
            <w:pPr>
              <w:pStyle w:val="63"/>
              <w:rPr>
                <w:color w:val="000000" w:themeColor="text1"/>
                <w:highlight w:val="none"/>
              </w:rPr>
            </w:pPr>
            <w:r>
              <w:rPr>
                <w:rFonts w:hint="eastAsia"/>
                <w:color w:val="000000" w:themeColor="text1"/>
                <w:highlight w:val="none"/>
                <w:lang w:eastAsia="zh-CN"/>
              </w:rPr>
              <w:t>大</w:t>
            </w:r>
            <w:r>
              <w:rPr>
                <w:color w:val="000000" w:themeColor="text1"/>
                <w:highlight w:val="none"/>
              </w:rPr>
              <w:t>型</w:t>
            </w:r>
          </w:p>
        </w:tc>
        <w:tc>
          <w:tcPr>
            <w:tcW w:w="1458" w:type="dxa"/>
            <w:vAlign w:val="center"/>
          </w:tcPr>
          <w:p>
            <w:pPr>
              <w:pStyle w:val="63"/>
              <w:rPr>
                <w:color w:val="000000" w:themeColor="text1"/>
                <w:highlight w:val="none"/>
              </w:rPr>
            </w:pPr>
            <w:r>
              <w:rPr>
                <w:color w:val="000000" w:themeColor="text1"/>
                <w:highlight w:val="none"/>
              </w:rPr>
              <w:t>一级</w:t>
            </w:r>
          </w:p>
        </w:tc>
        <w:tc>
          <w:tcPr>
            <w:tcW w:w="1458" w:type="dxa"/>
            <w:vAlign w:val="center"/>
          </w:tcPr>
          <w:p>
            <w:pPr>
              <w:pStyle w:val="63"/>
              <w:rPr>
                <w:color w:val="000000" w:themeColor="text1"/>
                <w:highlight w:val="none"/>
              </w:rPr>
            </w:pPr>
            <w:r>
              <w:rPr>
                <w:color w:val="000000" w:themeColor="text1"/>
                <w:highlight w:val="none"/>
              </w:rPr>
              <w:t>一级</w:t>
            </w:r>
          </w:p>
        </w:tc>
        <w:tc>
          <w:tcPr>
            <w:tcW w:w="1458" w:type="dxa"/>
            <w:vAlign w:val="center"/>
          </w:tcPr>
          <w:p>
            <w:pPr>
              <w:pStyle w:val="63"/>
              <w:rPr>
                <w:color w:val="000000" w:themeColor="text1"/>
                <w:highlight w:val="none"/>
              </w:rPr>
            </w:pPr>
            <w:r>
              <w:rPr>
                <w:color w:val="000000" w:themeColor="text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restart"/>
            <w:vAlign w:val="center"/>
          </w:tcPr>
          <w:p>
            <w:pPr>
              <w:pStyle w:val="63"/>
              <w:rPr>
                <w:color w:val="000000" w:themeColor="text1"/>
                <w:highlight w:val="none"/>
              </w:rPr>
            </w:pPr>
            <w:r>
              <w:rPr>
                <w:b/>
                <w:bCs/>
                <w:color w:val="000000" w:themeColor="text1"/>
                <w:highlight w:val="none"/>
              </w:rPr>
              <w:t>较重要区(√)</w:t>
            </w: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b/>
                <w:bCs/>
                <w:color w:val="000000" w:themeColor="text1"/>
                <w:highlight w:val="none"/>
                <w:lang w:eastAsia="zh-CN"/>
              </w:rPr>
              <w:t>小型</w:t>
            </w:r>
            <w:r>
              <w:rPr>
                <w:b/>
                <w:bCs/>
                <w:color w:val="000000" w:themeColor="text1"/>
                <w:highlight w:val="none"/>
              </w:rPr>
              <w:t>(√)</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b/>
                <w:bCs/>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中型</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lang w:eastAsia="zh-CN"/>
              </w:rPr>
              <w:t>大</w:t>
            </w:r>
            <w:r>
              <w:rPr>
                <w:color w:val="000000" w:themeColor="text1"/>
                <w:highlight w:val="none"/>
              </w:rPr>
              <w:t>型</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restart"/>
            <w:vAlign w:val="center"/>
          </w:tcPr>
          <w:p>
            <w:pPr>
              <w:pStyle w:val="63"/>
              <w:rPr>
                <w:color w:val="000000" w:themeColor="text1"/>
                <w:highlight w:val="none"/>
              </w:rPr>
            </w:pPr>
            <w:r>
              <w:rPr>
                <w:color w:val="000000" w:themeColor="text1"/>
                <w:highlight w:val="none"/>
              </w:rPr>
              <w:t>一般区</w:t>
            </w: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小型</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中型</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一级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86" w:type="dxa"/>
            <w:vMerge w:val="continue"/>
            <w:vAlign w:val="center"/>
          </w:tcPr>
          <w:p>
            <w:pPr>
              <w:pStyle w:val="63"/>
              <w:rPr>
                <w:color w:val="000000" w:themeColor="text1"/>
                <w:highlight w:val="none"/>
              </w:rPr>
            </w:pPr>
          </w:p>
        </w:tc>
        <w:tc>
          <w:tcPr>
            <w:tcW w:w="216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lang w:eastAsia="zh-CN"/>
              </w:rPr>
              <w:t>大</w:t>
            </w:r>
            <w:r>
              <w:rPr>
                <w:color w:val="000000" w:themeColor="text1"/>
                <w:highlight w:val="none"/>
              </w:rPr>
              <w:t>型</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二级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三级</w:t>
            </w:r>
          </w:p>
        </w:tc>
        <w:tc>
          <w:tcPr>
            <w:tcW w:w="145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三级</w:t>
            </w:r>
          </w:p>
        </w:tc>
      </w:tr>
    </w:tbl>
    <w:p>
      <w:pPr>
        <w:rPr>
          <w:color w:val="000000" w:themeColor="text1"/>
          <w:highlight w:val="none"/>
        </w:rPr>
      </w:pPr>
      <w:r>
        <w:rPr>
          <w:color w:val="000000" w:themeColor="text1"/>
          <w:highlight w:val="none"/>
        </w:rPr>
        <w:t>3、评估内容</w:t>
      </w:r>
    </w:p>
    <w:p>
      <w:pPr>
        <w:rPr>
          <w:color w:val="000000" w:themeColor="text1"/>
          <w:highlight w:val="none"/>
        </w:rPr>
      </w:pPr>
      <w:r>
        <w:rPr>
          <w:color w:val="000000" w:themeColor="text1"/>
          <w:highlight w:val="none"/>
        </w:rPr>
        <w:t>（1）现状评估</w:t>
      </w:r>
    </w:p>
    <w:p>
      <w:pPr>
        <w:rPr>
          <w:color w:val="000000" w:themeColor="text1"/>
          <w:sz w:val="21"/>
          <w:szCs w:val="28"/>
          <w:highlight w:val="none"/>
        </w:rPr>
      </w:pPr>
      <w:r>
        <w:rPr>
          <w:color w:val="000000" w:themeColor="text1"/>
          <w:highlight w:val="none"/>
        </w:rPr>
        <w:t>在充分收集</w:t>
      </w:r>
      <w:r>
        <w:rPr>
          <w:rFonts w:hint="eastAsia"/>
          <w:color w:val="000000" w:themeColor="text1"/>
          <w:highlight w:val="none"/>
          <w:lang w:eastAsia="zh-CN"/>
        </w:rPr>
        <w:t>三江镇战旗石灰石矿</w:t>
      </w:r>
      <w:r>
        <w:rPr>
          <w:color w:val="000000" w:themeColor="text1"/>
          <w:highlight w:val="none"/>
        </w:rPr>
        <w:t>相关资料及矿山地质环境调查的基础上，对评估区内地质灾害、含水层破坏、地形地貌景观和土地资源的破坏情况进行了矿山地质环境现状评估。矿山地质环境影响程度分级依据《矿山地质环境影响程度分级表》（表3-4）确定。</w:t>
      </w:r>
    </w:p>
    <w:p>
      <w:pPr>
        <w:pStyle w:val="67"/>
        <w:rPr>
          <w:color w:val="000000" w:themeColor="text1"/>
          <w:highlight w:val="none"/>
        </w:rPr>
      </w:pPr>
      <w:r>
        <w:rPr>
          <w:color w:val="000000" w:themeColor="text1"/>
          <w:highlight w:val="none"/>
        </w:rPr>
        <w:t>表3-4矿山地质环境影响程度分级表</w:t>
      </w:r>
    </w:p>
    <w:tbl>
      <w:tblPr>
        <w:tblStyle w:val="31"/>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159"/>
        <w:gridCol w:w="2737"/>
        <w:gridCol w:w="170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Align w:val="center"/>
          </w:tcPr>
          <w:p>
            <w:pPr>
              <w:pStyle w:val="63"/>
              <w:rPr>
                <w:color w:val="000000" w:themeColor="text1"/>
                <w:highlight w:val="none"/>
              </w:rPr>
            </w:pPr>
            <w:r>
              <w:rPr>
                <w:color w:val="000000" w:themeColor="text1"/>
                <w:highlight w:val="none"/>
              </w:rPr>
              <w:t>影响程</w:t>
            </w:r>
          </w:p>
          <w:p>
            <w:pPr>
              <w:pStyle w:val="63"/>
              <w:rPr>
                <w:color w:val="000000" w:themeColor="text1"/>
                <w:highlight w:val="none"/>
              </w:rPr>
            </w:pPr>
            <w:r>
              <w:rPr>
                <w:color w:val="000000" w:themeColor="text1"/>
                <w:highlight w:val="none"/>
              </w:rPr>
              <w:t>度分级</w:t>
            </w:r>
          </w:p>
        </w:tc>
        <w:tc>
          <w:tcPr>
            <w:tcW w:w="2159" w:type="dxa"/>
            <w:vAlign w:val="center"/>
          </w:tcPr>
          <w:p>
            <w:pPr>
              <w:pStyle w:val="63"/>
              <w:rPr>
                <w:color w:val="000000" w:themeColor="text1"/>
                <w:highlight w:val="none"/>
              </w:rPr>
            </w:pPr>
            <w:r>
              <w:rPr>
                <w:color w:val="000000" w:themeColor="text1"/>
                <w:highlight w:val="none"/>
              </w:rPr>
              <w:t>地质灾害</w:t>
            </w:r>
          </w:p>
        </w:tc>
        <w:tc>
          <w:tcPr>
            <w:tcW w:w="2737" w:type="dxa"/>
            <w:vAlign w:val="center"/>
          </w:tcPr>
          <w:p>
            <w:pPr>
              <w:pStyle w:val="63"/>
              <w:rPr>
                <w:color w:val="000000" w:themeColor="text1"/>
                <w:highlight w:val="none"/>
              </w:rPr>
            </w:pPr>
            <w:r>
              <w:rPr>
                <w:color w:val="000000" w:themeColor="text1"/>
                <w:highlight w:val="none"/>
              </w:rPr>
              <w:t>含水层</w:t>
            </w:r>
          </w:p>
        </w:tc>
        <w:tc>
          <w:tcPr>
            <w:tcW w:w="1706" w:type="dxa"/>
            <w:vAlign w:val="center"/>
          </w:tcPr>
          <w:p>
            <w:pPr>
              <w:pStyle w:val="63"/>
              <w:rPr>
                <w:color w:val="000000" w:themeColor="text1"/>
                <w:highlight w:val="none"/>
              </w:rPr>
            </w:pPr>
            <w:r>
              <w:rPr>
                <w:color w:val="000000" w:themeColor="text1"/>
                <w:highlight w:val="none"/>
              </w:rPr>
              <w:t>地形地貌景观</w:t>
            </w:r>
          </w:p>
        </w:tc>
        <w:tc>
          <w:tcPr>
            <w:tcW w:w="1417" w:type="dxa"/>
            <w:vAlign w:val="center"/>
          </w:tcPr>
          <w:p>
            <w:pPr>
              <w:pStyle w:val="63"/>
              <w:rPr>
                <w:color w:val="000000" w:themeColor="text1"/>
                <w:highlight w:val="none"/>
              </w:rPr>
            </w:pPr>
            <w:r>
              <w:rPr>
                <w:color w:val="000000" w:themeColor="text1"/>
                <w:highlight w:val="none"/>
              </w:rPr>
              <w:t>土地资源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Align w:val="center"/>
          </w:tcPr>
          <w:p>
            <w:pPr>
              <w:pStyle w:val="63"/>
              <w:rPr>
                <w:color w:val="000000" w:themeColor="text1"/>
                <w:highlight w:val="none"/>
              </w:rPr>
            </w:pPr>
            <w:r>
              <w:rPr>
                <w:color w:val="000000" w:themeColor="text1"/>
                <w:highlight w:val="none"/>
              </w:rPr>
              <w:t>严重</w:t>
            </w:r>
          </w:p>
        </w:tc>
        <w:tc>
          <w:tcPr>
            <w:tcW w:w="2159" w:type="dxa"/>
            <w:vAlign w:val="center"/>
          </w:tcPr>
          <w:p>
            <w:pPr>
              <w:pStyle w:val="63"/>
              <w:ind w:firstLine="420" w:firstLineChars="200"/>
              <w:jc w:val="left"/>
              <w:rPr>
                <w:color w:val="000000" w:themeColor="text1"/>
                <w:highlight w:val="none"/>
              </w:rPr>
            </w:pPr>
            <w:r>
              <w:rPr>
                <w:color w:val="000000" w:themeColor="text1"/>
                <w:highlight w:val="none"/>
              </w:rPr>
              <w:t>地质灾害规模大，发生的可能性大</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影响到城市、乡镇、重要行政村、重要交通干线、重要工程设施及各类保护区安全</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造成或可能造成直接经济损失大于500万元</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受威胁人数大于100人</w:t>
            </w:r>
            <w:r>
              <w:rPr>
                <w:rFonts w:hint="eastAsia"/>
                <w:color w:val="000000" w:themeColor="text1"/>
                <w:highlight w:val="none"/>
              </w:rPr>
              <w:t>；</w:t>
            </w:r>
          </w:p>
        </w:tc>
        <w:tc>
          <w:tcPr>
            <w:tcW w:w="2737" w:type="dxa"/>
            <w:vAlign w:val="center"/>
          </w:tcPr>
          <w:p>
            <w:pPr>
              <w:pStyle w:val="63"/>
              <w:ind w:firstLine="420" w:firstLineChars="200"/>
              <w:jc w:val="left"/>
              <w:rPr>
                <w:color w:val="000000" w:themeColor="text1"/>
                <w:highlight w:val="none"/>
              </w:rPr>
            </w:pPr>
            <w:r>
              <w:rPr>
                <w:color w:val="000000" w:themeColor="text1"/>
                <w:highlight w:val="none"/>
              </w:rPr>
              <w:t>矿床充水主要含水层结构破坏，产生导水通道</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矿井正常涌水量大于10000m</w:t>
            </w:r>
            <w:r>
              <w:rPr>
                <w:color w:val="000000" w:themeColor="text1"/>
                <w:highlight w:val="none"/>
                <w:vertAlign w:val="superscript"/>
              </w:rPr>
              <w:t>3</w:t>
            </w:r>
            <w:r>
              <w:rPr>
                <w:color w:val="000000" w:themeColor="text1"/>
                <w:highlight w:val="none"/>
              </w:rPr>
              <w:t>/d</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区域地下水水位下降</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矿区周围主要含水层（带）水位大幅下降，或呈疏干状态，地表水体漏失严重</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不同含水层（组）串通水质恶化</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影响集中水源地供水，矿区及周围生产、生活供水困难</w:t>
            </w:r>
            <w:r>
              <w:rPr>
                <w:rFonts w:hint="eastAsia"/>
                <w:color w:val="000000" w:themeColor="text1"/>
                <w:highlight w:val="none"/>
              </w:rPr>
              <w:t>；</w:t>
            </w:r>
          </w:p>
        </w:tc>
        <w:tc>
          <w:tcPr>
            <w:tcW w:w="1706" w:type="dxa"/>
            <w:vAlign w:val="center"/>
          </w:tcPr>
          <w:p>
            <w:pPr>
              <w:pStyle w:val="63"/>
              <w:ind w:firstLine="420" w:firstLineChars="200"/>
              <w:jc w:val="left"/>
              <w:rPr>
                <w:b/>
                <w:bCs/>
                <w:color w:val="000000" w:themeColor="text1"/>
                <w:highlight w:val="none"/>
              </w:rPr>
            </w:pPr>
            <w:r>
              <w:rPr>
                <w:b/>
                <w:bCs/>
                <w:color w:val="000000" w:themeColor="text1"/>
                <w:highlight w:val="none"/>
              </w:rPr>
              <w:t>对原生的地形地貌景观影响和破坏程度大</w:t>
            </w:r>
            <w:r>
              <w:rPr>
                <w:rFonts w:hint="eastAsia"/>
                <w:b/>
                <w:bCs/>
                <w:color w:val="000000" w:themeColor="text1"/>
                <w:highlight w:val="none"/>
              </w:rPr>
              <w:t>；</w:t>
            </w:r>
          </w:p>
          <w:p>
            <w:pPr>
              <w:pStyle w:val="63"/>
              <w:ind w:firstLine="420" w:firstLineChars="200"/>
              <w:jc w:val="left"/>
              <w:rPr>
                <w:color w:val="000000" w:themeColor="text1"/>
                <w:highlight w:val="none"/>
              </w:rPr>
            </w:pPr>
            <w:r>
              <w:rPr>
                <w:b/>
                <w:bCs/>
                <w:color w:val="000000" w:themeColor="text1"/>
                <w:highlight w:val="none"/>
              </w:rPr>
              <w:t>对各类自然保护区、人文景观、风景旅游区、城市周围、主要交通干线两侧可视范围内地形地貌景观影响严重</w:t>
            </w:r>
            <w:r>
              <w:rPr>
                <w:rFonts w:hint="eastAsia"/>
                <w:b/>
                <w:bCs/>
                <w:color w:val="000000" w:themeColor="text1"/>
                <w:highlight w:val="none"/>
              </w:rPr>
              <w:t>；</w:t>
            </w:r>
            <w:r>
              <w:rPr>
                <w:rFonts w:hint="eastAsia"/>
                <w:b/>
                <w:bCs/>
                <w:color w:val="000000" w:themeColor="text1"/>
                <w:highlight w:val="none"/>
                <w:lang w:eastAsia="zh-CN"/>
              </w:rPr>
              <w:t>（√）</w:t>
            </w:r>
          </w:p>
        </w:tc>
        <w:tc>
          <w:tcPr>
            <w:tcW w:w="1417" w:type="dxa"/>
            <w:vAlign w:val="center"/>
          </w:tcPr>
          <w:p>
            <w:pPr>
              <w:pStyle w:val="63"/>
              <w:ind w:firstLine="420" w:firstLineChars="200"/>
              <w:jc w:val="left"/>
              <w:rPr>
                <w:b w:val="0"/>
                <w:bCs w:val="0"/>
                <w:color w:val="000000" w:themeColor="text1"/>
                <w:highlight w:val="none"/>
              </w:rPr>
            </w:pPr>
            <w:r>
              <w:rPr>
                <w:b w:val="0"/>
                <w:bCs w:val="0"/>
                <w:color w:val="000000" w:themeColor="text1"/>
                <w:highlight w:val="none"/>
              </w:rPr>
              <w:t>破坏基本农田</w:t>
            </w:r>
            <w:r>
              <w:rPr>
                <w:rFonts w:hint="eastAsia"/>
                <w:b w:val="0"/>
                <w:bCs w:val="0"/>
                <w:color w:val="000000" w:themeColor="text1"/>
                <w:highlight w:val="none"/>
              </w:rPr>
              <w:t>；</w:t>
            </w:r>
          </w:p>
          <w:p>
            <w:pPr>
              <w:pStyle w:val="63"/>
              <w:ind w:firstLine="420" w:firstLineChars="200"/>
              <w:jc w:val="left"/>
              <w:rPr>
                <w:b w:val="0"/>
                <w:bCs w:val="0"/>
                <w:color w:val="000000" w:themeColor="text1"/>
                <w:highlight w:val="none"/>
              </w:rPr>
            </w:pPr>
            <w:r>
              <w:rPr>
                <w:b w:val="0"/>
                <w:bCs w:val="0"/>
                <w:color w:val="000000" w:themeColor="text1"/>
                <w:highlight w:val="none"/>
              </w:rPr>
              <w:t>破坏耕地大于2hm</w:t>
            </w:r>
            <w:r>
              <w:rPr>
                <w:b w:val="0"/>
                <w:bCs w:val="0"/>
                <w:color w:val="000000" w:themeColor="text1"/>
                <w:highlight w:val="none"/>
                <w:vertAlign w:val="superscript"/>
              </w:rPr>
              <w:t>2</w:t>
            </w:r>
            <w:r>
              <w:rPr>
                <w:rFonts w:hint="eastAsia"/>
                <w:b w:val="0"/>
                <w:bCs w:val="0"/>
                <w:color w:val="000000" w:themeColor="text1"/>
                <w:highlight w:val="none"/>
              </w:rPr>
              <w:t>；</w:t>
            </w:r>
          </w:p>
          <w:p>
            <w:pPr>
              <w:pStyle w:val="63"/>
              <w:ind w:firstLine="420" w:firstLineChars="200"/>
              <w:jc w:val="left"/>
              <w:rPr>
                <w:b w:val="0"/>
                <w:bCs w:val="0"/>
                <w:color w:val="000000" w:themeColor="text1"/>
                <w:highlight w:val="none"/>
              </w:rPr>
            </w:pPr>
            <w:r>
              <w:rPr>
                <w:b w:val="0"/>
                <w:bCs w:val="0"/>
                <w:color w:val="000000" w:themeColor="text1"/>
                <w:highlight w:val="none"/>
              </w:rPr>
              <w:t>破坏林地或草地大于4hm</w:t>
            </w:r>
            <w:r>
              <w:rPr>
                <w:b w:val="0"/>
                <w:bCs w:val="0"/>
                <w:color w:val="000000" w:themeColor="text1"/>
                <w:highlight w:val="none"/>
                <w:vertAlign w:val="superscript"/>
              </w:rPr>
              <w:t>2</w:t>
            </w:r>
            <w:r>
              <w:rPr>
                <w:rFonts w:hint="eastAsia"/>
                <w:b w:val="0"/>
                <w:bCs w:val="0"/>
                <w:color w:val="000000" w:themeColor="text1"/>
                <w:highlight w:val="none"/>
              </w:rPr>
              <w:t>；</w:t>
            </w:r>
          </w:p>
          <w:p>
            <w:pPr>
              <w:pStyle w:val="63"/>
              <w:ind w:firstLine="420" w:firstLineChars="200"/>
              <w:jc w:val="left"/>
              <w:rPr>
                <w:rFonts w:hint="eastAsia" w:eastAsia="宋体"/>
                <w:color w:val="000000" w:themeColor="text1"/>
                <w:highlight w:val="none"/>
                <w:lang w:eastAsia="zh-CN"/>
              </w:rPr>
            </w:pPr>
            <w:r>
              <w:rPr>
                <w:b w:val="0"/>
                <w:bCs w:val="0"/>
                <w:color w:val="000000" w:themeColor="text1"/>
                <w:highlight w:val="none"/>
              </w:rPr>
              <w:t>破坏荒地或未开发利用土地大于20hm</w:t>
            </w:r>
            <w:r>
              <w:rPr>
                <w:b w:val="0"/>
                <w:bCs w:val="0"/>
                <w:color w:val="000000" w:themeColor="text1"/>
                <w:highlight w:val="none"/>
                <w:vertAlign w:val="superscript"/>
              </w:rPr>
              <w:t>2</w:t>
            </w:r>
            <w:r>
              <w:rPr>
                <w:rFonts w:hint="eastAsia"/>
                <w:b w:val="0"/>
                <w:bCs w:val="0"/>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Align w:val="center"/>
          </w:tcPr>
          <w:p>
            <w:pPr>
              <w:pStyle w:val="63"/>
              <w:rPr>
                <w:color w:val="000000" w:themeColor="text1"/>
                <w:highlight w:val="none"/>
              </w:rPr>
            </w:pPr>
            <w:r>
              <w:rPr>
                <w:color w:val="000000" w:themeColor="text1"/>
                <w:highlight w:val="none"/>
              </w:rPr>
              <w:t>较严重</w:t>
            </w:r>
          </w:p>
        </w:tc>
        <w:tc>
          <w:tcPr>
            <w:tcW w:w="2159" w:type="dxa"/>
            <w:vAlign w:val="center"/>
          </w:tcPr>
          <w:p>
            <w:pPr>
              <w:pStyle w:val="63"/>
              <w:ind w:firstLine="420" w:firstLineChars="200"/>
              <w:jc w:val="left"/>
              <w:rPr>
                <w:color w:val="000000" w:themeColor="text1"/>
                <w:highlight w:val="none"/>
              </w:rPr>
            </w:pPr>
            <w:r>
              <w:rPr>
                <w:color w:val="000000" w:themeColor="text1"/>
                <w:highlight w:val="none"/>
              </w:rPr>
              <w:t>地质灾害规模中等，发生的可能性较大</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影响到村庄、居民聚居区、一般交通线和较重要工程设施安全</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造成或可能造成直接经济损失100～500万元</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受威胁人数10～100人</w:t>
            </w:r>
            <w:r>
              <w:rPr>
                <w:rFonts w:hint="eastAsia"/>
                <w:color w:val="000000" w:themeColor="text1"/>
                <w:highlight w:val="none"/>
              </w:rPr>
              <w:t>；</w:t>
            </w:r>
          </w:p>
        </w:tc>
        <w:tc>
          <w:tcPr>
            <w:tcW w:w="2737" w:type="dxa"/>
            <w:vAlign w:val="center"/>
          </w:tcPr>
          <w:p>
            <w:pPr>
              <w:pStyle w:val="63"/>
              <w:ind w:firstLine="420" w:firstLineChars="200"/>
              <w:jc w:val="left"/>
              <w:rPr>
                <w:color w:val="000000" w:themeColor="text1"/>
                <w:highlight w:val="none"/>
              </w:rPr>
            </w:pPr>
            <w:r>
              <w:rPr>
                <w:color w:val="000000" w:themeColor="text1"/>
                <w:highlight w:val="none"/>
              </w:rPr>
              <w:t>矿井正常涌水量3000～10000m</w:t>
            </w:r>
            <w:r>
              <w:rPr>
                <w:color w:val="000000" w:themeColor="text1"/>
                <w:highlight w:val="none"/>
                <w:vertAlign w:val="superscript"/>
              </w:rPr>
              <w:t>3</w:t>
            </w:r>
            <w:r>
              <w:rPr>
                <w:color w:val="000000" w:themeColor="text1"/>
                <w:highlight w:val="none"/>
              </w:rPr>
              <w:t>/d</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矿区及周围主要含水层（带）水位下降幅度较大，地下水呈半疏干状态</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矿区及周围地表水体漏失较严重</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影响矿区及周围部分生产生活供水</w:t>
            </w:r>
            <w:r>
              <w:rPr>
                <w:rFonts w:hint="eastAsia"/>
                <w:color w:val="000000" w:themeColor="text1"/>
                <w:highlight w:val="none"/>
              </w:rPr>
              <w:t>；</w:t>
            </w:r>
          </w:p>
        </w:tc>
        <w:tc>
          <w:tcPr>
            <w:tcW w:w="1706" w:type="dxa"/>
            <w:vAlign w:val="center"/>
          </w:tcPr>
          <w:p>
            <w:pPr>
              <w:pStyle w:val="63"/>
              <w:ind w:firstLine="420" w:firstLineChars="200"/>
              <w:jc w:val="left"/>
              <w:rPr>
                <w:color w:val="000000" w:themeColor="text1"/>
                <w:highlight w:val="none"/>
              </w:rPr>
            </w:pPr>
            <w:r>
              <w:rPr>
                <w:color w:val="000000" w:themeColor="text1"/>
                <w:highlight w:val="none"/>
              </w:rPr>
              <w:t>对原生的地形地貌景观影响和破坏程度较大</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对各类自然保护区、人文景观、风景旅游区、城市周围、主要交通干线两侧可视范围内地形地貌景观影响较重</w:t>
            </w:r>
            <w:r>
              <w:rPr>
                <w:rFonts w:hint="eastAsia"/>
                <w:color w:val="000000" w:themeColor="text1"/>
                <w:highlight w:val="none"/>
              </w:rPr>
              <w:t>；</w:t>
            </w:r>
          </w:p>
        </w:tc>
        <w:tc>
          <w:tcPr>
            <w:tcW w:w="1417" w:type="dxa"/>
            <w:vAlign w:val="center"/>
          </w:tcPr>
          <w:p>
            <w:pPr>
              <w:pStyle w:val="63"/>
              <w:ind w:firstLine="420" w:firstLineChars="200"/>
              <w:jc w:val="left"/>
              <w:rPr>
                <w:b/>
                <w:bCs/>
                <w:color w:val="000000" w:themeColor="text1"/>
                <w:highlight w:val="none"/>
              </w:rPr>
            </w:pPr>
            <w:r>
              <w:rPr>
                <w:b/>
                <w:bCs/>
                <w:color w:val="000000" w:themeColor="text1"/>
                <w:highlight w:val="none"/>
              </w:rPr>
              <w:t>破坏耕地小于等于2hm</w:t>
            </w:r>
            <w:r>
              <w:rPr>
                <w:b/>
                <w:bCs/>
                <w:color w:val="000000" w:themeColor="text1"/>
                <w:highlight w:val="none"/>
                <w:vertAlign w:val="superscript"/>
              </w:rPr>
              <w:t>2</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破坏林地或草地2—4hm</w:t>
            </w:r>
            <w:r>
              <w:rPr>
                <w:b/>
                <w:bCs/>
                <w:color w:val="000000" w:themeColor="text1"/>
                <w:highlight w:val="none"/>
                <w:vertAlign w:val="superscript"/>
              </w:rPr>
              <w:t>2</w:t>
            </w:r>
            <w:r>
              <w:rPr>
                <w:rFonts w:hint="eastAsia"/>
                <w:b/>
                <w:bCs/>
                <w:color w:val="000000" w:themeColor="text1"/>
                <w:highlight w:val="none"/>
              </w:rPr>
              <w:t>；</w:t>
            </w:r>
          </w:p>
          <w:p>
            <w:pPr>
              <w:pStyle w:val="63"/>
              <w:ind w:firstLine="420" w:firstLineChars="200"/>
              <w:jc w:val="left"/>
              <w:rPr>
                <w:color w:val="000000" w:themeColor="text1"/>
                <w:highlight w:val="none"/>
              </w:rPr>
            </w:pPr>
            <w:r>
              <w:rPr>
                <w:b/>
                <w:bCs/>
                <w:color w:val="000000" w:themeColor="text1"/>
                <w:highlight w:val="none"/>
              </w:rPr>
              <w:t>破坏荒山或未开发利用土地10-20hm</w:t>
            </w:r>
            <w:r>
              <w:rPr>
                <w:b/>
                <w:bCs/>
                <w:color w:val="000000" w:themeColor="text1"/>
                <w:highlight w:val="none"/>
                <w:vertAlign w:val="superscript"/>
              </w:rPr>
              <w:t>2</w:t>
            </w:r>
            <w:r>
              <w:rPr>
                <w:rFonts w:hint="eastAsia"/>
                <w:b/>
                <w:bCs/>
                <w:color w:val="000000" w:themeColor="text1"/>
                <w:highlight w:val="none"/>
              </w:rPr>
              <w:t>；</w:t>
            </w:r>
            <w:r>
              <w:rPr>
                <w:rFonts w:hint="eastAsia"/>
                <w:b/>
                <w:bCs/>
                <w:color w:val="000000" w:themeColor="text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dxa"/>
            <w:vAlign w:val="center"/>
          </w:tcPr>
          <w:p>
            <w:pPr>
              <w:pStyle w:val="63"/>
              <w:rPr>
                <w:color w:val="000000" w:themeColor="text1"/>
                <w:highlight w:val="none"/>
              </w:rPr>
            </w:pPr>
            <w:r>
              <w:rPr>
                <w:color w:val="000000" w:themeColor="text1"/>
                <w:highlight w:val="none"/>
              </w:rPr>
              <w:t>较轻</w:t>
            </w:r>
          </w:p>
        </w:tc>
        <w:tc>
          <w:tcPr>
            <w:tcW w:w="2159" w:type="dxa"/>
            <w:vAlign w:val="center"/>
          </w:tcPr>
          <w:p>
            <w:pPr>
              <w:pStyle w:val="63"/>
              <w:ind w:firstLine="420" w:firstLineChars="200"/>
              <w:jc w:val="left"/>
              <w:rPr>
                <w:b/>
                <w:bCs/>
                <w:color w:val="000000" w:themeColor="text1"/>
                <w:highlight w:val="none"/>
              </w:rPr>
            </w:pPr>
            <w:r>
              <w:rPr>
                <w:b/>
                <w:bCs/>
                <w:color w:val="000000" w:themeColor="text1"/>
                <w:highlight w:val="none"/>
              </w:rPr>
              <w:t>地质灾害规模小，发生的可能性小</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影响到分散性居民、一般性小规模建筑及设施</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造成或可能造成直接经济损失小于100万元</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受威胁人数小于10人</w:t>
            </w:r>
            <w:r>
              <w:rPr>
                <w:rFonts w:hint="eastAsia"/>
                <w:b/>
                <w:bCs/>
                <w:color w:val="000000" w:themeColor="text1"/>
                <w:highlight w:val="none"/>
              </w:rPr>
              <w:t>；</w:t>
            </w:r>
            <w:r>
              <w:rPr>
                <w:rFonts w:hint="eastAsia"/>
                <w:b/>
                <w:bCs/>
                <w:color w:val="000000" w:themeColor="text1"/>
                <w:highlight w:val="none"/>
                <w:lang w:eastAsia="zh-CN"/>
              </w:rPr>
              <w:t>（√）</w:t>
            </w:r>
          </w:p>
        </w:tc>
        <w:tc>
          <w:tcPr>
            <w:tcW w:w="2737" w:type="dxa"/>
            <w:vAlign w:val="center"/>
          </w:tcPr>
          <w:p>
            <w:pPr>
              <w:pStyle w:val="63"/>
              <w:ind w:firstLine="420" w:firstLineChars="200"/>
              <w:jc w:val="left"/>
              <w:rPr>
                <w:b/>
                <w:bCs/>
                <w:color w:val="000000" w:themeColor="text1"/>
                <w:highlight w:val="none"/>
              </w:rPr>
            </w:pPr>
            <w:r>
              <w:rPr>
                <w:b/>
                <w:bCs/>
                <w:color w:val="000000" w:themeColor="text1"/>
                <w:highlight w:val="none"/>
              </w:rPr>
              <w:t>矿井正常涌水量小于3000m</w:t>
            </w:r>
            <w:r>
              <w:rPr>
                <w:b/>
                <w:bCs/>
                <w:color w:val="000000" w:themeColor="text1"/>
                <w:highlight w:val="none"/>
                <w:vertAlign w:val="superscript"/>
              </w:rPr>
              <w:t>3</w:t>
            </w:r>
            <w:r>
              <w:rPr>
                <w:b/>
                <w:bCs/>
                <w:color w:val="000000" w:themeColor="text1"/>
                <w:highlight w:val="none"/>
              </w:rPr>
              <w:t>/d</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矿区及周围主要含水层水位下降幅度小</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矿区及周围地表水体未漏失</w:t>
            </w:r>
            <w:r>
              <w:rPr>
                <w:rFonts w:hint="eastAsia"/>
                <w:b/>
                <w:bCs/>
                <w:color w:val="000000" w:themeColor="text1"/>
                <w:highlight w:val="none"/>
              </w:rPr>
              <w:t>；</w:t>
            </w:r>
          </w:p>
          <w:p>
            <w:pPr>
              <w:pStyle w:val="63"/>
              <w:ind w:firstLine="420" w:firstLineChars="200"/>
              <w:jc w:val="left"/>
              <w:rPr>
                <w:b/>
                <w:bCs/>
                <w:color w:val="000000" w:themeColor="text1"/>
                <w:highlight w:val="none"/>
              </w:rPr>
            </w:pPr>
            <w:r>
              <w:rPr>
                <w:b/>
                <w:bCs/>
                <w:color w:val="000000" w:themeColor="text1"/>
                <w:highlight w:val="none"/>
              </w:rPr>
              <w:t>未影响到矿区及周围生产生活供水</w:t>
            </w:r>
            <w:r>
              <w:rPr>
                <w:rFonts w:hint="eastAsia"/>
                <w:b/>
                <w:bCs/>
                <w:color w:val="000000" w:themeColor="text1"/>
                <w:highlight w:val="none"/>
              </w:rPr>
              <w:t>；</w:t>
            </w:r>
            <w:r>
              <w:rPr>
                <w:rFonts w:hint="eastAsia"/>
                <w:b/>
                <w:bCs/>
                <w:color w:val="000000" w:themeColor="text1"/>
                <w:highlight w:val="none"/>
                <w:lang w:eastAsia="zh-CN"/>
              </w:rPr>
              <w:t>（√）</w:t>
            </w:r>
          </w:p>
        </w:tc>
        <w:tc>
          <w:tcPr>
            <w:tcW w:w="1706" w:type="dxa"/>
            <w:vAlign w:val="center"/>
          </w:tcPr>
          <w:p>
            <w:pPr>
              <w:pStyle w:val="63"/>
              <w:ind w:firstLine="420" w:firstLineChars="200"/>
              <w:jc w:val="left"/>
              <w:rPr>
                <w:color w:val="000000" w:themeColor="text1"/>
                <w:highlight w:val="none"/>
              </w:rPr>
            </w:pPr>
            <w:r>
              <w:rPr>
                <w:color w:val="000000" w:themeColor="text1"/>
                <w:highlight w:val="none"/>
              </w:rPr>
              <w:t>对原生的地形地貌景观影响和破坏程度小</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对各类自然保护区、人文景观、风景旅游区、城市周围、主要交通干线两侧可视范围内地形地貌景观影响较轻</w:t>
            </w:r>
            <w:r>
              <w:rPr>
                <w:rFonts w:hint="eastAsia"/>
                <w:color w:val="000000" w:themeColor="text1"/>
                <w:highlight w:val="none"/>
              </w:rPr>
              <w:t>；</w:t>
            </w:r>
          </w:p>
        </w:tc>
        <w:tc>
          <w:tcPr>
            <w:tcW w:w="1417" w:type="dxa"/>
            <w:vAlign w:val="center"/>
          </w:tcPr>
          <w:p>
            <w:pPr>
              <w:pStyle w:val="63"/>
              <w:ind w:firstLine="420" w:firstLineChars="200"/>
              <w:jc w:val="left"/>
              <w:rPr>
                <w:color w:val="000000" w:themeColor="text1"/>
                <w:highlight w:val="none"/>
              </w:rPr>
            </w:pPr>
            <w:r>
              <w:rPr>
                <w:color w:val="000000" w:themeColor="text1"/>
                <w:highlight w:val="none"/>
              </w:rPr>
              <w:t>破坏林地或草地小于等于2hm</w:t>
            </w:r>
            <w:r>
              <w:rPr>
                <w:color w:val="000000" w:themeColor="text1"/>
                <w:highlight w:val="none"/>
                <w:vertAlign w:val="superscript"/>
              </w:rPr>
              <w:t>2</w:t>
            </w:r>
            <w:r>
              <w:rPr>
                <w:rFonts w:hint="eastAsia"/>
                <w:color w:val="000000" w:themeColor="text1"/>
                <w:highlight w:val="none"/>
              </w:rPr>
              <w:t>；</w:t>
            </w:r>
          </w:p>
          <w:p>
            <w:pPr>
              <w:pStyle w:val="63"/>
              <w:ind w:firstLine="420" w:firstLineChars="200"/>
              <w:jc w:val="left"/>
              <w:rPr>
                <w:color w:val="000000" w:themeColor="text1"/>
                <w:highlight w:val="none"/>
              </w:rPr>
            </w:pPr>
            <w:r>
              <w:rPr>
                <w:color w:val="000000" w:themeColor="text1"/>
                <w:highlight w:val="none"/>
              </w:rPr>
              <w:t>破坏荒山或未开发利用土地小于等于10hm</w:t>
            </w:r>
            <w:r>
              <w:rPr>
                <w:color w:val="000000" w:themeColor="text1"/>
                <w:highlight w:val="none"/>
                <w:vertAlign w:val="superscript"/>
              </w:rPr>
              <w:t>2</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89" w:type="dxa"/>
            <w:gridSpan w:val="5"/>
            <w:tcBorders>
              <w:left w:val="single" w:color="FFFFFF" w:sz="4" w:space="0"/>
              <w:bottom w:val="single" w:color="FFFFFF" w:sz="4" w:space="0"/>
              <w:right w:val="single" w:color="FFFFFF" w:sz="4" w:space="0"/>
            </w:tcBorders>
            <w:vAlign w:val="center"/>
          </w:tcPr>
          <w:p>
            <w:pPr>
              <w:pStyle w:val="9"/>
              <w:rPr>
                <w:color w:val="000000" w:themeColor="text1"/>
                <w:highlight w:val="none"/>
              </w:rPr>
            </w:pPr>
            <w:r>
              <w:rPr>
                <w:color w:val="000000" w:themeColor="text1"/>
                <w:highlight w:val="none"/>
              </w:rPr>
              <w:t>注：分级确定采取上一级别优先原则，只要有一项要素符合某一级别，就定为该级别。</w:t>
            </w:r>
          </w:p>
        </w:tc>
      </w:tr>
    </w:tbl>
    <w:p>
      <w:pPr>
        <w:rPr>
          <w:color w:val="000000" w:themeColor="text1"/>
          <w:highlight w:val="none"/>
        </w:rPr>
      </w:pPr>
      <w:r>
        <w:rPr>
          <w:color w:val="000000" w:themeColor="text1"/>
          <w:highlight w:val="none"/>
        </w:rPr>
        <w:t>本次矿山地质环境影响现状评估内容包括：</w:t>
      </w:r>
    </w:p>
    <w:p>
      <w:pPr>
        <w:rPr>
          <w:color w:val="000000" w:themeColor="text1"/>
          <w:highlight w:val="none"/>
        </w:rPr>
      </w:pPr>
      <w:r>
        <w:rPr>
          <w:color w:val="000000" w:themeColor="text1"/>
          <w:highlight w:val="none"/>
        </w:rPr>
        <w:t>1）评估区地质灾害现状；</w:t>
      </w:r>
    </w:p>
    <w:p>
      <w:pPr>
        <w:rPr>
          <w:color w:val="000000" w:themeColor="text1"/>
          <w:highlight w:val="none"/>
        </w:rPr>
      </w:pPr>
      <w:r>
        <w:rPr>
          <w:color w:val="000000" w:themeColor="text1"/>
          <w:highlight w:val="none"/>
        </w:rPr>
        <w:t>2）评估区含水层破坏现状；</w:t>
      </w:r>
    </w:p>
    <w:p>
      <w:pPr>
        <w:rPr>
          <w:color w:val="000000" w:themeColor="text1"/>
          <w:highlight w:val="none"/>
        </w:rPr>
      </w:pPr>
      <w:r>
        <w:rPr>
          <w:color w:val="000000" w:themeColor="text1"/>
          <w:highlight w:val="none"/>
        </w:rPr>
        <w:t>3）评估区地形地貌景观破坏现状；</w:t>
      </w:r>
    </w:p>
    <w:p>
      <w:pPr>
        <w:rPr>
          <w:color w:val="000000" w:themeColor="text1"/>
          <w:highlight w:val="none"/>
        </w:rPr>
      </w:pPr>
      <w:r>
        <w:rPr>
          <w:color w:val="000000" w:themeColor="text1"/>
          <w:highlight w:val="none"/>
        </w:rPr>
        <w:t>4）评估区水土环境污染现状。</w:t>
      </w:r>
    </w:p>
    <w:p>
      <w:pPr>
        <w:rPr>
          <w:color w:val="000000" w:themeColor="text1"/>
          <w:highlight w:val="none"/>
        </w:rPr>
      </w:pPr>
      <w:r>
        <w:rPr>
          <w:bCs/>
          <w:color w:val="000000" w:themeColor="text1"/>
          <w:highlight w:val="none"/>
        </w:rPr>
        <w:t>（2）</w:t>
      </w:r>
      <w:r>
        <w:rPr>
          <w:color w:val="000000" w:themeColor="text1"/>
          <w:highlight w:val="none"/>
        </w:rPr>
        <w:t>预测评估</w:t>
      </w:r>
    </w:p>
    <w:p>
      <w:pPr>
        <w:rPr>
          <w:color w:val="000000" w:themeColor="text1"/>
          <w:highlight w:val="none"/>
        </w:rPr>
      </w:pPr>
      <w:r>
        <w:rPr>
          <w:color w:val="000000" w:themeColor="text1"/>
          <w:highlight w:val="none"/>
        </w:rPr>
        <w:t>在现状评估的基础上，根据矿山类型和矿山开发利用方案确定的开采范围、深度、规模和废石的处置方式等，结合评估区地质环境条件，预测矿业活动可能产生、加剧的地质环境问题，进行矿山地质环境影响预测评估。矿山地质环境影响预测评估内容包括：</w:t>
      </w:r>
    </w:p>
    <w:p>
      <w:pPr>
        <w:rPr>
          <w:color w:val="000000" w:themeColor="text1"/>
          <w:highlight w:val="none"/>
        </w:rPr>
      </w:pPr>
      <w:r>
        <w:rPr>
          <w:color w:val="000000" w:themeColor="text1"/>
          <w:highlight w:val="none"/>
        </w:rPr>
        <w:t>1）地质灾害危险性预测评估；</w:t>
      </w:r>
    </w:p>
    <w:p>
      <w:pPr>
        <w:rPr>
          <w:color w:val="000000" w:themeColor="text1"/>
          <w:highlight w:val="none"/>
        </w:rPr>
      </w:pPr>
      <w:r>
        <w:rPr>
          <w:color w:val="000000" w:themeColor="text1"/>
          <w:highlight w:val="none"/>
        </w:rPr>
        <w:t>2）矿业活动导致地下含水层的影响或破坏程度预测评估；</w:t>
      </w:r>
    </w:p>
    <w:p>
      <w:pPr>
        <w:rPr>
          <w:color w:val="000000" w:themeColor="text1"/>
          <w:highlight w:val="none"/>
        </w:rPr>
      </w:pPr>
      <w:r>
        <w:rPr>
          <w:color w:val="000000" w:themeColor="text1"/>
          <w:highlight w:val="none"/>
        </w:rPr>
        <w:t>3）矿业活动导致地形地貌景观等的影响和破坏程度预测评估和矿业活动对土地资源的影响或破坏的类型、规模和程度预测评估；</w:t>
      </w:r>
    </w:p>
    <w:p>
      <w:pPr>
        <w:rPr>
          <w:color w:val="000000" w:themeColor="text1"/>
          <w:highlight w:val="none"/>
        </w:rPr>
      </w:pPr>
      <w:r>
        <w:rPr>
          <w:color w:val="000000" w:themeColor="text1"/>
          <w:highlight w:val="none"/>
        </w:rPr>
        <w:t>4）矿区水土环境污染预测评估。</w:t>
      </w:r>
    </w:p>
    <w:p>
      <w:pPr>
        <w:rPr>
          <w:color w:val="000000" w:themeColor="text1"/>
          <w:highlight w:val="none"/>
        </w:rPr>
      </w:pPr>
      <w:r>
        <w:rPr>
          <w:color w:val="000000" w:themeColor="text1"/>
          <w:highlight w:val="none"/>
        </w:rPr>
        <w:t>（3）评估分区</w:t>
      </w:r>
    </w:p>
    <w:p>
      <w:pPr>
        <w:rPr>
          <w:color w:val="000000" w:themeColor="text1"/>
          <w:highlight w:val="none"/>
        </w:rPr>
      </w:pPr>
      <w:r>
        <w:rPr>
          <w:color w:val="000000" w:themeColor="text1"/>
          <w:highlight w:val="none"/>
        </w:rPr>
        <w:t>根据评估区范围、现状条件与预测条件下各评估单元的区别，将评估区内各评估单元划分为</w:t>
      </w:r>
      <w:r>
        <w:rPr>
          <w:rFonts w:hint="eastAsia"/>
          <w:color w:val="000000" w:themeColor="text1"/>
          <w:highlight w:val="none"/>
        </w:rPr>
        <w:t>3</w:t>
      </w:r>
      <w:r>
        <w:rPr>
          <w:color w:val="000000" w:themeColor="text1"/>
          <w:highlight w:val="none"/>
        </w:rPr>
        <w:t>个评估分区：</w:t>
      </w:r>
      <w:r>
        <w:rPr>
          <w:rFonts w:hint="eastAsia"/>
          <w:color w:val="000000" w:themeColor="text1"/>
          <w:highlight w:val="none"/>
        </w:rPr>
        <w:t>露天采场</w:t>
      </w:r>
      <w:r>
        <w:rPr>
          <w:color w:val="000000" w:themeColor="text1"/>
          <w:highlight w:val="none"/>
        </w:rPr>
        <w:t>、</w:t>
      </w:r>
      <w:r>
        <w:rPr>
          <w:rFonts w:hint="eastAsia"/>
          <w:color w:val="000000" w:themeColor="text1"/>
          <w:highlight w:val="none"/>
          <w:lang w:eastAsia="zh-CN"/>
        </w:rPr>
        <w:t>矿山公路</w:t>
      </w:r>
      <w:r>
        <w:rPr>
          <w:color w:val="000000" w:themeColor="text1"/>
          <w:highlight w:val="none"/>
        </w:rPr>
        <w:t>及评估区其他区域。</w:t>
      </w:r>
    </w:p>
    <w:p>
      <w:pPr>
        <w:pStyle w:val="5"/>
        <w:spacing w:before="82" w:after="82"/>
        <w:rPr>
          <w:color w:val="000000" w:themeColor="text1"/>
          <w:highlight w:val="none"/>
        </w:rPr>
      </w:pPr>
      <w:bookmarkStart w:id="125" w:name="_Toc1789"/>
      <w:bookmarkStart w:id="126" w:name="_Toc2211"/>
      <w:r>
        <w:rPr>
          <w:color w:val="000000" w:themeColor="text1"/>
          <w:highlight w:val="none"/>
        </w:rPr>
        <w:t>3.2.2矿山地质灾害现状分析与预测</w:t>
      </w:r>
      <w:bookmarkEnd w:id="125"/>
      <w:bookmarkEnd w:id="126"/>
    </w:p>
    <w:p>
      <w:pPr>
        <w:rPr>
          <w:color w:val="000000" w:themeColor="text1"/>
          <w:highlight w:val="none"/>
        </w:rPr>
      </w:pPr>
      <w:r>
        <w:rPr>
          <w:color w:val="000000" w:themeColor="text1"/>
          <w:highlight w:val="none"/>
        </w:rPr>
        <w:t>1、评估区内地质灾害类型</w:t>
      </w:r>
    </w:p>
    <w:p>
      <w:pPr>
        <w:rPr>
          <w:color w:val="000000" w:themeColor="text1"/>
          <w:highlight w:val="none"/>
        </w:rPr>
      </w:pPr>
      <w:r>
        <w:rPr>
          <w:color w:val="000000" w:themeColor="text1"/>
          <w:highlight w:val="none"/>
        </w:rPr>
        <w:t>根据国土资发〔2004〕69号《国土资源部关于加强地质灾害危险性评估工作的通知》的附件1：地质灾害危险性评估技术要求（试行）中规定，地质灾害危险评估的灾种主要包括：崩塌、滑坡、泥（渣）石流、地面塌陷、地裂缝和地面沉降等，根据矿山实际情况，本矿山对崩塌、滑坡、泥（渣）石流进行评估。</w:t>
      </w:r>
    </w:p>
    <w:p>
      <w:pPr>
        <w:rPr>
          <w:color w:val="000000" w:themeColor="text1"/>
          <w:highlight w:val="none"/>
        </w:rPr>
      </w:pPr>
      <w:r>
        <w:rPr>
          <w:color w:val="000000" w:themeColor="text1"/>
          <w:highlight w:val="none"/>
        </w:rPr>
        <w:t>2、矿山地质灾害现状</w:t>
      </w:r>
    </w:p>
    <w:p>
      <w:pPr>
        <w:rPr>
          <w:rFonts w:hint="eastAsia"/>
          <w:color w:val="000000" w:themeColor="text1"/>
          <w:highlight w:val="none"/>
          <w:lang w:val="en-US" w:eastAsia="zh-CN"/>
        </w:rPr>
      </w:pPr>
      <w:r>
        <w:rPr>
          <w:rFonts w:hint="eastAsia"/>
          <w:color w:val="000000" w:themeColor="text1"/>
          <w:highlight w:val="none"/>
          <w:lang w:val="en-US" w:eastAsia="zh-CN"/>
        </w:rPr>
        <w:t>A露天采场及矿山公路</w:t>
      </w:r>
    </w:p>
    <w:p>
      <w:pPr>
        <w:rPr>
          <w:rFonts w:hint="eastAsia"/>
          <w:color w:val="000000" w:themeColor="text1"/>
          <w:highlight w:val="none"/>
        </w:rPr>
      </w:pPr>
      <w:r>
        <w:rPr>
          <w:rFonts w:hint="eastAsia"/>
          <w:color w:val="000000" w:themeColor="text1"/>
          <w:highlight w:val="none"/>
          <w:lang w:eastAsia="zh-CN"/>
        </w:rPr>
        <w:t>（</w:t>
      </w:r>
      <w:r>
        <w:rPr>
          <w:rFonts w:hint="eastAsia"/>
          <w:color w:val="000000" w:themeColor="text1"/>
          <w:highlight w:val="none"/>
          <w:lang w:val="en-US" w:eastAsia="zh-CN"/>
        </w:rPr>
        <w:t>1</w:t>
      </w:r>
      <w:r>
        <w:rPr>
          <w:rFonts w:hint="eastAsia"/>
          <w:color w:val="000000" w:themeColor="text1"/>
          <w:highlight w:val="none"/>
          <w:lang w:eastAsia="zh-CN"/>
        </w:rPr>
        <w:t>）</w:t>
      </w:r>
      <w:r>
        <w:rPr>
          <w:rFonts w:hint="eastAsia"/>
          <w:color w:val="000000" w:themeColor="text1"/>
          <w:highlight w:val="none"/>
        </w:rPr>
        <w:t>崩塌：仅采场东部边坡由于开采时爆破作业，对围岩及矿体结构完整性形成了较大的破坏，现场调查时发现围岩及矿体裂隙发育，边坡中上部存在不稳定块石，存在崩塌的可能性，但目前已经停采，只要做好安全管理和边坡管理，做好安全警示标志防治人畜误入，是可以避免安全事故发生的。</w:t>
      </w:r>
    </w:p>
    <w:p>
      <w:pPr>
        <w:rPr>
          <w:rFonts w:hint="eastAsia"/>
          <w:color w:val="000000" w:themeColor="text1"/>
          <w:highlight w:val="none"/>
        </w:rPr>
      </w:pPr>
      <w:r>
        <w:rPr>
          <w:rFonts w:hint="eastAsia"/>
          <w:color w:val="000000" w:themeColor="text1"/>
          <w:highlight w:val="none"/>
          <w:lang w:eastAsia="zh-CN"/>
        </w:rPr>
        <w:t>（</w:t>
      </w:r>
      <w:r>
        <w:rPr>
          <w:rFonts w:hint="eastAsia"/>
          <w:color w:val="000000" w:themeColor="text1"/>
          <w:highlight w:val="none"/>
          <w:lang w:val="en-US" w:eastAsia="zh-CN"/>
        </w:rPr>
        <w:t>2</w:t>
      </w:r>
      <w:r>
        <w:rPr>
          <w:rFonts w:hint="eastAsia"/>
          <w:color w:val="000000" w:themeColor="text1"/>
          <w:highlight w:val="none"/>
          <w:lang w:eastAsia="zh-CN"/>
        </w:rPr>
        <w:t>）</w:t>
      </w:r>
      <w:r>
        <w:rPr>
          <w:rFonts w:hint="eastAsia"/>
          <w:color w:val="000000" w:themeColor="text1"/>
          <w:highlight w:val="none"/>
        </w:rPr>
        <w:t>滑坡；矿区内岩体为中~厚层状石灰岩层，岩层倾向与采场坡面大角</w:t>
      </w:r>
    </w:p>
    <w:p>
      <w:pPr>
        <w:rPr>
          <w:color w:val="000000" w:themeColor="text1"/>
          <w:highlight w:val="none"/>
        </w:rPr>
      </w:pPr>
      <w:r>
        <w:rPr>
          <w:rFonts w:hint="eastAsia"/>
          <w:color w:val="000000" w:themeColor="text1"/>
          <w:highlight w:val="none"/>
        </w:rPr>
        <w:t>度斜交且岩层中没有可以产生滑坡的软弱结构面，不具备产生滑坡的地质环境条件</w:t>
      </w:r>
      <w:r>
        <w:rPr>
          <w:color w:val="000000" w:themeColor="text1"/>
          <w:highlight w:val="none"/>
        </w:rPr>
        <w:t>。</w:t>
      </w:r>
    </w:p>
    <w:p>
      <w:pPr>
        <w:rPr>
          <w:rFonts w:hint="eastAsia" w:eastAsia="宋体"/>
          <w:color w:val="000000" w:themeColor="text1"/>
          <w:highlight w:val="none"/>
          <w:lang w:eastAsia="zh-CN"/>
        </w:rPr>
      </w:pPr>
      <w:r>
        <w:rPr>
          <w:rFonts w:hint="eastAsia"/>
          <w:color w:val="000000" w:themeColor="text1"/>
          <w:highlight w:val="none"/>
          <w:lang w:eastAsia="zh-CN"/>
        </w:rPr>
        <w:t>（</w:t>
      </w:r>
      <w:r>
        <w:rPr>
          <w:rFonts w:hint="eastAsia"/>
          <w:color w:val="000000" w:themeColor="text1"/>
          <w:highlight w:val="none"/>
          <w:lang w:val="en-US" w:eastAsia="zh-CN"/>
        </w:rPr>
        <w:t>3</w:t>
      </w:r>
      <w:r>
        <w:rPr>
          <w:rFonts w:hint="eastAsia"/>
          <w:color w:val="000000" w:themeColor="text1"/>
          <w:highlight w:val="none"/>
          <w:lang w:eastAsia="zh-CN"/>
        </w:rPr>
        <w:t>）泥石流：矿山建矿至今只进行了小规模开采，采场底部及周边未形成泥石流物流区，不会形成泥石流。</w:t>
      </w:r>
    </w:p>
    <w:p>
      <w:pPr>
        <w:rPr>
          <w:rFonts w:hint="eastAsia" w:eastAsia="宋体"/>
          <w:color w:val="000000" w:themeColor="text1"/>
          <w:highlight w:val="none"/>
          <w:lang w:eastAsia="zh-CN"/>
        </w:rPr>
      </w:pPr>
      <w:r>
        <w:rPr>
          <w:rFonts w:hint="eastAsia"/>
          <w:color w:val="000000" w:themeColor="text1"/>
          <w:highlight w:val="none"/>
          <w:lang w:eastAsia="zh-CN"/>
        </w:rPr>
        <w:t>现状条件下矿区发生崩塌、滑坡、泥石流等地质灾害的可能性较小，可能造成的危险较小，矿区受地质灾害影响较轻</w:t>
      </w:r>
    </w:p>
    <w:p>
      <w:pPr>
        <w:rPr>
          <w:color w:val="000000" w:themeColor="text1"/>
          <w:highlight w:val="none"/>
        </w:rPr>
      </w:pPr>
      <w:r>
        <w:rPr>
          <w:rFonts w:hint="eastAsia"/>
          <w:color w:val="000000" w:themeColor="text1"/>
          <w:highlight w:val="none"/>
          <w:lang w:val="en-US" w:eastAsia="zh-CN"/>
        </w:rPr>
        <w:t>B、</w:t>
      </w:r>
      <w:r>
        <w:rPr>
          <w:color w:val="000000" w:themeColor="text1"/>
          <w:highlight w:val="none"/>
        </w:rPr>
        <w:t>其余区域</w:t>
      </w:r>
    </w:p>
    <w:p>
      <w:pPr>
        <w:rPr>
          <w:color w:val="000000" w:themeColor="text1"/>
          <w:highlight w:val="none"/>
        </w:rPr>
      </w:pPr>
      <w:r>
        <w:rPr>
          <w:color w:val="000000" w:themeColor="text1"/>
          <w:highlight w:val="none"/>
        </w:rPr>
        <w:t>评估区其余区域基本不受采矿活动的影响，地质灾害发育程度弱、危害程度小、危险性小，影响程度较轻。</w:t>
      </w:r>
    </w:p>
    <w:p>
      <w:pPr>
        <w:rPr>
          <w:color w:val="000000" w:themeColor="text1"/>
          <w:highlight w:val="none"/>
        </w:rPr>
      </w:pPr>
      <w:r>
        <w:rPr>
          <w:color w:val="000000" w:themeColor="text1"/>
          <w:highlight w:val="none"/>
        </w:rPr>
        <w:t>3、矿山地质灾害预测</w:t>
      </w:r>
    </w:p>
    <w:p>
      <w:pPr>
        <w:rPr>
          <w:color w:val="000000" w:themeColor="text1"/>
          <w:highlight w:val="none"/>
        </w:rPr>
      </w:pPr>
      <w:r>
        <w:rPr>
          <w:color w:val="000000" w:themeColor="text1"/>
          <w:highlight w:val="none"/>
        </w:rPr>
        <w:t>评估区矿山开采活动可能引发崩塌、滑坡、泥石流、等地质灾害的发生</w:t>
      </w:r>
      <w:r>
        <w:rPr>
          <w:rFonts w:hint="eastAsia"/>
          <w:color w:val="000000" w:themeColor="text1"/>
          <w:highlight w:val="none"/>
        </w:rPr>
        <w:t>。</w:t>
      </w:r>
    </w:p>
    <w:p>
      <w:pPr>
        <w:rPr>
          <w:color w:val="000000" w:themeColor="text1"/>
          <w:highlight w:val="none"/>
        </w:rPr>
      </w:pPr>
      <w:r>
        <w:rPr>
          <w:rFonts w:hint="eastAsia"/>
          <w:color w:val="000000" w:themeColor="text1"/>
          <w:highlight w:val="none"/>
        </w:rPr>
        <w:t>a、</w:t>
      </w:r>
      <w:r>
        <w:rPr>
          <w:color w:val="000000" w:themeColor="text1"/>
          <w:highlight w:val="none"/>
        </w:rPr>
        <w:t>露天采场</w:t>
      </w:r>
    </w:p>
    <w:p>
      <w:pPr>
        <w:rPr>
          <w:color w:val="000000" w:themeColor="text1"/>
          <w:highlight w:val="none"/>
        </w:rPr>
      </w:pPr>
      <w:r>
        <w:rPr>
          <w:rFonts w:hint="eastAsia" w:ascii="宋体" w:hAnsi="宋体" w:cs="宋体"/>
          <w:color w:val="000000" w:themeColor="text1"/>
          <w:highlight w:val="none"/>
        </w:rPr>
        <w:t>（1）</w:t>
      </w:r>
      <w:r>
        <w:rPr>
          <w:color w:val="000000" w:themeColor="text1"/>
          <w:highlight w:val="none"/>
        </w:rPr>
        <w:t>露天采场边坡失稳引发或加剧崩塌、滑坡地质危害</w:t>
      </w:r>
    </w:p>
    <w:p>
      <w:pPr>
        <w:rPr>
          <w:color w:val="000000" w:themeColor="text1"/>
          <w:highlight w:val="none"/>
        </w:rPr>
      </w:pPr>
      <w:r>
        <w:rPr>
          <w:color w:val="000000" w:themeColor="text1"/>
          <w:highlight w:val="none"/>
        </w:rPr>
        <w:t>目前</w:t>
      </w:r>
      <w:r>
        <w:rPr>
          <w:rFonts w:hint="eastAsia"/>
          <w:color w:val="000000" w:themeColor="text1"/>
          <w:highlight w:val="none"/>
        </w:rPr>
        <w:t>，</w:t>
      </w:r>
      <w:r>
        <w:rPr>
          <w:color w:val="000000" w:themeColor="text1"/>
          <w:highlight w:val="none"/>
        </w:rPr>
        <w:t>矿山处于在生产状态</w:t>
      </w:r>
      <w:r>
        <w:rPr>
          <w:rFonts w:hint="eastAsia"/>
          <w:color w:val="000000" w:themeColor="text1"/>
          <w:highlight w:val="none"/>
        </w:rPr>
        <w:t>，</w:t>
      </w:r>
      <w:r>
        <w:rPr>
          <w:rFonts w:hint="eastAsia" w:ascii="宋体" w:hAnsi="宋体"/>
          <w:color w:val="000000" w:themeColor="text1"/>
          <w:highlight w:val="none"/>
        </w:rPr>
        <w:t>本方案为了对现有坡体的整体稳定性系数进行计算，现场调查坡体后缘未见裂缝，坡体前缘未见有剪出口，本次计算采用理正岩土</w:t>
      </w:r>
      <w:r>
        <w:rPr>
          <w:rFonts w:hint="eastAsia"/>
          <w:color w:val="000000" w:themeColor="text1"/>
          <w:highlight w:val="none"/>
        </w:rPr>
        <w:t>6.5PB4</w:t>
      </w:r>
      <w:r>
        <w:rPr>
          <w:rFonts w:hint="eastAsia" w:ascii="宋体" w:hAnsi="宋体"/>
          <w:color w:val="000000" w:themeColor="text1"/>
          <w:highlight w:val="none"/>
        </w:rPr>
        <w:t>对</w:t>
      </w:r>
      <w:r>
        <w:rPr>
          <w:rFonts w:hint="eastAsia"/>
          <w:color w:val="000000" w:themeColor="text1"/>
          <w:highlight w:val="none"/>
        </w:rPr>
        <w:t>矿</w:t>
      </w:r>
      <w:r>
        <w:rPr>
          <w:rFonts w:hint="eastAsia" w:ascii="宋体" w:hAnsi="宋体"/>
          <w:color w:val="000000" w:themeColor="text1"/>
          <w:highlight w:val="none"/>
        </w:rPr>
        <w:t>区典型结构面安全系数进行计算。</w:t>
      </w:r>
    </w:p>
    <w:p>
      <w:pPr>
        <w:rPr>
          <w:rFonts w:hint="eastAsia" w:eastAsia="宋体"/>
          <w:color w:val="000000" w:themeColor="text1"/>
          <w:highlight w:val="none"/>
          <w:lang w:eastAsia="zh-CN"/>
        </w:rPr>
      </w:pPr>
      <w:r>
        <w:rPr>
          <w:rFonts w:hint="eastAsia" w:ascii="宋体" w:hAnsi="宋体"/>
          <w:color w:val="000000" w:themeColor="text1"/>
          <w:highlight w:val="none"/>
        </w:rPr>
        <w:t>经计算，矿山边坡在天然工况下，结构面计算出安全性系数为</w:t>
      </w:r>
      <w:r>
        <w:rPr>
          <w:rFonts w:hint="eastAsia"/>
          <w:color w:val="000000" w:themeColor="text1"/>
          <w:highlight w:val="none"/>
          <w:lang w:val="en-US" w:eastAsia="zh-CN"/>
        </w:rPr>
        <w:t>1</w:t>
      </w:r>
      <w:r>
        <w:rPr>
          <w:rFonts w:hint="eastAsia"/>
          <w:color w:val="000000" w:themeColor="text1"/>
          <w:highlight w:val="none"/>
        </w:rPr>
        <w:t>.799</w:t>
      </w:r>
      <w:r>
        <w:rPr>
          <w:rFonts w:hint="eastAsia" w:ascii="宋体" w:hAnsi="宋体"/>
          <w:color w:val="000000" w:themeColor="text1"/>
          <w:highlight w:val="none"/>
        </w:rPr>
        <w:t>，处于稳定状态；暴雨</w:t>
      </w:r>
      <w:r>
        <w:rPr>
          <w:rFonts w:hint="eastAsia"/>
          <w:color w:val="000000" w:themeColor="text1"/>
          <w:highlight w:val="none"/>
        </w:rPr>
        <w:t>+</w:t>
      </w:r>
      <w:r>
        <w:rPr>
          <w:rFonts w:hint="eastAsia" w:ascii="宋体" w:hAnsi="宋体"/>
          <w:color w:val="000000" w:themeColor="text1"/>
          <w:highlight w:val="none"/>
        </w:rPr>
        <w:t>地震工况下（地震烈度为Ⅵ度，地震加速度系</w:t>
      </w:r>
      <w:r>
        <w:rPr>
          <w:rFonts w:hAnsi="宋体"/>
          <w:color w:val="000000" w:themeColor="text1"/>
          <w:highlight w:val="none"/>
        </w:rPr>
        <w:t>数取</w:t>
      </w:r>
      <w:r>
        <w:rPr>
          <w:color w:val="000000" w:themeColor="text1"/>
          <w:highlight w:val="none"/>
        </w:rPr>
        <w:t>0.05）</w:t>
      </w:r>
      <w:r>
        <w:rPr>
          <w:rFonts w:hint="eastAsia" w:ascii="宋体" w:hAnsi="宋体"/>
          <w:color w:val="000000" w:themeColor="text1"/>
          <w:highlight w:val="none"/>
        </w:rPr>
        <w:t>，结构面计算出安全性系数为</w:t>
      </w:r>
      <w:r>
        <w:rPr>
          <w:rFonts w:hint="eastAsia"/>
          <w:color w:val="000000" w:themeColor="text1"/>
          <w:highlight w:val="none"/>
        </w:rPr>
        <w:t>1.</w:t>
      </w:r>
      <w:r>
        <w:rPr>
          <w:rFonts w:hint="eastAsia"/>
          <w:color w:val="000000" w:themeColor="text1"/>
          <w:highlight w:val="none"/>
          <w:lang w:val="en-US" w:eastAsia="zh-CN"/>
        </w:rPr>
        <w:t>3</w:t>
      </w:r>
      <w:r>
        <w:rPr>
          <w:rFonts w:hint="eastAsia"/>
          <w:color w:val="000000" w:themeColor="text1"/>
          <w:highlight w:val="none"/>
        </w:rPr>
        <w:t>80</w:t>
      </w:r>
      <w:r>
        <w:rPr>
          <w:rFonts w:hint="eastAsia" w:ascii="宋体" w:hAnsi="宋体"/>
          <w:color w:val="000000" w:themeColor="text1"/>
          <w:highlight w:val="none"/>
        </w:rPr>
        <w:t>，处于稳定状态。</w:t>
      </w:r>
      <w:r>
        <w:rPr>
          <w:rFonts w:hint="eastAsia" w:ascii="宋体" w:hAnsi="宋体"/>
          <w:color w:val="000000" w:themeColor="text1"/>
          <w:highlight w:val="none"/>
          <w:lang w:eastAsia="zh-CN"/>
        </w:rPr>
        <w:t>如果矿山按照开发利用方案设计进行有序开采，将会极大程度降低发生地质灾害的风险。</w:t>
      </w:r>
    </w:p>
    <w:p>
      <w:pPr>
        <w:rPr>
          <w:color w:val="000000" w:themeColor="text1"/>
          <w:highlight w:val="none"/>
        </w:rPr>
      </w:pPr>
      <w:r>
        <w:rPr>
          <w:color w:val="000000" w:themeColor="text1"/>
          <w:highlight w:val="none"/>
        </w:rPr>
        <w:t>预测在今后的开采中崩塌或滑坡发生的可能性小，规模中等，会危及施工场地内的设备及人员，可能造成经济损失10~35万元，受威胁人数2~5人。因此，露天采场受地质灾害的危害程度</w:t>
      </w:r>
      <w:r>
        <w:rPr>
          <w:rFonts w:hint="eastAsia"/>
          <w:color w:val="000000" w:themeColor="text1"/>
          <w:highlight w:val="none"/>
        </w:rPr>
        <w:t>小</w:t>
      </w:r>
      <w:r>
        <w:rPr>
          <w:color w:val="000000" w:themeColor="text1"/>
          <w:highlight w:val="none"/>
        </w:rPr>
        <w:t>，危险性</w:t>
      </w:r>
      <w:r>
        <w:rPr>
          <w:rFonts w:hint="eastAsia"/>
          <w:color w:val="000000" w:themeColor="text1"/>
          <w:highlight w:val="none"/>
        </w:rPr>
        <w:t>小</w:t>
      </w:r>
      <w:r>
        <w:rPr>
          <w:color w:val="000000" w:themeColor="text1"/>
          <w:highlight w:val="none"/>
        </w:rPr>
        <w:t>，崩塌或滑坡发生的可能性小</w:t>
      </w:r>
      <w:r>
        <w:rPr>
          <w:rFonts w:hint="eastAsia"/>
          <w:color w:val="000000" w:themeColor="text1"/>
          <w:highlight w:val="none"/>
        </w:rPr>
        <w:t>，</w:t>
      </w:r>
      <w:r>
        <w:rPr>
          <w:color w:val="000000" w:themeColor="text1"/>
          <w:highlight w:val="none"/>
        </w:rPr>
        <w:t>地质灾害影响程度预测评估为</w:t>
      </w:r>
      <w:r>
        <w:rPr>
          <w:rFonts w:hint="eastAsia"/>
          <w:color w:val="000000" w:themeColor="text1"/>
          <w:highlight w:val="none"/>
        </w:rPr>
        <w:t>较轻</w:t>
      </w:r>
      <w:r>
        <w:rPr>
          <w:color w:val="000000" w:themeColor="text1"/>
          <w:highlight w:val="none"/>
        </w:rPr>
        <w:t>。</w:t>
      </w:r>
    </w:p>
    <w:p>
      <w:pPr>
        <w:rPr>
          <w:rFonts w:hint="eastAsia" w:eastAsia="宋体"/>
          <w:color w:val="000000" w:themeColor="text1"/>
          <w:highlight w:val="none"/>
          <w:lang w:eastAsia="zh-CN"/>
        </w:rPr>
      </w:pPr>
      <w:r>
        <w:rPr>
          <w:rFonts w:hint="eastAsia"/>
          <w:color w:val="000000" w:themeColor="text1"/>
          <w:highlight w:val="none"/>
          <w:lang w:val="en-US" w:eastAsia="zh-CN"/>
        </w:rPr>
        <w:t>b</w:t>
      </w:r>
      <w:r>
        <w:rPr>
          <w:rFonts w:hint="eastAsia"/>
          <w:color w:val="000000" w:themeColor="text1"/>
          <w:highlight w:val="none"/>
        </w:rPr>
        <w:t>、</w:t>
      </w:r>
      <w:r>
        <w:rPr>
          <w:rFonts w:hint="eastAsia"/>
          <w:color w:val="000000" w:themeColor="text1"/>
          <w:highlight w:val="none"/>
          <w:lang w:eastAsia="zh-CN"/>
        </w:rPr>
        <w:t>矿山公路</w:t>
      </w:r>
    </w:p>
    <w:p>
      <w:pPr>
        <w:rPr>
          <w:color w:val="000000" w:themeColor="text1"/>
          <w:spacing w:val="-3"/>
          <w:highlight w:val="none"/>
        </w:rPr>
      </w:pPr>
      <w:r>
        <w:rPr>
          <w:rFonts w:hint="eastAsia"/>
          <w:color w:val="000000" w:themeColor="text1"/>
          <w:highlight w:val="none"/>
          <w:lang w:eastAsia="zh-CN"/>
        </w:rPr>
        <w:t>矿山公路位于露天采场北部</w:t>
      </w:r>
      <w:r>
        <w:rPr>
          <w:rFonts w:hint="eastAsia"/>
          <w:color w:val="000000" w:themeColor="text1"/>
          <w:highlight w:val="none"/>
        </w:rPr>
        <w:t>，</w:t>
      </w:r>
      <w:r>
        <w:rPr>
          <w:rFonts w:hint="eastAsia"/>
          <w:color w:val="000000" w:themeColor="text1"/>
          <w:highlight w:val="none"/>
          <w:lang w:eastAsia="zh-CN"/>
        </w:rPr>
        <w:t>公路两侧开挖未形成较高的陡坎</w:t>
      </w:r>
      <w:r>
        <w:rPr>
          <w:color w:val="000000" w:themeColor="text1"/>
          <w:highlight w:val="none"/>
        </w:rPr>
        <w:t>，形成的</w:t>
      </w:r>
      <w:r>
        <w:rPr>
          <w:rFonts w:hint="eastAsia"/>
          <w:color w:val="000000" w:themeColor="text1"/>
          <w:highlight w:val="none"/>
          <w:lang w:eastAsia="zh-CN"/>
        </w:rPr>
        <w:t>边坡</w:t>
      </w:r>
      <w:r>
        <w:rPr>
          <w:color w:val="000000" w:themeColor="text1"/>
          <w:highlight w:val="none"/>
        </w:rPr>
        <w:t>经人工处理后均会处于稳定状态。</w:t>
      </w:r>
      <w:r>
        <w:rPr>
          <w:color w:val="000000" w:themeColor="text1"/>
          <w:spacing w:val="-3"/>
          <w:highlight w:val="none"/>
        </w:rPr>
        <w:t>不具备产生崩塌、滑坡、泥石流、地面沉降和岩溶塌陷的地质环境条件。预测上述地质灾害对建设工</w:t>
      </w:r>
      <w:r>
        <w:rPr>
          <w:color w:val="000000" w:themeColor="text1"/>
          <w:spacing w:val="-6"/>
          <w:highlight w:val="none"/>
        </w:rPr>
        <w:t>程的危险性小。</w:t>
      </w:r>
    </w:p>
    <w:p>
      <w:pPr>
        <w:rPr>
          <w:color w:val="000000" w:themeColor="text1"/>
          <w:highlight w:val="none"/>
        </w:rPr>
      </w:pPr>
      <w:r>
        <w:rPr>
          <w:rFonts w:hint="eastAsia"/>
          <w:color w:val="000000" w:themeColor="text1"/>
          <w:highlight w:val="none"/>
        </w:rPr>
        <w:t>（</w:t>
      </w:r>
      <w:r>
        <w:rPr>
          <w:rFonts w:hint="eastAsia"/>
          <w:color w:val="000000" w:themeColor="text1"/>
          <w:highlight w:val="none"/>
          <w:lang w:val="en-US" w:eastAsia="zh-CN"/>
        </w:rPr>
        <w:t>2</w:t>
      </w:r>
      <w:r>
        <w:rPr>
          <w:rFonts w:hint="eastAsia"/>
          <w:color w:val="000000" w:themeColor="text1"/>
          <w:highlight w:val="none"/>
        </w:rPr>
        <w:t>）</w:t>
      </w:r>
      <w:r>
        <w:rPr>
          <w:color w:val="000000" w:themeColor="text1"/>
          <w:highlight w:val="none"/>
        </w:rPr>
        <w:t>评估区其余区域基本不受采矿活动的影响，地质灾害发育程度弱、危害程度小、危险性小，影响程度较轻。</w:t>
      </w:r>
      <w:r>
        <w:rPr>
          <w:rFonts w:hint="eastAsia"/>
          <w:color w:val="000000" w:themeColor="text1"/>
          <w:highlight w:val="none"/>
        </w:rPr>
        <w:t>因此，</w:t>
      </w:r>
      <w:r>
        <w:rPr>
          <w:color w:val="000000" w:themeColor="text1"/>
          <w:highlight w:val="none"/>
        </w:rPr>
        <w:t>地质灾害影响程度预测评估为</w:t>
      </w:r>
      <w:r>
        <w:rPr>
          <w:rFonts w:hint="eastAsia"/>
          <w:color w:val="000000" w:themeColor="text1"/>
          <w:highlight w:val="none"/>
        </w:rPr>
        <w:t>较轻。</w:t>
      </w:r>
    </w:p>
    <w:p>
      <w:pPr>
        <w:pStyle w:val="5"/>
        <w:spacing w:before="82" w:after="82"/>
        <w:rPr>
          <w:color w:val="000000" w:themeColor="text1"/>
          <w:highlight w:val="none"/>
        </w:rPr>
      </w:pPr>
      <w:bookmarkStart w:id="127" w:name="_Toc6209"/>
      <w:bookmarkStart w:id="128" w:name="_Toc7408"/>
      <w:r>
        <w:rPr>
          <w:color w:val="000000" w:themeColor="text1"/>
          <w:highlight w:val="none"/>
        </w:rPr>
        <w:t>3.2.3矿区含水层破坏现状与预测</w:t>
      </w:r>
      <w:bookmarkEnd w:id="127"/>
      <w:bookmarkEnd w:id="128"/>
    </w:p>
    <w:p>
      <w:pPr>
        <w:rPr>
          <w:color w:val="000000" w:themeColor="text1"/>
          <w:highlight w:val="none"/>
        </w:rPr>
      </w:pPr>
      <w:r>
        <w:rPr>
          <w:rFonts w:hint="eastAsia"/>
          <w:color w:val="000000" w:themeColor="text1"/>
          <w:highlight w:val="none"/>
        </w:rPr>
        <w:t>（1）含水层破坏现状分析</w:t>
      </w:r>
    </w:p>
    <w:p>
      <w:pPr>
        <w:rPr>
          <w:color w:val="000000" w:themeColor="text1"/>
          <w:highlight w:val="none"/>
        </w:rPr>
      </w:pPr>
      <w:r>
        <w:rPr>
          <w:color w:val="000000" w:themeColor="text1"/>
          <w:highlight w:val="none"/>
        </w:rPr>
        <w:t>根据</w:t>
      </w:r>
      <w:r>
        <w:rPr>
          <w:rFonts w:hint="eastAsia"/>
          <w:color w:val="000000" w:themeColor="text1"/>
          <w:highlight w:val="none"/>
        </w:rPr>
        <w:t>旺苍县</w:t>
      </w:r>
      <w:r>
        <w:rPr>
          <w:rFonts w:hint="eastAsia"/>
          <w:color w:val="000000" w:themeColor="text1"/>
          <w:highlight w:val="none"/>
          <w:lang w:eastAsia="zh-CN"/>
        </w:rPr>
        <w:t>三江镇战旗石灰石矿</w:t>
      </w:r>
      <w:r>
        <w:rPr>
          <w:color w:val="000000" w:themeColor="text1"/>
          <w:highlight w:val="none"/>
        </w:rPr>
        <w:t>地下水赋存条件、水理性质及水力特征，确定矿区采矿层位属相对隔水层。</w:t>
      </w:r>
    </w:p>
    <w:p>
      <w:pPr>
        <w:rPr>
          <w:color w:val="000000" w:themeColor="text1"/>
          <w:highlight w:val="none"/>
        </w:rPr>
      </w:pPr>
      <w:r>
        <w:rPr>
          <w:rFonts w:hint="eastAsia"/>
          <w:color w:val="000000" w:themeColor="text1"/>
          <w:highlight w:val="none"/>
        </w:rPr>
        <w:t>矿区地下水类型有岩溶裂隙潜水、裂隙潜水，根据矿区岩层含水性及富水性差异划分含（透）、隔水层如下：</w:t>
      </w:r>
    </w:p>
    <w:p>
      <w:pPr>
        <w:rPr>
          <w:rFonts w:hint="eastAsia"/>
          <w:color w:val="000000" w:themeColor="text1"/>
          <w:highlight w:val="none"/>
          <w:lang w:eastAsia="zh-CN"/>
        </w:rPr>
      </w:pPr>
      <w:r>
        <w:rPr>
          <w:rFonts w:hint="eastAsia"/>
          <w:color w:val="000000" w:themeColor="text1"/>
          <w:highlight w:val="none"/>
          <w:lang w:val="en-US" w:eastAsia="zh-CN"/>
        </w:rPr>
        <w:t>A、</w:t>
      </w:r>
      <w:r>
        <w:rPr>
          <w:rFonts w:hint="eastAsia"/>
          <w:color w:val="000000" w:themeColor="text1"/>
          <w:highlight w:val="none"/>
          <w:lang w:eastAsia="zh-CN"/>
        </w:rPr>
        <w:t>露天采场</w:t>
      </w:r>
    </w:p>
    <w:p>
      <w:pPr>
        <w:rPr>
          <w:rFonts w:hint="eastAsia"/>
          <w:color w:val="000000" w:themeColor="text1"/>
          <w:highlight w:val="none"/>
        </w:rPr>
      </w:pPr>
      <w:r>
        <w:rPr>
          <w:rFonts w:hint="eastAsia"/>
          <w:color w:val="000000" w:themeColor="text1"/>
          <w:highlight w:val="none"/>
          <w:lang w:eastAsia="zh-CN"/>
        </w:rPr>
        <w:t>露天采场</w:t>
      </w:r>
      <w:r>
        <w:rPr>
          <w:rFonts w:hint="eastAsia"/>
          <w:color w:val="000000" w:themeColor="text1"/>
          <w:highlight w:val="none"/>
        </w:rPr>
        <w:t>，面积</w:t>
      </w:r>
      <w:r>
        <w:rPr>
          <w:rFonts w:hint="eastAsia"/>
          <w:color w:val="000000" w:themeColor="text1"/>
          <w:highlight w:val="none"/>
          <w:lang w:val="en-US"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vertAlign w:val="baseline"/>
          <w:lang w:eastAsia="zh-CN"/>
        </w:rPr>
        <w:t>；</w:t>
      </w:r>
      <w:r>
        <w:rPr>
          <w:rFonts w:hint="eastAsia"/>
          <w:color w:val="000000" w:themeColor="text1"/>
          <w:highlight w:val="none"/>
        </w:rPr>
        <w:t>矿区地下水属岩溶裂隙水，地下水以大气降水补给为主，大气降水多以地表径流排泄，少量经各种裂隙、通道补给地下水。矿山采场位于山体中上部，开采最低标高</w:t>
      </w:r>
      <w:r>
        <w:rPr>
          <w:rFonts w:hint="eastAsia"/>
          <w:color w:val="000000" w:themeColor="text1"/>
          <w:highlight w:val="none"/>
          <w:lang w:eastAsia="zh-CN"/>
        </w:rPr>
        <w:t>+1050</w:t>
      </w:r>
      <w:r>
        <w:rPr>
          <w:rFonts w:hint="eastAsia"/>
          <w:color w:val="000000" w:themeColor="text1"/>
          <w:highlight w:val="none"/>
        </w:rPr>
        <w:t>m远高于当地最低侵蚀基准面和最大洪水位，开采范围内岩层含水量微弱，主要为大气降水渗入岩层裂隙形成的裂隙水，矿山疏排水量少，矿山开采对地下水影响较小。矿区范围内地下水资源匮乏，且废石本身不含有害组分，采矿对地下水污染影响极小。</w:t>
      </w:r>
    </w:p>
    <w:p>
      <w:pPr>
        <w:rPr>
          <w:rFonts w:hint="default"/>
          <w:color w:val="000000" w:themeColor="text1"/>
          <w:highlight w:val="none"/>
          <w:lang w:val="en-US" w:eastAsia="zh-CN"/>
        </w:rPr>
      </w:pPr>
      <w:r>
        <w:rPr>
          <w:rFonts w:hint="eastAsia"/>
          <w:color w:val="000000" w:themeColor="text1"/>
          <w:highlight w:val="none"/>
          <w:lang w:val="en-US" w:eastAsia="zh-CN"/>
        </w:rPr>
        <w:t>B矿山公路</w:t>
      </w:r>
    </w:p>
    <w:p>
      <w:pPr>
        <w:rPr>
          <w:rFonts w:hint="eastAsia" w:eastAsia="宋体"/>
          <w:color w:val="000000" w:themeColor="text1"/>
          <w:highlight w:val="none"/>
          <w:lang w:val="en-US" w:eastAsia="zh-CN"/>
        </w:rPr>
      </w:pPr>
      <w:r>
        <w:rPr>
          <w:rFonts w:hint="eastAsia"/>
          <w:color w:val="000000" w:themeColor="text1"/>
          <w:highlight w:val="none"/>
          <w:lang w:val="en-US" w:eastAsia="zh-CN"/>
        </w:rPr>
        <w:t>矿山公路，</w:t>
      </w:r>
      <w:r>
        <w:rPr>
          <w:rFonts w:hint="eastAsia"/>
          <w:color w:val="000000" w:themeColor="text1"/>
          <w:highlight w:val="none"/>
        </w:rPr>
        <w:t>面积</w:t>
      </w:r>
      <w:r>
        <w:rPr>
          <w:rFonts w:hint="eastAsia"/>
          <w:color w:val="000000" w:themeColor="text1"/>
          <w:highlight w:val="none"/>
          <w:lang w:val="en-US"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vertAlign w:val="baseline"/>
          <w:lang w:eastAsia="zh-CN"/>
        </w:rPr>
        <w:t>；</w:t>
      </w:r>
      <w:r>
        <w:rPr>
          <w:rFonts w:hint="eastAsia"/>
          <w:color w:val="000000" w:themeColor="text1"/>
          <w:highlight w:val="none"/>
        </w:rPr>
        <w:t>现状条件下含水层、隔水层完好，未发生含水层破坏</w:t>
      </w:r>
      <w:r>
        <w:rPr>
          <w:rFonts w:hint="eastAsia"/>
          <w:color w:val="000000" w:themeColor="text1"/>
          <w:highlight w:val="none"/>
          <w:lang w:eastAsia="zh-CN"/>
        </w:rPr>
        <w:t>。</w:t>
      </w:r>
      <w:r>
        <w:rPr>
          <w:rFonts w:hint="eastAsia"/>
          <w:color w:val="000000" w:themeColor="text1"/>
          <w:highlight w:val="none"/>
        </w:rPr>
        <w:t>对地下水污染影响极小。</w:t>
      </w:r>
    </w:p>
    <w:p>
      <w:pPr>
        <w:rPr>
          <w:rFonts w:hint="eastAsia"/>
          <w:color w:val="000000" w:themeColor="text1"/>
          <w:highlight w:val="none"/>
        </w:rPr>
      </w:pPr>
      <w:r>
        <w:rPr>
          <w:rFonts w:hint="eastAsia"/>
          <w:color w:val="000000" w:themeColor="text1"/>
          <w:highlight w:val="none"/>
          <w:lang w:val="en-US" w:eastAsia="zh-CN"/>
        </w:rPr>
        <w:t>C、</w:t>
      </w:r>
      <w:r>
        <w:rPr>
          <w:rFonts w:hint="eastAsia"/>
          <w:color w:val="000000" w:themeColor="text1"/>
          <w:highlight w:val="none"/>
        </w:rPr>
        <w:t>评估区其他区域</w:t>
      </w:r>
    </w:p>
    <w:p>
      <w:pPr>
        <w:rPr>
          <w:color w:val="000000" w:themeColor="text1"/>
          <w:highlight w:val="none"/>
        </w:rPr>
      </w:pPr>
      <w:r>
        <w:rPr>
          <w:rFonts w:hint="eastAsia"/>
          <w:color w:val="000000" w:themeColor="text1"/>
          <w:highlight w:val="none"/>
        </w:rPr>
        <w:t>评估区其他区域，面积</w:t>
      </w:r>
      <w:r>
        <w:rPr>
          <w:rFonts w:hint="eastAsia"/>
          <w:color w:val="000000" w:themeColor="text1"/>
          <w:highlight w:val="none"/>
          <w:lang w:val="en-US" w:eastAsia="zh-CN"/>
        </w:rPr>
        <w:t>20.6055</w:t>
      </w:r>
      <w:r>
        <w:rPr>
          <w:rFonts w:hint="eastAsia"/>
          <w:color w:val="000000" w:themeColor="text1"/>
          <w:highlight w:val="none"/>
        </w:rPr>
        <w:t>hm</w:t>
      </w:r>
      <w:r>
        <w:rPr>
          <w:rFonts w:hint="eastAsia"/>
          <w:color w:val="000000" w:themeColor="text1"/>
          <w:highlight w:val="none"/>
          <w:vertAlign w:val="superscript"/>
          <w:lang w:val="en-US" w:eastAsia="zh-CN"/>
        </w:rPr>
        <w:t>2</w:t>
      </w:r>
      <w:r>
        <w:rPr>
          <w:rFonts w:hint="eastAsia"/>
          <w:color w:val="000000" w:themeColor="text1"/>
          <w:highlight w:val="none"/>
          <w:vertAlign w:val="baseline"/>
          <w:lang w:val="en-US" w:eastAsia="zh-CN"/>
        </w:rPr>
        <w:t>；</w:t>
      </w:r>
      <w:r>
        <w:rPr>
          <w:rFonts w:hint="eastAsia"/>
          <w:color w:val="000000" w:themeColor="text1"/>
          <w:highlight w:val="none"/>
        </w:rPr>
        <w:t>现状条件下含水层、隔水层完好，未发生含水层破坏。结合现场踏勘，未见泉点出露，根据走访周边老百姓，采矿工作未造成矿区及周边主要含水层水位大幅度下降和地表水体漏失现象，未影响矿区及周边生产生活供水，结合以上分析，依照《矿山地质环境保护与恢复治理方案编制规范》(DZ/T0223-2011)附录E.1 (表4-4)，确定矿山现状条件下含水层影响程度较轻</w:t>
      </w:r>
      <w:r>
        <w:rPr>
          <w:color w:val="000000" w:themeColor="text1"/>
          <w:highlight w:val="none"/>
        </w:rPr>
        <w:t>。</w:t>
      </w:r>
    </w:p>
    <w:p>
      <w:pPr>
        <w:rPr>
          <w:color w:val="000000" w:themeColor="text1"/>
          <w:spacing w:val="-3"/>
          <w:highlight w:val="none"/>
        </w:rPr>
      </w:pPr>
      <w:r>
        <w:rPr>
          <w:color w:val="000000" w:themeColor="text1"/>
          <w:highlight w:val="none"/>
        </w:rPr>
        <w:t>现状评估矿山开采对</w:t>
      </w:r>
      <w:r>
        <w:rPr>
          <w:rFonts w:hint="eastAsia"/>
          <w:color w:val="000000" w:themeColor="text1"/>
          <w:highlight w:val="none"/>
        </w:rPr>
        <w:t>地下水</w:t>
      </w:r>
      <w:r>
        <w:rPr>
          <w:color w:val="000000" w:themeColor="text1"/>
          <w:highlight w:val="none"/>
        </w:rPr>
        <w:t>的影响较轻</w:t>
      </w:r>
      <w:r>
        <w:rPr>
          <w:color w:val="000000" w:themeColor="text1"/>
          <w:spacing w:val="-3"/>
          <w:highlight w:val="none"/>
        </w:rPr>
        <w:t>。</w:t>
      </w:r>
    </w:p>
    <w:p>
      <w:pPr>
        <w:ind w:firstLine="468"/>
        <w:rPr>
          <w:color w:val="000000" w:themeColor="text1"/>
          <w:spacing w:val="-3"/>
          <w:highlight w:val="none"/>
        </w:rPr>
      </w:pPr>
      <w:r>
        <w:rPr>
          <w:color w:val="000000" w:themeColor="text1"/>
          <w:spacing w:val="-3"/>
          <w:highlight w:val="none"/>
        </w:rPr>
        <w:t>（</w:t>
      </w:r>
      <w:r>
        <w:rPr>
          <w:rFonts w:hint="eastAsia"/>
          <w:color w:val="000000" w:themeColor="text1"/>
          <w:spacing w:val="-3"/>
          <w:highlight w:val="none"/>
        </w:rPr>
        <w:t>2</w:t>
      </w:r>
      <w:r>
        <w:rPr>
          <w:color w:val="000000" w:themeColor="text1"/>
          <w:spacing w:val="-3"/>
          <w:highlight w:val="none"/>
        </w:rPr>
        <w:t>）</w:t>
      </w:r>
      <w:r>
        <w:rPr>
          <w:color w:val="000000" w:themeColor="text1"/>
          <w:highlight w:val="none"/>
        </w:rPr>
        <w:t>对地下水水质的影响预测</w:t>
      </w:r>
    </w:p>
    <w:p>
      <w:pPr>
        <w:ind w:firstLine="468"/>
        <w:rPr>
          <w:rFonts w:hint="eastAsia"/>
          <w:color w:val="000000" w:themeColor="text1"/>
          <w:spacing w:val="-3"/>
          <w:highlight w:val="none"/>
          <w:lang w:eastAsia="zh-CN"/>
        </w:rPr>
      </w:pPr>
      <w:r>
        <w:rPr>
          <w:rFonts w:hint="eastAsia"/>
          <w:color w:val="000000" w:themeColor="text1"/>
          <w:spacing w:val="-3"/>
          <w:highlight w:val="none"/>
          <w:lang w:val="en-US" w:eastAsia="zh-CN"/>
        </w:rPr>
        <w:t>A、</w:t>
      </w:r>
      <w:r>
        <w:rPr>
          <w:rFonts w:hint="eastAsia"/>
          <w:color w:val="000000" w:themeColor="text1"/>
          <w:spacing w:val="-3"/>
          <w:highlight w:val="none"/>
          <w:lang w:eastAsia="zh-CN"/>
        </w:rPr>
        <w:t>露天采场</w:t>
      </w:r>
    </w:p>
    <w:p>
      <w:pPr>
        <w:ind w:firstLine="468"/>
        <w:rPr>
          <w:rFonts w:hint="eastAsia"/>
          <w:color w:val="000000" w:themeColor="text1"/>
          <w:spacing w:val="-3"/>
          <w:highlight w:val="none"/>
        </w:rPr>
      </w:pPr>
      <w:r>
        <w:rPr>
          <w:rFonts w:hint="eastAsia"/>
          <w:color w:val="000000" w:themeColor="text1"/>
          <w:spacing w:val="-3"/>
          <w:highlight w:val="none"/>
          <w:lang w:eastAsia="zh-CN"/>
        </w:rPr>
        <w:t>露天采场</w:t>
      </w:r>
      <w:r>
        <w:rPr>
          <w:rFonts w:hint="eastAsia"/>
          <w:color w:val="000000" w:themeColor="text1"/>
          <w:spacing w:val="-3"/>
          <w:highlight w:val="none"/>
        </w:rPr>
        <w:t>，面积</w:t>
      </w:r>
      <w:r>
        <w:rPr>
          <w:rFonts w:hint="eastAsia"/>
          <w:color w:val="000000" w:themeColor="text1"/>
          <w:spacing w:val="-3"/>
          <w:highlight w:val="none"/>
          <w:lang w:val="en-US" w:eastAsia="zh-CN"/>
        </w:rPr>
        <w:t>8.9779</w:t>
      </w:r>
      <w:r>
        <w:rPr>
          <w:rFonts w:hint="eastAsia"/>
          <w:color w:val="000000" w:themeColor="text1"/>
          <w:spacing w:val="-3"/>
          <w:highlight w:val="none"/>
        </w:rPr>
        <w:t>hm</w:t>
      </w:r>
      <w:r>
        <w:rPr>
          <w:rFonts w:hint="eastAsia"/>
          <w:color w:val="000000" w:themeColor="text1"/>
          <w:spacing w:val="-3"/>
          <w:highlight w:val="none"/>
          <w:vertAlign w:val="superscript"/>
        </w:rPr>
        <w:t>2</w:t>
      </w:r>
      <w:r>
        <w:rPr>
          <w:rFonts w:hint="eastAsia"/>
          <w:color w:val="000000" w:themeColor="text1"/>
          <w:spacing w:val="-3"/>
          <w:highlight w:val="none"/>
          <w:lang w:eastAsia="zh-CN"/>
        </w:rPr>
        <w:t>：</w:t>
      </w:r>
      <w:r>
        <w:rPr>
          <w:rFonts w:hint="eastAsia"/>
          <w:color w:val="000000" w:themeColor="text1"/>
          <w:spacing w:val="-3"/>
          <w:highlight w:val="none"/>
        </w:rPr>
        <w:t>评估区内地表水系不发育，地形有利于雨水排泄。矿区开采后会使采场附近的地表汇流方向发生改变，雨季地表径流汇集于采场内，对矿区地表水水系有一定影响。由于采场原为山坡地形，汇水面积改变不大，对水的径流排泄影响不大。矿区内的含、隔水层可分为第四系孔隙含水层，石灰岩裂隙含水层，泥质、硅质岩隔水层，风化裂隙含水层，从当前现场调查情况看，未见岩溶漏斗及泉水流出现象。矿区地层的富水性较差，矿山充水因素主要是大气降水以及风化裂隙水，大气降水及地表径流将成为矿坑充水的主要因素，矿区最低开采标高位于当地侵蚀基准面标高以上，主要含水层富水性弱，矿山为小型矿山，开采对含水层破坏较小，矿区及周边水体未漏失，未影响矿区及周边生产生活用水。</w:t>
      </w:r>
    </w:p>
    <w:p>
      <w:pPr>
        <w:ind w:firstLine="468"/>
        <w:rPr>
          <w:rFonts w:hint="eastAsia"/>
          <w:color w:val="000000" w:themeColor="text1"/>
          <w:spacing w:val="-3"/>
          <w:highlight w:val="none"/>
          <w:lang w:val="en-US" w:eastAsia="zh-CN"/>
        </w:rPr>
      </w:pPr>
      <w:r>
        <w:rPr>
          <w:rFonts w:hint="eastAsia"/>
          <w:color w:val="000000" w:themeColor="text1"/>
          <w:spacing w:val="-3"/>
          <w:highlight w:val="none"/>
          <w:lang w:val="en-US" w:eastAsia="zh-CN"/>
        </w:rPr>
        <w:t>B、矿山公路</w:t>
      </w:r>
    </w:p>
    <w:p>
      <w:pPr>
        <w:ind w:firstLine="468"/>
        <w:rPr>
          <w:rFonts w:hint="eastAsia" w:eastAsia="宋体"/>
          <w:color w:val="000000" w:themeColor="text1"/>
          <w:spacing w:val="-3"/>
          <w:highlight w:val="none"/>
          <w:lang w:eastAsia="zh-CN"/>
        </w:rPr>
      </w:pPr>
      <w:r>
        <w:rPr>
          <w:rFonts w:hint="eastAsia"/>
          <w:color w:val="000000" w:themeColor="text1"/>
          <w:highlight w:val="none"/>
          <w:lang w:val="en-US" w:eastAsia="zh-CN"/>
        </w:rPr>
        <w:t>矿山公路，</w:t>
      </w:r>
      <w:r>
        <w:rPr>
          <w:rFonts w:hint="eastAsia"/>
          <w:color w:val="000000" w:themeColor="text1"/>
          <w:highlight w:val="none"/>
        </w:rPr>
        <w:t>面积</w:t>
      </w:r>
      <w:r>
        <w:rPr>
          <w:rFonts w:hint="eastAsia"/>
          <w:color w:val="000000" w:themeColor="text1"/>
          <w:highlight w:val="none"/>
          <w:lang w:val="en-US"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vertAlign w:val="baseline"/>
          <w:lang w:eastAsia="zh-CN"/>
        </w:rPr>
        <w:t>；</w:t>
      </w:r>
      <w:r>
        <w:rPr>
          <w:rFonts w:hint="eastAsia"/>
          <w:color w:val="000000" w:themeColor="text1"/>
          <w:highlight w:val="none"/>
        </w:rPr>
        <w:t>现状条件下含水层、隔水层完好，未发生含水层破坏</w:t>
      </w:r>
      <w:r>
        <w:rPr>
          <w:rFonts w:hint="eastAsia"/>
          <w:color w:val="000000" w:themeColor="text1"/>
          <w:highlight w:val="none"/>
          <w:lang w:eastAsia="zh-CN"/>
        </w:rPr>
        <w:t>，矿山开采方式不发生改变，开采范围对公路无影响，预测</w:t>
      </w:r>
      <w:r>
        <w:rPr>
          <w:rFonts w:hint="eastAsia"/>
          <w:color w:val="000000" w:themeColor="text1"/>
          <w:spacing w:val="-3"/>
          <w:highlight w:val="none"/>
          <w:lang w:val="en-US" w:eastAsia="zh-CN"/>
        </w:rPr>
        <w:t>矿山公路未来对地下水水质影响极小。</w:t>
      </w:r>
    </w:p>
    <w:p>
      <w:pPr>
        <w:rPr>
          <w:rFonts w:hint="eastAsia"/>
          <w:color w:val="000000" w:themeColor="text1"/>
          <w:highlight w:val="none"/>
        </w:rPr>
      </w:pPr>
      <w:r>
        <w:rPr>
          <w:rFonts w:hint="eastAsia"/>
          <w:color w:val="000000" w:themeColor="text1"/>
          <w:highlight w:val="none"/>
          <w:lang w:val="en-US" w:eastAsia="zh-CN"/>
        </w:rPr>
        <w:t>C、</w:t>
      </w:r>
      <w:r>
        <w:rPr>
          <w:rFonts w:hint="eastAsia"/>
          <w:color w:val="000000" w:themeColor="text1"/>
          <w:highlight w:val="none"/>
        </w:rPr>
        <w:t>评估区其他区域</w:t>
      </w:r>
    </w:p>
    <w:p>
      <w:pPr>
        <w:ind w:firstLine="468"/>
        <w:rPr>
          <w:rFonts w:hint="eastAsia"/>
          <w:color w:val="000000" w:themeColor="text1"/>
          <w:spacing w:val="-3"/>
          <w:highlight w:val="none"/>
        </w:rPr>
      </w:pPr>
      <w:r>
        <w:rPr>
          <w:rFonts w:hint="eastAsia"/>
          <w:color w:val="000000" w:themeColor="text1"/>
          <w:spacing w:val="-3"/>
          <w:highlight w:val="none"/>
        </w:rPr>
        <w:t>评估区其他区域，面积</w:t>
      </w:r>
      <w:r>
        <w:rPr>
          <w:rFonts w:hint="eastAsia"/>
          <w:color w:val="000000" w:themeColor="text1"/>
          <w:spacing w:val="-3"/>
          <w:highlight w:val="none"/>
          <w:lang w:val="en-US" w:eastAsia="zh-CN"/>
        </w:rPr>
        <w:t>17.1734</w:t>
      </w:r>
      <w:r>
        <w:rPr>
          <w:rFonts w:hint="eastAsia"/>
          <w:color w:val="000000" w:themeColor="text1"/>
          <w:spacing w:val="-3"/>
          <w:highlight w:val="none"/>
        </w:rPr>
        <w:t>h</w:t>
      </w:r>
      <w:r>
        <w:rPr>
          <w:rFonts w:hint="eastAsia"/>
          <w:color w:val="000000" w:themeColor="text1"/>
          <w:spacing w:val="-3"/>
          <w:highlight w:val="none"/>
          <w:vertAlign w:val="superscript"/>
          <w:lang w:val="en-US" w:eastAsia="zh-CN"/>
        </w:rPr>
        <w:t>2</w:t>
      </w:r>
      <w:r>
        <w:rPr>
          <w:rFonts w:hint="eastAsia"/>
          <w:color w:val="000000" w:themeColor="text1"/>
          <w:spacing w:val="-3"/>
          <w:highlight w:val="none"/>
          <w:lang w:eastAsia="zh-CN"/>
        </w:rPr>
        <w:t>：</w:t>
      </w:r>
      <w:r>
        <w:rPr>
          <w:rFonts w:hint="eastAsia"/>
          <w:color w:val="000000" w:themeColor="text1"/>
          <w:spacing w:val="-3"/>
          <w:highlight w:val="none"/>
        </w:rPr>
        <w:t>现状条件下含水层、隔水层完好，未发生含水层破坏。</w:t>
      </w:r>
    </w:p>
    <w:p>
      <w:pPr>
        <w:ind w:firstLine="468"/>
        <w:rPr>
          <w:rFonts w:hint="eastAsia"/>
          <w:color w:val="000000" w:themeColor="text1"/>
          <w:spacing w:val="-3"/>
          <w:highlight w:val="none"/>
        </w:rPr>
      </w:pPr>
      <w:r>
        <w:rPr>
          <w:rFonts w:hint="eastAsia"/>
          <w:color w:val="000000" w:themeColor="text1"/>
          <w:spacing w:val="-3"/>
          <w:highlight w:val="none"/>
        </w:rPr>
        <w:t>综上</w:t>
      </w:r>
      <w:r>
        <w:rPr>
          <w:rFonts w:hint="eastAsia"/>
          <w:color w:val="000000" w:themeColor="text1"/>
          <w:spacing w:val="-3"/>
          <w:highlight w:val="none"/>
          <w:lang w:eastAsia="zh-CN"/>
        </w:rPr>
        <w:t>：</w:t>
      </w:r>
      <w:r>
        <w:rPr>
          <w:rFonts w:hint="eastAsia"/>
          <w:color w:val="000000" w:themeColor="text1"/>
          <w:spacing w:val="-3"/>
          <w:highlight w:val="none"/>
        </w:rPr>
        <w:t>依据《矿山地质环境保护与恢复治理方案编制规范》(DZ/T 0223-2011)</w:t>
      </w:r>
    </w:p>
    <w:p>
      <w:pPr>
        <w:ind w:firstLine="468"/>
        <w:rPr>
          <w:rFonts w:hint="eastAsia"/>
          <w:color w:val="000000" w:themeColor="text1"/>
          <w:spacing w:val="-3"/>
          <w:highlight w:val="none"/>
        </w:rPr>
      </w:pPr>
      <w:r>
        <w:rPr>
          <w:rFonts w:hint="eastAsia"/>
          <w:color w:val="000000" w:themeColor="text1"/>
          <w:spacing w:val="-3"/>
          <w:highlight w:val="none"/>
        </w:rPr>
        <w:t>表E.1 (表4-5)，矿业活动对含水层的影响预测评估为较轻。</w:t>
      </w:r>
    </w:p>
    <w:p>
      <w:pPr>
        <w:rPr>
          <w:color w:val="000000" w:themeColor="text1"/>
          <w:highlight w:val="none"/>
        </w:rPr>
      </w:pPr>
      <w:r>
        <w:rPr>
          <w:color w:val="000000" w:themeColor="text1"/>
          <w:highlight w:val="none"/>
        </w:rPr>
        <w:t>（</w:t>
      </w:r>
      <w:r>
        <w:rPr>
          <w:rFonts w:hint="eastAsia"/>
          <w:color w:val="000000" w:themeColor="text1"/>
          <w:highlight w:val="none"/>
        </w:rPr>
        <w:t>3</w:t>
      </w:r>
      <w:r>
        <w:rPr>
          <w:color w:val="000000" w:themeColor="text1"/>
          <w:highlight w:val="none"/>
        </w:rPr>
        <w:t>）预测评估结论</w:t>
      </w:r>
    </w:p>
    <w:p>
      <w:pPr>
        <w:rPr>
          <w:color w:val="000000" w:themeColor="text1"/>
          <w:spacing w:val="-3"/>
          <w:highlight w:val="none"/>
        </w:rPr>
      </w:pPr>
      <w:r>
        <w:rPr>
          <w:color w:val="000000" w:themeColor="text1"/>
          <w:highlight w:val="none"/>
        </w:rPr>
        <w:t>预测</w:t>
      </w:r>
      <w:r>
        <w:rPr>
          <w:color w:val="000000" w:themeColor="text1"/>
          <w:spacing w:val="-3"/>
          <w:highlight w:val="none"/>
        </w:rPr>
        <w:t>矿业活动对</w:t>
      </w:r>
      <w:r>
        <w:rPr>
          <w:color w:val="000000" w:themeColor="text1"/>
          <w:highlight w:val="none"/>
        </w:rPr>
        <w:t>地下水的影响较轻</w:t>
      </w:r>
      <w:r>
        <w:rPr>
          <w:color w:val="000000" w:themeColor="text1"/>
          <w:spacing w:val="-3"/>
          <w:highlight w:val="none"/>
        </w:rPr>
        <w:t>。</w:t>
      </w:r>
    </w:p>
    <w:p>
      <w:pPr>
        <w:pStyle w:val="5"/>
        <w:spacing w:before="82" w:after="82"/>
        <w:rPr>
          <w:color w:val="000000" w:themeColor="text1"/>
          <w:highlight w:val="none"/>
        </w:rPr>
      </w:pPr>
      <w:bookmarkStart w:id="129" w:name="_Toc26354"/>
      <w:bookmarkStart w:id="130" w:name="_Toc19797"/>
      <w:r>
        <w:rPr>
          <w:color w:val="000000" w:themeColor="text1"/>
          <w:highlight w:val="none"/>
        </w:rPr>
        <w:t>3.2.4矿区地形地貌景观破坏现状分析与预测</w:t>
      </w:r>
      <w:bookmarkEnd w:id="129"/>
      <w:bookmarkEnd w:id="130"/>
    </w:p>
    <w:p>
      <w:pPr>
        <w:rPr>
          <w:color w:val="000000" w:themeColor="text1"/>
          <w:highlight w:val="none"/>
        </w:rPr>
      </w:pPr>
      <w:r>
        <w:rPr>
          <w:color w:val="000000" w:themeColor="text1"/>
          <w:kern w:val="0"/>
          <w:highlight w:val="none"/>
        </w:rPr>
        <w:t>1、</w:t>
      </w:r>
      <w:r>
        <w:rPr>
          <w:color w:val="000000" w:themeColor="text1"/>
          <w:highlight w:val="none"/>
        </w:rPr>
        <w:t>地形地貌景观破坏现状分析</w:t>
      </w:r>
    </w:p>
    <w:p>
      <w:pPr>
        <w:rPr>
          <w:color w:val="000000" w:themeColor="text1"/>
          <w:highlight w:val="none"/>
        </w:rPr>
      </w:pPr>
      <w:r>
        <w:rPr>
          <w:color w:val="000000" w:themeColor="text1"/>
          <w:kern w:val="0"/>
          <w:highlight w:val="none"/>
        </w:rPr>
        <w:t>评估区</w:t>
      </w:r>
      <w:r>
        <w:rPr>
          <w:rFonts w:hint="eastAsia"/>
          <w:color w:val="000000" w:themeColor="text1"/>
          <w:kern w:val="0"/>
          <w:highlight w:val="none"/>
        </w:rPr>
        <w:t>内</w:t>
      </w:r>
      <w:r>
        <w:rPr>
          <w:color w:val="000000" w:themeColor="text1"/>
          <w:highlight w:val="none"/>
        </w:rPr>
        <w:t>无风景名胜区、自然保护区和其它地形地貌景观和地质遗迹等分布</w:t>
      </w:r>
      <w:r>
        <w:rPr>
          <w:rFonts w:hint="eastAsia"/>
          <w:color w:val="000000" w:themeColor="text1"/>
          <w:highlight w:val="none"/>
        </w:rPr>
        <w:t>，但露天开采、排土场及地面构筑物对地形地貌破坏较大，大规模的土方移动使挖损区地形、地貌发生负向地貌改变，形成凹型挖损地貌；</w:t>
      </w:r>
      <w:r>
        <w:rPr>
          <w:color w:val="000000" w:themeColor="text1"/>
          <w:highlight w:val="none"/>
        </w:rPr>
        <w:t>由于矿山前期新建</w:t>
      </w:r>
      <w:r>
        <w:rPr>
          <w:rFonts w:hint="eastAsia"/>
          <w:color w:val="000000" w:themeColor="text1"/>
          <w:highlight w:val="none"/>
          <w:lang w:eastAsia="zh-CN"/>
        </w:rPr>
        <w:t>露天采场</w:t>
      </w:r>
      <w:r>
        <w:rPr>
          <w:rFonts w:hint="eastAsia"/>
          <w:color w:val="000000" w:themeColor="text1"/>
          <w:highlight w:val="none"/>
        </w:rPr>
        <w:t>和矿山公路等，</w:t>
      </w:r>
      <w:r>
        <w:rPr>
          <w:color w:val="000000" w:themeColor="text1"/>
          <w:highlight w:val="none"/>
        </w:rPr>
        <w:t>改变了原来的陆地山区地貌景观，变为缓平</w:t>
      </w:r>
      <w:r>
        <w:rPr>
          <w:color w:val="000000" w:themeColor="text1"/>
          <w:spacing w:val="-4"/>
          <w:highlight w:val="none"/>
        </w:rPr>
        <w:t>坡地微地貌景观</w:t>
      </w:r>
      <w:r>
        <w:rPr>
          <w:color w:val="000000" w:themeColor="text1"/>
          <w:highlight w:val="none"/>
        </w:rPr>
        <w:t>，</w:t>
      </w:r>
      <w:r>
        <w:rPr>
          <w:color w:val="000000" w:themeColor="text1"/>
          <w:spacing w:val="-4"/>
          <w:highlight w:val="none"/>
        </w:rPr>
        <w:t>地貌变化较大，对地形地貌景观的影响</w:t>
      </w:r>
      <w:r>
        <w:rPr>
          <w:color w:val="000000" w:themeColor="text1"/>
          <w:highlight w:val="none"/>
        </w:rPr>
        <w:t>和破坏程度严重</w:t>
      </w:r>
      <w:r>
        <w:rPr>
          <w:rFonts w:hint="eastAsia"/>
          <w:color w:val="000000" w:themeColor="text1"/>
          <w:highlight w:val="none"/>
        </w:rPr>
        <w:t>，</w:t>
      </w:r>
      <w:r>
        <w:rPr>
          <w:color w:val="000000" w:themeColor="text1"/>
          <w:highlight w:val="none"/>
        </w:rPr>
        <w:t>评估区其余地段对原生的地形地貌景观影响为较轻。</w:t>
      </w:r>
    </w:p>
    <w:p>
      <w:pPr>
        <w:rPr>
          <w:color w:val="000000" w:themeColor="text1"/>
          <w:kern w:val="0"/>
          <w:highlight w:val="none"/>
        </w:rPr>
      </w:pPr>
      <w:r>
        <w:rPr>
          <w:color w:val="000000" w:themeColor="text1"/>
          <w:kern w:val="0"/>
          <w:highlight w:val="none"/>
        </w:rPr>
        <w:t>2、</w:t>
      </w:r>
      <w:r>
        <w:rPr>
          <w:color w:val="000000" w:themeColor="text1"/>
          <w:highlight w:val="none"/>
        </w:rPr>
        <w:t>地形地貌景观破坏预测</w:t>
      </w:r>
    </w:p>
    <w:p>
      <w:pPr>
        <w:rPr>
          <w:color w:val="000000" w:themeColor="text1"/>
          <w:highlight w:val="none"/>
        </w:rPr>
      </w:pPr>
      <w:r>
        <w:rPr>
          <w:color w:val="000000" w:themeColor="text1"/>
          <w:highlight w:val="none"/>
        </w:rPr>
        <w:t>本矿区无重要地质地貌景观保护区和地质遗迹、人文景观分布区。</w:t>
      </w:r>
    </w:p>
    <w:p>
      <w:pPr>
        <w:ind w:firstLine="468"/>
        <w:rPr>
          <w:color w:val="000000" w:themeColor="text1"/>
          <w:highlight w:val="none"/>
        </w:rPr>
      </w:pPr>
      <w:r>
        <w:rPr>
          <w:color w:val="000000" w:themeColor="text1"/>
          <w:spacing w:val="-3"/>
          <w:highlight w:val="none"/>
        </w:rPr>
        <w:t>今后矿山生产对矿层的开采不断加大，</w:t>
      </w:r>
      <w:r>
        <w:rPr>
          <w:rFonts w:hint="eastAsia"/>
          <w:color w:val="000000" w:themeColor="text1"/>
          <w:spacing w:val="-3"/>
          <w:highlight w:val="none"/>
        </w:rPr>
        <w:t>露天采场</w:t>
      </w:r>
      <w:r>
        <w:rPr>
          <w:color w:val="000000" w:themeColor="text1"/>
          <w:spacing w:val="-3"/>
          <w:highlight w:val="none"/>
        </w:rPr>
        <w:t>的面积将不断扩大，</w:t>
      </w:r>
      <w:r>
        <w:rPr>
          <w:rFonts w:hint="eastAsia"/>
          <w:color w:val="000000" w:themeColor="text1"/>
          <w:spacing w:val="-3"/>
          <w:highlight w:val="none"/>
          <w:lang w:eastAsia="zh-CN"/>
        </w:rPr>
        <w:t>新增损毁面积约</w:t>
      </w:r>
      <w:r>
        <w:rPr>
          <w:rFonts w:hint="eastAsia"/>
          <w:color w:val="000000" w:themeColor="text1"/>
          <w:spacing w:val="-3"/>
          <w:highlight w:val="none"/>
        </w:rPr>
        <w:t>在后续生产过程中</w:t>
      </w:r>
      <w:r>
        <w:rPr>
          <w:color w:val="000000" w:themeColor="text1"/>
          <w:spacing w:val="-3"/>
          <w:highlight w:val="none"/>
        </w:rPr>
        <w:t>。</w:t>
      </w:r>
      <w:r>
        <w:rPr>
          <w:color w:val="000000" w:themeColor="text1"/>
          <w:highlight w:val="none"/>
        </w:rPr>
        <w:t>评估区内地面场地</w:t>
      </w:r>
      <w:r>
        <w:rPr>
          <w:color w:val="000000" w:themeColor="text1"/>
          <w:spacing w:val="3"/>
          <w:highlight w:val="none"/>
        </w:rPr>
        <w:t>（</w:t>
      </w:r>
      <w:r>
        <w:rPr>
          <w:color w:val="000000" w:themeColor="text1"/>
          <w:highlight w:val="none"/>
        </w:rPr>
        <w:t>露天采场、</w:t>
      </w:r>
      <w:r>
        <w:rPr>
          <w:rFonts w:hint="eastAsia"/>
          <w:color w:val="000000" w:themeColor="text1"/>
          <w:highlight w:val="none"/>
        </w:rPr>
        <w:t>矿山公路</w:t>
      </w:r>
      <w:r>
        <w:rPr>
          <w:color w:val="000000" w:themeColor="text1"/>
          <w:spacing w:val="3"/>
          <w:highlight w:val="none"/>
        </w:rPr>
        <w:t>）对原生的地形地貌景观</w:t>
      </w:r>
      <w:r>
        <w:rPr>
          <w:color w:val="000000" w:themeColor="text1"/>
          <w:spacing w:val="-3"/>
          <w:highlight w:val="none"/>
        </w:rPr>
        <w:t>破坏较大</w:t>
      </w:r>
      <w:r>
        <w:rPr>
          <w:color w:val="000000" w:themeColor="text1"/>
          <w:spacing w:val="3"/>
          <w:highlight w:val="none"/>
        </w:rPr>
        <w:t>。预测，</w:t>
      </w:r>
      <w:r>
        <w:rPr>
          <w:color w:val="000000" w:themeColor="text1"/>
          <w:highlight w:val="none"/>
        </w:rPr>
        <w:t>露天采场、</w:t>
      </w:r>
      <w:r>
        <w:rPr>
          <w:rFonts w:hint="eastAsia"/>
          <w:color w:val="000000" w:themeColor="text1"/>
          <w:highlight w:val="none"/>
        </w:rPr>
        <w:t>矿山公路</w:t>
      </w:r>
      <w:r>
        <w:rPr>
          <w:color w:val="000000" w:themeColor="text1"/>
          <w:highlight w:val="none"/>
        </w:rPr>
        <w:t>对地形地貌景观影响程度为严重</w:t>
      </w:r>
      <w:r>
        <w:rPr>
          <w:color w:val="000000" w:themeColor="text1"/>
          <w:spacing w:val="3"/>
          <w:highlight w:val="none"/>
        </w:rPr>
        <w:t>，</w:t>
      </w:r>
      <w:r>
        <w:rPr>
          <w:color w:val="000000" w:themeColor="text1"/>
          <w:highlight w:val="none"/>
        </w:rPr>
        <w:t>评估区</w:t>
      </w:r>
      <w:r>
        <w:rPr>
          <w:color w:val="000000" w:themeColor="text1"/>
          <w:spacing w:val="3"/>
          <w:highlight w:val="none"/>
        </w:rPr>
        <w:t>其余地段对原生的地形地貌景观影响程度为较轻</w:t>
      </w:r>
      <w:r>
        <w:rPr>
          <w:color w:val="000000" w:themeColor="text1"/>
          <w:highlight w:val="none"/>
        </w:rPr>
        <w:t>。</w:t>
      </w:r>
    </w:p>
    <w:p>
      <w:pPr>
        <w:pStyle w:val="5"/>
        <w:spacing w:before="82" w:after="82"/>
        <w:rPr>
          <w:color w:val="000000" w:themeColor="text1"/>
          <w:highlight w:val="none"/>
        </w:rPr>
      </w:pPr>
      <w:bookmarkStart w:id="131" w:name="_Toc30275"/>
      <w:bookmarkStart w:id="132" w:name="_Toc15818"/>
      <w:r>
        <w:rPr>
          <w:color w:val="000000" w:themeColor="text1"/>
          <w:highlight w:val="none"/>
        </w:rPr>
        <w:t>3.2.5矿区水土环境污染现状分析与预测</w:t>
      </w:r>
      <w:bookmarkEnd w:id="131"/>
      <w:bookmarkEnd w:id="132"/>
    </w:p>
    <w:p>
      <w:pPr>
        <w:rPr>
          <w:color w:val="000000" w:themeColor="text1"/>
          <w:highlight w:val="none"/>
        </w:rPr>
      </w:pPr>
      <w:r>
        <w:rPr>
          <w:color w:val="000000" w:themeColor="text1"/>
          <w:highlight w:val="none"/>
        </w:rPr>
        <w:t>1、水土环境污染现状分析</w:t>
      </w:r>
    </w:p>
    <w:p>
      <w:pPr>
        <w:rPr>
          <w:color w:val="000000" w:themeColor="text1"/>
          <w:highlight w:val="none"/>
        </w:rPr>
      </w:pPr>
      <w:r>
        <w:rPr>
          <w:color w:val="000000" w:themeColor="text1"/>
          <w:highlight w:val="none"/>
        </w:rPr>
        <w:t>（1）水环境污染现状分析</w:t>
      </w:r>
    </w:p>
    <w:p>
      <w:pPr>
        <w:rPr>
          <w:color w:val="000000" w:themeColor="text1"/>
          <w:highlight w:val="none"/>
        </w:rPr>
      </w:pPr>
      <w:r>
        <w:rPr>
          <w:rFonts w:hint="eastAsia"/>
          <w:color w:val="000000" w:themeColor="text1"/>
          <w:highlight w:val="none"/>
        </w:rPr>
        <w:t>旺苍县</w:t>
      </w:r>
      <w:r>
        <w:rPr>
          <w:rFonts w:hint="eastAsia"/>
          <w:color w:val="000000" w:themeColor="text1"/>
          <w:highlight w:val="none"/>
          <w:lang w:eastAsia="zh-CN"/>
        </w:rPr>
        <w:t>三江镇战旗石灰石矿</w:t>
      </w:r>
      <w:r>
        <w:rPr>
          <w:color w:val="000000" w:themeColor="text1"/>
          <w:highlight w:val="none"/>
        </w:rPr>
        <w:t>开采方式为露天开采，设计开采标高位于当地最低侵蚀基准面之上。采矿活动必然会对植被有一定的破坏，并造成水土流失。矿山所采矿石中无有害物质，对土壤污染较轻，水土流失仅限于开采区域、土壤剥离储存区域等局部范围，地表水、地下水基本不受污染</w:t>
      </w:r>
      <w:r>
        <w:rPr>
          <w:rFonts w:hint="eastAsia"/>
          <w:color w:val="000000" w:themeColor="text1"/>
          <w:highlight w:val="none"/>
        </w:rPr>
        <w:t>。</w:t>
      </w:r>
    </w:p>
    <w:p>
      <w:pPr>
        <w:rPr>
          <w:rFonts w:ascii="宋体" w:hAnsi="宋体"/>
          <w:color w:val="000000" w:themeColor="text1"/>
          <w:highlight w:val="none"/>
        </w:rPr>
      </w:pPr>
      <w:r>
        <w:rPr>
          <w:rFonts w:ascii="宋体" w:hAnsi="宋体"/>
          <w:color w:val="000000" w:themeColor="text1"/>
          <w:highlight w:val="none"/>
        </w:rPr>
        <w:t>因此，现状条件下，</w:t>
      </w:r>
      <w:r>
        <w:rPr>
          <w:rFonts w:hint="eastAsia" w:ascii="宋体" w:hAnsi="宋体"/>
          <w:color w:val="000000" w:themeColor="text1"/>
          <w:highlight w:val="none"/>
        </w:rPr>
        <w:t>矿山</w:t>
      </w:r>
      <w:r>
        <w:rPr>
          <w:rFonts w:ascii="宋体" w:hAnsi="宋体"/>
          <w:color w:val="000000" w:themeColor="text1"/>
          <w:highlight w:val="none"/>
        </w:rPr>
        <w:t>生产活动对地</w:t>
      </w:r>
      <w:r>
        <w:rPr>
          <w:rFonts w:hint="eastAsia" w:ascii="宋体" w:hAnsi="宋体"/>
          <w:color w:val="000000" w:themeColor="text1"/>
          <w:highlight w:val="none"/>
        </w:rPr>
        <w:t>表</w:t>
      </w:r>
      <w:r>
        <w:rPr>
          <w:rFonts w:ascii="宋体" w:hAnsi="宋体"/>
          <w:color w:val="000000" w:themeColor="text1"/>
          <w:highlight w:val="none"/>
        </w:rPr>
        <w:t>水水环境影响程度较轻。</w:t>
      </w:r>
    </w:p>
    <w:p>
      <w:pPr>
        <w:rPr>
          <w:color w:val="000000" w:themeColor="text1"/>
          <w:highlight w:val="none"/>
        </w:rPr>
      </w:pPr>
      <w:r>
        <w:rPr>
          <w:rFonts w:hint="eastAsia"/>
          <w:color w:val="000000" w:themeColor="text1"/>
          <w:highlight w:val="none"/>
        </w:rPr>
        <w:t>（2）</w:t>
      </w:r>
      <w:r>
        <w:rPr>
          <w:color w:val="000000" w:themeColor="text1"/>
          <w:highlight w:val="none"/>
        </w:rPr>
        <w:t>土环境污染现状分析</w:t>
      </w:r>
    </w:p>
    <w:p>
      <w:pPr>
        <w:rPr>
          <w:color w:val="000000" w:themeColor="text1"/>
          <w:highlight w:val="none"/>
        </w:rPr>
      </w:pPr>
      <w:r>
        <w:rPr>
          <w:rFonts w:hint="eastAsia"/>
          <w:color w:val="000000" w:themeColor="text1"/>
          <w:highlight w:val="none"/>
        </w:rPr>
        <w:t>从现状条件分析，矿山开采过程中，土环境的主要污染源为生活污水的排放。矿山生产活动产生的污水经处理后通过地表径流排入沟谷和周边林地进行灌溉，处理后的污水中无有害物质，对土壤污染较轻。</w:t>
      </w:r>
    </w:p>
    <w:p>
      <w:pPr>
        <w:rPr>
          <w:color w:val="000000" w:themeColor="text1"/>
          <w:highlight w:val="none"/>
        </w:rPr>
      </w:pPr>
      <w:r>
        <w:rPr>
          <w:rFonts w:ascii="宋体" w:hAnsi="宋体"/>
          <w:color w:val="000000" w:themeColor="text1"/>
          <w:highlight w:val="none"/>
        </w:rPr>
        <w:t>故现状条件下，矿山</w:t>
      </w:r>
      <w:r>
        <w:rPr>
          <w:rFonts w:hint="eastAsia" w:ascii="宋体" w:hAnsi="宋体"/>
          <w:color w:val="000000" w:themeColor="text1"/>
          <w:highlight w:val="none"/>
        </w:rPr>
        <w:t>开采活动</w:t>
      </w:r>
      <w:r>
        <w:rPr>
          <w:rFonts w:ascii="宋体" w:hAnsi="宋体"/>
          <w:color w:val="000000" w:themeColor="text1"/>
          <w:highlight w:val="none"/>
        </w:rPr>
        <w:t>对土环境污染影响程度较轻。</w:t>
      </w:r>
    </w:p>
    <w:p>
      <w:pPr>
        <w:rPr>
          <w:color w:val="000000" w:themeColor="text1"/>
          <w:kern w:val="0"/>
          <w:highlight w:val="none"/>
        </w:rPr>
      </w:pPr>
      <w:r>
        <w:rPr>
          <w:color w:val="000000" w:themeColor="text1"/>
          <w:highlight w:val="none"/>
        </w:rPr>
        <w:t>2、水土环境污染预测</w:t>
      </w:r>
    </w:p>
    <w:p>
      <w:pPr>
        <w:rPr>
          <w:color w:val="000000" w:themeColor="text1"/>
          <w:highlight w:val="none"/>
        </w:rPr>
      </w:pPr>
      <w:r>
        <w:rPr>
          <w:rFonts w:hint="eastAsia" w:ascii="宋体" w:hAnsi="宋体"/>
          <w:color w:val="000000" w:themeColor="text1"/>
          <w:highlight w:val="none"/>
        </w:rPr>
        <w:t>矿山生产用水主要为除尘、清洁用水，大部分无排放，由于矿石不易分解有害组分，少量需排放的废水也不含有毒有害物质，经过沉淀后，可直接排放；生产废水、生活污水、厕所粪便污水经化粪池处理后排放至周边林地用于灌溉，</w:t>
      </w:r>
      <w:r>
        <w:rPr>
          <w:rFonts w:hint="eastAsia" w:ascii="宋体" w:hAnsi="宋体"/>
          <w:color w:val="000000" w:themeColor="text1"/>
          <w:highlight w:val="none"/>
          <w:lang w:eastAsia="zh-CN"/>
        </w:rPr>
        <w:t>不外排</w:t>
      </w:r>
      <w:r>
        <w:rPr>
          <w:rFonts w:hint="eastAsia" w:ascii="宋体" w:hAnsi="宋体"/>
          <w:color w:val="000000" w:themeColor="text1"/>
          <w:highlight w:val="none"/>
        </w:rPr>
        <w:t>。</w:t>
      </w:r>
    </w:p>
    <w:p>
      <w:pPr>
        <w:rPr>
          <w:color w:val="000000" w:themeColor="text1"/>
          <w:kern w:val="0"/>
          <w:highlight w:val="none"/>
        </w:rPr>
      </w:pPr>
      <w:r>
        <w:rPr>
          <w:rFonts w:hint="eastAsia" w:ascii="宋体" w:hAnsi="宋体"/>
          <w:color w:val="000000" w:themeColor="text1"/>
          <w:highlight w:val="none"/>
          <w:lang w:eastAsia="zh-CN"/>
        </w:rPr>
        <w:t>三江镇战旗石灰石矿</w:t>
      </w:r>
      <w:r>
        <w:rPr>
          <w:rFonts w:ascii="宋体" w:hAnsi="宋体"/>
          <w:color w:val="000000" w:themeColor="text1"/>
          <w:highlight w:val="none"/>
        </w:rPr>
        <w:t>矿山前期生产对水土污染较轻，矿山下一步开采与当前开采方式相同，规模也不会发生变化</w:t>
      </w:r>
      <w:r>
        <w:rPr>
          <w:rFonts w:hint="eastAsia" w:ascii="宋体" w:hAnsi="宋体"/>
          <w:color w:val="000000" w:themeColor="text1"/>
          <w:highlight w:val="none"/>
        </w:rPr>
        <w:t>，</w:t>
      </w:r>
      <w:r>
        <w:rPr>
          <w:rFonts w:ascii="宋体" w:hAnsi="宋体"/>
          <w:color w:val="000000" w:themeColor="text1"/>
          <w:highlight w:val="none"/>
        </w:rPr>
        <w:t>不会引入新的污染源。故预测评估矿山生产对水土污染影响程度为较轻</w:t>
      </w:r>
      <w:r>
        <w:rPr>
          <w:rFonts w:ascii="宋体" w:hAnsi="宋体"/>
          <w:color w:val="000000" w:themeColor="text1"/>
          <w:kern w:val="0"/>
          <w:highlight w:val="none"/>
        </w:rPr>
        <w:t>。</w:t>
      </w:r>
    </w:p>
    <w:p>
      <w:pPr>
        <w:pStyle w:val="5"/>
        <w:spacing w:before="82" w:after="82"/>
        <w:rPr>
          <w:color w:val="000000" w:themeColor="text1"/>
          <w:highlight w:val="none"/>
        </w:rPr>
      </w:pPr>
      <w:bookmarkStart w:id="133" w:name="_Toc1832"/>
      <w:bookmarkStart w:id="134" w:name="_Toc20824"/>
      <w:r>
        <w:rPr>
          <w:color w:val="000000" w:themeColor="text1"/>
          <w:highlight w:val="none"/>
        </w:rPr>
        <w:t>3.2.6矿山地质环境影响评估总述</w:t>
      </w:r>
      <w:bookmarkEnd w:id="133"/>
      <w:bookmarkEnd w:id="134"/>
    </w:p>
    <w:p>
      <w:pPr>
        <w:rPr>
          <w:color w:val="000000" w:themeColor="text1"/>
          <w:highlight w:val="none"/>
        </w:rPr>
      </w:pPr>
      <w:r>
        <w:rPr>
          <w:color w:val="000000" w:themeColor="text1"/>
          <w:highlight w:val="none"/>
        </w:rPr>
        <w:t>通过以上对</w:t>
      </w:r>
      <w:r>
        <w:rPr>
          <w:rFonts w:hint="eastAsia"/>
          <w:color w:val="000000" w:themeColor="text1"/>
          <w:highlight w:val="none"/>
          <w:lang w:val="zh-CN"/>
        </w:rPr>
        <w:t>三江镇战旗石灰石矿</w:t>
      </w:r>
      <w:r>
        <w:rPr>
          <w:color w:val="000000" w:themeColor="text1"/>
          <w:highlight w:val="none"/>
        </w:rPr>
        <w:t>矿山地质环境四个方面的现状分析与预测，按照就高不就低的原则，将矿山地质环境影响评估结果汇总见表3-</w:t>
      </w:r>
      <w:r>
        <w:rPr>
          <w:rFonts w:hint="eastAsia"/>
          <w:color w:val="000000" w:themeColor="text1"/>
          <w:highlight w:val="none"/>
        </w:rPr>
        <w:t>12</w:t>
      </w:r>
      <w:r>
        <w:rPr>
          <w:color w:val="000000" w:themeColor="text1"/>
          <w:highlight w:val="none"/>
        </w:rPr>
        <w:t>、3</w:t>
      </w:r>
      <w:r>
        <w:rPr>
          <w:rFonts w:hint="eastAsia"/>
          <w:color w:val="000000" w:themeColor="text1"/>
          <w:highlight w:val="none"/>
        </w:rPr>
        <w:t>-13</w:t>
      </w:r>
      <w:r>
        <w:rPr>
          <w:color w:val="000000" w:themeColor="text1"/>
          <w:highlight w:val="none"/>
        </w:rPr>
        <w:t>。</w:t>
      </w:r>
    </w:p>
    <w:p>
      <w:pPr>
        <w:pStyle w:val="67"/>
        <w:rPr>
          <w:color w:val="000000" w:themeColor="text1"/>
          <w:highlight w:val="none"/>
        </w:rPr>
      </w:pPr>
      <w:r>
        <w:rPr>
          <w:color w:val="000000" w:themeColor="text1"/>
          <w:highlight w:val="none"/>
        </w:rPr>
        <w:t>表3-</w:t>
      </w:r>
      <w:r>
        <w:rPr>
          <w:rFonts w:hint="eastAsia"/>
          <w:color w:val="000000" w:themeColor="text1"/>
          <w:highlight w:val="none"/>
        </w:rPr>
        <w:t xml:space="preserve">12  </w:t>
      </w:r>
      <w:r>
        <w:rPr>
          <w:color w:val="000000" w:themeColor="text1"/>
          <w:highlight w:val="none"/>
        </w:rPr>
        <w:t>矿山地质环境影响现状评估汇总表</w:t>
      </w:r>
    </w:p>
    <w:tbl>
      <w:tblPr>
        <w:tblStyle w:val="31"/>
        <w:tblW w:w="5000" w:type="pct"/>
        <w:jc w:val="center"/>
        <w:tblLayout w:type="autofit"/>
        <w:tblCellMar>
          <w:top w:w="0" w:type="dxa"/>
          <w:left w:w="108" w:type="dxa"/>
          <w:bottom w:w="0" w:type="dxa"/>
          <w:right w:w="108" w:type="dxa"/>
        </w:tblCellMar>
      </w:tblPr>
      <w:tblGrid>
        <w:gridCol w:w="816"/>
        <w:gridCol w:w="1313"/>
        <w:gridCol w:w="1064"/>
        <w:gridCol w:w="1064"/>
        <w:gridCol w:w="1064"/>
        <w:gridCol w:w="1064"/>
        <w:gridCol w:w="1066"/>
        <w:gridCol w:w="1064"/>
      </w:tblGrid>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序号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评估对象</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szCs w:val="21"/>
                <w:highlight w:val="none"/>
              </w:rPr>
              <w:t>面积</w:t>
            </w:r>
            <w:r>
              <w:rPr>
                <w:color w:val="000000" w:themeColor="text1"/>
                <w:highlight w:val="none"/>
              </w:rPr>
              <w:t>（hm</w:t>
            </w:r>
            <w:r>
              <w:rPr>
                <w:color w:val="000000" w:themeColor="text1"/>
                <w:highlight w:val="none"/>
                <w:vertAlign w:val="superscript"/>
              </w:rPr>
              <w:t>2</w:t>
            </w:r>
            <w:r>
              <w:rPr>
                <w:color w:val="000000" w:themeColor="text1"/>
                <w:highlight w:val="none"/>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地质灾害</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含水层</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地形地貌景观</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水土环境污染</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总评</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color w:val="000000" w:themeColor="text1"/>
                <w:highlight w:val="none"/>
              </w:rPr>
              <w:t>1</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露天采场</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5.5458</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2</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矿山公路</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评估区其余区域</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20.6055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r>
    </w:tbl>
    <w:p>
      <w:pPr>
        <w:pStyle w:val="67"/>
        <w:rPr>
          <w:color w:val="000000" w:themeColor="text1"/>
          <w:highlight w:val="none"/>
        </w:rPr>
      </w:pPr>
    </w:p>
    <w:p>
      <w:pPr>
        <w:pStyle w:val="67"/>
        <w:rPr>
          <w:color w:val="000000" w:themeColor="text1"/>
          <w:highlight w:val="none"/>
        </w:rPr>
      </w:pPr>
      <w:r>
        <w:rPr>
          <w:color w:val="000000" w:themeColor="text1"/>
          <w:highlight w:val="none"/>
        </w:rPr>
        <w:t>表3-</w:t>
      </w:r>
      <w:r>
        <w:rPr>
          <w:rFonts w:hint="eastAsia"/>
          <w:color w:val="000000" w:themeColor="text1"/>
          <w:highlight w:val="none"/>
        </w:rPr>
        <w:t xml:space="preserve">13  </w:t>
      </w:r>
      <w:r>
        <w:rPr>
          <w:color w:val="000000" w:themeColor="text1"/>
          <w:highlight w:val="none"/>
        </w:rPr>
        <w:t>矿山地质环境影响预测评估汇总表</w:t>
      </w:r>
    </w:p>
    <w:tbl>
      <w:tblPr>
        <w:tblStyle w:val="31"/>
        <w:tblW w:w="5000" w:type="pct"/>
        <w:jc w:val="center"/>
        <w:tblLayout w:type="autofit"/>
        <w:tblCellMar>
          <w:top w:w="0" w:type="dxa"/>
          <w:left w:w="108" w:type="dxa"/>
          <w:bottom w:w="0" w:type="dxa"/>
          <w:right w:w="108" w:type="dxa"/>
        </w:tblCellMar>
      </w:tblPr>
      <w:tblGrid>
        <w:gridCol w:w="816"/>
        <w:gridCol w:w="1313"/>
        <w:gridCol w:w="1064"/>
        <w:gridCol w:w="1064"/>
        <w:gridCol w:w="1064"/>
        <w:gridCol w:w="1064"/>
        <w:gridCol w:w="1066"/>
        <w:gridCol w:w="1064"/>
      </w:tblGrid>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bookmarkStart w:id="135" w:name="_Toc17629"/>
            <w:r>
              <w:rPr>
                <w:rFonts w:hint="eastAsia"/>
                <w:color w:val="000000" w:themeColor="text1"/>
                <w:kern w:val="0"/>
                <w:highlight w:val="none"/>
              </w:rPr>
              <w:t>序号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评估对象</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面积</w:t>
            </w:r>
            <w:r>
              <w:rPr>
                <w:color w:val="000000" w:themeColor="text1"/>
                <w:kern w:val="0"/>
                <w:highlight w:val="none"/>
              </w:rPr>
              <w:t>（hm</w:t>
            </w:r>
            <w:r>
              <w:rPr>
                <w:color w:val="000000" w:themeColor="text1"/>
                <w:kern w:val="0"/>
                <w:highlight w:val="none"/>
                <w:vertAlign w:val="superscript"/>
              </w:rPr>
              <w:t>2</w:t>
            </w:r>
            <w:r>
              <w:rPr>
                <w:color w:val="000000" w:themeColor="text1"/>
                <w:kern w:val="0"/>
                <w:highlight w:val="none"/>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地质灾害</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含水层</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地形地貌景观</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水土环境污染</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总评</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color w:val="000000" w:themeColor="text1"/>
                <w:kern w:val="0"/>
                <w:highlight w:val="none"/>
              </w:rPr>
              <w:t>1</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露天采场</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8.9779</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val="en-US" w:eastAsia="zh-CN"/>
              </w:rPr>
              <w:t>2</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矿山公路</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szCs w:val="21"/>
                <w:highlight w:val="none"/>
                <w:lang w:eastAsia="zh-CN"/>
              </w:rPr>
            </w:pPr>
            <w:r>
              <w:rPr>
                <w:rFonts w:hint="eastAsia"/>
                <w:color w:val="000000" w:themeColor="text1"/>
                <w:szCs w:val="21"/>
                <w:highlight w:val="none"/>
                <w:lang w:eastAsia="zh-CN"/>
              </w:rPr>
              <w:t>0.5465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val="en-US" w:eastAsia="zh-CN"/>
              </w:rPr>
              <w:t>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评估区其余区域</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17.1734</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r>
    </w:tbl>
    <w:p>
      <w:pPr>
        <w:pStyle w:val="4"/>
        <w:spacing w:before="82" w:after="82"/>
        <w:rPr>
          <w:color w:val="000000" w:themeColor="text1"/>
          <w:highlight w:val="none"/>
        </w:rPr>
      </w:pPr>
      <w:bookmarkStart w:id="136" w:name="_Toc27228"/>
      <w:r>
        <w:rPr>
          <w:color w:val="000000" w:themeColor="text1"/>
          <w:highlight w:val="none"/>
        </w:rPr>
        <w:t>3.3矿山土地损毁预测与评估</w:t>
      </w:r>
      <w:bookmarkEnd w:id="135"/>
      <w:bookmarkEnd w:id="136"/>
    </w:p>
    <w:p>
      <w:pPr>
        <w:pStyle w:val="5"/>
        <w:spacing w:before="82" w:after="82"/>
        <w:rPr>
          <w:color w:val="000000" w:themeColor="text1"/>
          <w:highlight w:val="none"/>
        </w:rPr>
      </w:pPr>
      <w:bookmarkStart w:id="137" w:name="_Toc16446"/>
      <w:bookmarkStart w:id="138" w:name="_Toc4215"/>
      <w:r>
        <w:rPr>
          <w:color w:val="000000" w:themeColor="text1"/>
          <w:highlight w:val="none"/>
        </w:rPr>
        <w:t>3.3.1土地损毁环节与时序</w:t>
      </w:r>
      <w:bookmarkEnd w:id="137"/>
      <w:bookmarkEnd w:id="138"/>
    </w:p>
    <w:p>
      <w:pPr>
        <w:rPr>
          <w:color w:val="000000" w:themeColor="text1"/>
          <w:highlight w:val="none"/>
        </w:rPr>
      </w:pPr>
      <w:r>
        <w:rPr>
          <w:color w:val="000000" w:themeColor="text1"/>
          <w:highlight w:val="none"/>
        </w:rPr>
        <w:t>1、土地损毁环节</w:t>
      </w:r>
    </w:p>
    <w:p>
      <w:pPr>
        <w:rPr>
          <w:color w:val="000000" w:themeColor="text1"/>
          <w:highlight w:val="none"/>
        </w:rPr>
      </w:pPr>
      <w:r>
        <w:rPr>
          <w:color w:val="000000" w:themeColor="text1"/>
          <w:highlight w:val="none"/>
        </w:rPr>
        <w:t>矿区底层呈单斜层状产出，矿床以中等坚硬层状构造岩石为主，矿区外围无断裂构造，岩层稳定性较好。矿石又为露天自上而下分层开采，边坡稳性较好，因此采区地面发生大范围的滑坡、崩塌、泥石流、地面裂缝等地质灾害的可能性极小，地面处于基本稳定状态。</w:t>
      </w:r>
    </w:p>
    <w:p>
      <w:pPr>
        <w:rPr>
          <w:color w:val="000000" w:themeColor="text1"/>
          <w:highlight w:val="none"/>
        </w:rPr>
      </w:pPr>
      <w:r>
        <w:rPr>
          <w:color w:val="000000" w:themeColor="text1"/>
          <w:highlight w:val="none"/>
        </w:rPr>
        <w:t>根据该矿山开发利用方案中生产工艺和流程和总图运输及公用辅助工程设计，生产活动中对土地的损毁形式、环节和时序如下：</w:t>
      </w:r>
    </w:p>
    <w:p>
      <w:pPr>
        <w:rPr>
          <w:color w:val="000000" w:themeColor="text1"/>
          <w:highlight w:val="none"/>
        </w:rPr>
      </w:pPr>
      <w:r>
        <w:rPr>
          <w:rFonts w:hint="eastAsia"/>
          <w:color w:val="000000" w:themeColor="text1"/>
          <w:highlight w:val="none"/>
        </w:rPr>
        <w:t>a、</w:t>
      </w:r>
      <w:r>
        <w:rPr>
          <w:color w:val="000000" w:themeColor="text1"/>
          <w:highlight w:val="none"/>
        </w:rPr>
        <w:t>损毁环节</w:t>
      </w:r>
    </w:p>
    <w:p>
      <w:pPr>
        <w:rPr>
          <w:color w:val="000000" w:themeColor="text1"/>
          <w:highlight w:val="none"/>
        </w:rPr>
      </w:pPr>
      <w:r>
        <w:rPr>
          <w:color w:val="000000" w:themeColor="text1"/>
          <w:highlight w:val="none"/>
        </w:rPr>
        <w:t>矿山开采对土地损毁的环节主要有：</w:t>
      </w:r>
    </w:p>
    <w:p>
      <w:pPr>
        <w:rPr>
          <w:color w:val="000000" w:themeColor="text1"/>
          <w:highlight w:val="none"/>
        </w:rPr>
      </w:pPr>
      <w:r>
        <w:rPr>
          <w:rFonts w:hint="eastAsia"/>
          <w:color w:val="000000" w:themeColor="text1"/>
          <w:highlight w:val="none"/>
        </w:rPr>
        <w:t>（1）</w:t>
      </w:r>
      <w:r>
        <w:rPr>
          <w:color w:val="000000" w:themeColor="text1"/>
          <w:highlight w:val="none"/>
        </w:rPr>
        <w:t>开采前期的基建剥土挖损损毁和压占损毁土地，主要包括：</w:t>
      </w:r>
    </w:p>
    <w:p>
      <w:pPr>
        <w:rPr>
          <w:color w:val="000000" w:themeColor="text1"/>
          <w:highlight w:val="none"/>
        </w:rPr>
      </w:pPr>
      <w:r>
        <w:rPr>
          <w:rFonts w:hint="eastAsia"/>
          <w:color w:val="000000" w:themeColor="text1"/>
          <w:highlight w:val="none"/>
        </w:rPr>
        <w:t>（2）</w:t>
      </w:r>
      <w:r>
        <w:rPr>
          <w:color w:val="000000" w:themeColor="text1"/>
          <w:highlight w:val="none"/>
        </w:rPr>
        <w:t>开采过程弃土堆放压占损毁土地。</w:t>
      </w:r>
    </w:p>
    <w:p>
      <w:pPr>
        <w:rPr>
          <w:color w:val="000000" w:themeColor="text1"/>
          <w:highlight w:val="none"/>
        </w:rPr>
      </w:pPr>
      <w:r>
        <w:rPr>
          <w:rFonts w:hint="eastAsia"/>
          <w:color w:val="000000" w:themeColor="text1"/>
          <w:highlight w:val="none"/>
        </w:rPr>
        <w:t>（3）</w:t>
      </w:r>
      <w:r>
        <w:rPr>
          <w:color w:val="000000" w:themeColor="text1"/>
          <w:highlight w:val="none"/>
        </w:rPr>
        <w:t>采矿机械进场和矿石外运，修建矿山公路挖损、占用土地。</w:t>
      </w:r>
    </w:p>
    <w:p>
      <w:pPr>
        <w:rPr>
          <w:color w:val="000000" w:themeColor="text1"/>
          <w:highlight w:val="none"/>
        </w:rPr>
      </w:pPr>
      <w:r>
        <w:rPr>
          <w:rFonts w:hint="eastAsia"/>
          <w:color w:val="000000" w:themeColor="text1"/>
          <w:highlight w:val="none"/>
        </w:rPr>
        <w:t>b、</w:t>
      </w:r>
      <w:r>
        <w:rPr>
          <w:color w:val="000000" w:themeColor="text1"/>
          <w:highlight w:val="none"/>
        </w:rPr>
        <w:t>损毁顺序</w:t>
      </w:r>
    </w:p>
    <w:p>
      <w:pPr>
        <w:rPr>
          <w:color w:val="000000" w:themeColor="text1"/>
          <w:highlight w:val="none"/>
        </w:rPr>
      </w:pPr>
      <w:r>
        <w:rPr>
          <w:color w:val="000000" w:themeColor="text1"/>
          <w:highlight w:val="none"/>
        </w:rPr>
        <w:t>矿山开采对土地损毁顺序跟矿山生产建设的步骤密切相关：前期基建先剥离表土；随着开采的进行，开采阶段的推进，土地损毁随之扩大。</w:t>
      </w:r>
    </w:p>
    <w:p>
      <w:pPr>
        <w:rPr>
          <w:color w:val="000000" w:themeColor="text1"/>
          <w:highlight w:val="none"/>
        </w:rPr>
      </w:pPr>
      <w:r>
        <w:rPr>
          <w:rFonts w:hint="eastAsia"/>
          <w:color w:val="000000" w:themeColor="text1"/>
          <w:highlight w:val="none"/>
        </w:rPr>
        <w:t>c、</w:t>
      </w:r>
      <w:r>
        <w:rPr>
          <w:color w:val="000000" w:themeColor="text1"/>
          <w:highlight w:val="none"/>
        </w:rPr>
        <w:t>损毁方式</w:t>
      </w:r>
    </w:p>
    <w:p>
      <w:pPr>
        <w:rPr>
          <w:color w:val="000000" w:themeColor="text1"/>
          <w:highlight w:val="none"/>
        </w:rPr>
      </w:pPr>
      <w:r>
        <w:rPr>
          <w:color w:val="000000" w:themeColor="text1"/>
          <w:highlight w:val="none"/>
        </w:rPr>
        <w:t>该矿山生产建设对土地损毁的方式主要有：挖损、压占。</w:t>
      </w:r>
    </w:p>
    <w:p>
      <w:pPr>
        <w:rPr>
          <w:color w:val="000000" w:themeColor="text1"/>
          <w:highlight w:val="none"/>
        </w:rPr>
      </w:pPr>
      <w:r>
        <w:rPr>
          <w:color w:val="000000" w:themeColor="text1"/>
          <w:highlight w:val="none"/>
        </w:rPr>
        <w:t>各单元对土地的损毁时序，是根据各单元的空间关系和矿山开采利用的布局确定的，矿山生产建设活动可能的土地损毁环节、形式及时序如下表：</w:t>
      </w:r>
    </w:p>
    <w:p>
      <w:pPr>
        <w:pStyle w:val="67"/>
        <w:rPr>
          <w:color w:val="000000" w:themeColor="text1"/>
          <w:highlight w:val="none"/>
        </w:rPr>
      </w:pPr>
      <w:r>
        <w:rPr>
          <w:color w:val="000000" w:themeColor="text1"/>
          <w:highlight w:val="none"/>
        </w:rPr>
        <w:t>表3-</w:t>
      </w:r>
      <w:r>
        <w:rPr>
          <w:rFonts w:hint="eastAsia"/>
          <w:color w:val="000000" w:themeColor="text1"/>
          <w:highlight w:val="none"/>
        </w:rPr>
        <w:t xml:space="preserve">14  </w:t>
      </w:r>
      <w:r>
        <w:rPr>
          <w:color w:val="000000" w:themeColor="text1"/>
          <w:highlight w:val="none"/>
        </w:rPr>
        <w:t>矿区生产损毁时序表</w:t>
      </w:r>
    </w:p>
    <w:tbl>
      <w:tblPr>
        <w:tblStyle w:val="31"/>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552"/>
        <w:gridCol w:w="1701"/>
        <w:gridCol w:w="1895"/>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Align w:val="center"/>
          </w:tcPr>
          <w:p>
            <w:pPr>
              <w:pStyle w:val="63"/>
              <w:rPr>
                <w:color w:val="000000" w:themeColor="text1"/>
                <w:highlight w:val="none"/>
              </w:rPr>
            </w:pPr>
            <w:r>
              <w:rPr>
                <w:rFonts w:hint="eastAsia"/>
                <w:color w:val="000000" w:themeColor="text1"/>
                <w:highlight w:val="none"/>
              </w:rPr>
              <w:t>序号</w:t>
            </w:r>
          </w:p>
        </w:tc>
        <w:tc>
          <w:tcPr>
            <w:tcW w:w="2552" w:type="dxa"/>
            <w:vAlign w:val="center"/>
          </w:tcPr>
          <w:p>
            <w:pPr>
              <w:pStyle w:val="63"/>
              <w:rPr>
                <w:color w:val="000000" w:themeColor="text1"/>
                <w:highlight w:val="none"/>
              </w:rPr>
            </w:pPr>
            <w:r>
              <w:rPr>
                <w:color w:val="000000" w:themeColor="text1"/>
                <w:highlight w:val="none"/>
              </w:rPr>
              <w:t>损毁</w:t>
            </w:r>
            <w:r>
              <w:rPr>
                <w:rFonts w:hint="eastAsia"/>
                <w:color w:val="000000" w:themeColor="text1"/>
                <w:highlight w:val="none"/>
              </w:rPr>
              <w:t>单元</w:t>
            </w:r>
          </w:p>
        </w:tc>
        <w:tc>
          <w:tcPr>
            <w:tcW w:w="1701" w:type="dxa"/>
            <w:vAlign w:val="center"/>
          </w:tcPr>
          <w:p>
            <w:pPr>
              <w:pStyle w:val="63"/>
              <w:rPr>
                <w:color w:val="000000" w:themeColor="text1"/>
                <w:highlight w:val="none"/>
              </w:rPr>
            </w:pPr>
            <w:r>
              <w:rPr>
                <w:color w:val="000000" w:themeColor="text1"/>
                <w:highlight w:val="none"/>
              </w:rPr>
              <w:t>损毁方式</w:t>
            </w:r>
          </w:p>
        </w:tc>
        <w:tc>
          <w:tcPr>
            <w:tcW w:w="1895" w:type="dxa"/>
            <w:vAlign w:val="center"/>
          </w:tcPr>
          <w:p>
            <w:pPr>
              <w:pStyle w:val="63"/>
              <w:rPr>
                <w:color w:val="000000" w:themeColor="text1"/>
                <w:highlight w:val="none"/>
              </w:rPr>
            </w:pPr>
            <w:r>
              <w:rPr>
                <w:rFonts w:hint="eastAsia"/>
                <w:color w:val="000000" w:themeColor="text1"/>
                <w:highlight w:val="none"/>
              </w:rPr>
              <w:t>损毁面积hm</w:t>
            </w:r>
            <w:r>
              <w:rPr>
                <w:rFonts w:hint="eastAsia"/>
                <w:color w:val="000000" w:themeColor="text1"/>
                <w:highlight w:val="none"/>
                <w:vertAlign w:val="superscript"/>
              </w:rPr>
              <w:t>2</w:t>
            </w:r>
          </w:p>
        </w:tc>
        <w:tc>
          <w:tcPr>
            <w:tcW w:w="1498" w:type="dxa"/>
            <w:vAlign w:val="center"/>
          </w:tcPr>
          <w:p>
            <w:pPr>
              <w:pStyle w:val="63"/>
              <w:rPr>
                <w:color w:val="000000" w:themeColor="text1"/>
                <w:highlight w:val="none"/>
              </w:rPr>
            </w:pPr>
            <w:r>
              <w:rPr>
                <w:color w:val="000000" w:themeColor="text1"/>
                <w:highlight w:val="none"/>
              </w:rPr>
              <w:t>损毁时间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Align w:val="center"/>
          </w:tcPr>
          <w:p>
            <w:pPr>
              <w:pStyle w:val="63"/>
              <w:rPr>
                <w:color w:val="000000" w:themeColor="text1"/>
                <w:highlight w:val="none"/>
              </w:rPr>
            </w:pPr>
            <w:r>
              <w:rPr>
                <w:color w:val="000000" w:themeColor="text1"/>
                <w:highlight w:val="none"/>
              </w:rPr>
              <w:t>1</w:t>
            </w:r>
          </w:p>
        </w:tc>
        <w:tc>
          <w:tcPr>
            <w:tcW w:w="2552" w:type="dxa"/>
            <w:vAlign w:val="center"/>
          </w:tcPr>
          <w:p>
            <w:pPr>
              <w:pStyle w:val="63"/>
              <w:rPr>
                <w:color w:val="000000" w:themeColor="text1"/>
                <w:highlight w:val="none"/>
              </w:rPr>
            </w:pPr>
            <w:r>
              <w:rPr>
                <w:rFonts w:hint="eastAsia"/>
                <w:color w:val="000000" w:themeColor="text1"/>
                <w:highlight w:val="none"/>
              </w:rPr>
              <w:t>露天采场</w:t>
            </w:r>
          </w:p>
        </w:tc>
        <w:tc>
          <w:tcPr>
            <w:tcW w:w="1701" w:type="dxa"/>
            <w:vAlign w:val="center"/>
          </w:tcPr>
          <w:p>
            <w:pPr>
              <w:pStyle w:val="63"/>
              <w:rPr>
                <w:color w:val="000000" w:themeColor="text1"/>
                <w:highlight w:val="none"/>
              </w:rPr>
            </w:pPr>
            <w:r>
              <w:rPr>
                <w:rFonts w:hint="eastAsia"/>
                <w:color w:val="000000" w:themeColor="text1"/>
                <w:highlight w:val="none"/>
              </w:rPr>
              <w:t>挖损</w:t>
            </w:r>
          </w:p>
        </w:tc>
        <w:tc>
          <w:tcPr>
            <w:tcW w:w="1895" w:type="dxa"/>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5.5458</w:t>
            </w:r>
          </w:p>
        </w:tc>
        <w:tc>
          <w:tcPr>
            <w:tcW w:w="1498" w:type="dxa"/>
            <w:vAlign w:val="center"/>
          </w:tcPr>
          <w:p>
            <w:pPr>
              <w:pStyle w:val="63"/>
              <w:rPr>
                <w:color w:val="000000" w:themeColor="text1"/>
                <w:highlight w:val="none"/>
              </w:rPr>
            </w:pPr>
            <w:r>
              <w:rPr>
                <w:rFonts w:hint="eastAsia"/>
                <w:color w:val="000000" w:themeColor="text1"/>
                <w:highlight w:val="none"/>
                <w:lang w:eastAsia="zh-CN"/>
              </w:rPr>
              <w:t>202</w:t>
            </w:r>
            <w:r>
              <w:rPr>
                <w:rFonts w:hint="eastAsia"/>
                <w:color w:val="000000" w:themeColor="text1"/>
                <w:highlight w:val="none"/>
                <w:lang w:val="en-US" w:eastAsia="zh-CN"/>
              </w:rPr>
              <w:t>2</w:t>
            </w:r>
            <w:r>
              <w:rPr>
                <w:rFonts w:hint="eastAsia"/>
                <w:color w:val="000000" w:themeColor="text1"/>
                <w:highlight w:val="none"/>
              </w:rPr>
              <w:t>年</w:t>
            </w:r>
            <w:r>
              <w:rPr>
                <w:color w:val="000000" w:themeColor="text1"/>
                <w:highlight w:val="none"/>
              </w:rPr>
              <w:t>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2</w:t>
            </w:r>
          </w:p>
        </w:tc>
        <w:tc>
          <w:tcPr>
            <w:tcW w:w="2552" w:type="dxa"/>
            <w:vAlign w:val="center"/>
          </w:tcPr>
          <w:p>
            <w:pPr>
              <w:pStyle w:val="63"/>
              <w:rPr>
                <w:color w:val="000000" w:themeColor="text1"/>
                <w:highlight w:val="none"/>
              </w:rPr>
            </w:pPr>
            <w:r>
              <w:rPr>
                <w:rFonts w:hint="eastAsia"/>
                <w:color w:val="000000" w:themeColor="text1"/>
                <w:highlight w:val="none"/>
              </w:rPr>
              <w:t>矿山公路</w:t>
            </w:r>
          </w:p>
        </w:tc>
        <w:tc>
          <w:tcPr>
            <w:tcW w:w="1701" w:type="dxa"/>
            <w:vAlign w:val="center"/>
          </w:tcPr>
          <w:p>
            <w:pPr>
              <w:pStyle w:val="63"/>
              <w:rPr>
                <w:color w:val="000000" w:themeColor="text1"/>
                <w:highlight w:val="none"/>
              </w:rPr>
            </w:pPr>
            <w:r>
              <w:rPr>
                <w:rFonts w:hint="eastAsia"/>
                <w:color w:val="000000" w:themeColor="text1"/>
                <w:highlight w:val="none"/>
              </w:rPr>
              <w:t>压占</w:t>
            </w:r>
          </w:p>
        </w:tc>
        <w:tc>
          <w:tcPr>
            <w:tcW w:w="1895" w:type="dxa"/>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c>
          <w:tcPr>
            <w:tcW w:w="1498" w:type="dxa"/>
            <w:vAlign w:val="center"/>
          </w:tcPr>
          <w:p>
            <w:pPr>
              <w:pStyle w:val="63"/>
              <w:rPr>
                <w:color w:val="000000" w:themeColor="text1"/>
                <w:highlight w:val="none"/>
              </w:rPr>
            </w:pPr>
            <w:r>
              <w:rPr>
                <w:rFonts w:hint="eastAsia"/>
                <w:color w:val="000000" w:themeColor="text1"/>
                <w:highlight w:val="none"/>
                <w:lang w:eastAsia="zh-CN"/>
              </w:rPr>
              <w:t>202</w:t>
            </w:r>
            <w:r>
              <w:rPr>
                <w:rFonts w:hint="eastAsia"/>
                <w:color w:val="000000" w:themeColor="text1"/>
                <w:highlight w:val="none"/>
                <w:lang w:val="en-US" w:eastAsia="zh-CN"/>
              </w:rPr>
              <w:t>2</w:t>
            </w:r>
            <w:r>
              <w:rPr>
                <w:rFonts w:hint="eastAsia"/>
                <w:color w:val="000000" w:themeColor="text1"/>
                <w:highlight w:val="none"/>
              </w:rPr>
              <w:t>年</w:t>
            </w:r>
            <w:r>
              <w:rPr>
                <w:color w:val="000000" w:themeColor="text1"/>
                <w:highlight w:val="none"/>
              </w:rPr>
              <w:t>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3</w:t>
            </w:r>
          </w:p>
        </w:tc>
        <w:tc>
          <w:tcPr>
            <w:tcW w:w="2552" w:type="dxa"/>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露天采场拟开采</w:t>
            </w:r>
          </w:p>
        </w:tc>
        <w:tc>
          <w:tcPr>
            <w:tcW w:w="1701" w:type="dxa"/>
            <w:vAlign w:val="center"/>
          </w:tcPr>
          <w:p>
            <w:pPr>
              <w:pStyle w:val="63"/>
              <w:rPr>
                <w:color w:val="000000" w:themeColor="text1"/>
                <w:highlight w:val="none"/>
              </w:rPr>
            </w:pPr>
            <w:r>
              <w:rPr>
                <w:rFonts w:hint="eastAsia"/>
                <w:color w:val="000000" w:themeColor="text1"/>
                <w:highlight w:val="none"/>
              </w:rPr>
              <w:t>挖损</w:t>
            </w:r>
          </w:p>
        </w:tc>
        <w:tc>
          <w:tcPr>
            <w:tcW w:w="1895" w:type="dxa"/>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3.4321</w:t>
            </w:r>
          </w:p>
        </w:tc>
        <w:tc>
          <w:tcPr>
            <w:tcW w:w="1498" w:type="dxa"/>
            <w:vAlign w:val="center"/>
          </w:tcPr>
          <w:p>
            <w:pPr>
              <w:pStyle w:val="63"/>
              <w:rPr>
                <w:color w:val="000000" w:themeColor="text1"/>
                <w:highlight w:val="none"/>
              </w:rPr>
            </w:pPr>
            <w:r>
              <w:rPr>
                <w:rFonts w:hint="eastAsia"/>
                <w:color w:val="000000" w:themeColor="text1"/>
                <w:highlight w:val="none"/>
                <w:lang w:eastAsia="zh-CN"/>
              </w:rPr>
              <w:t>202</w:t>
            </w:r>
            <w:r>
              <w:rPr>
                <w:rFonts w:hint="eastAsia"/>
                <w:color w:val="000000" w:themeColor="text1"/>
                <w:highlight w:val="none"/>
                <w:lang w:val="en-US" w:eastAsia="zh-CN"/>
              </w:rPr>
              <w:t>2</w:t>
            </w:r>
            <w:r>
              <w:rPr>
                <w:rFonts w:hint="eastAsia"/>
                <w:color w:val="000000" w:themeColor="text1"/>
                <w:highlight w:val="none"/>
              </w:rPr>
              <w:t>年</w:t>
            </w:r>
            <w:r>
              <w:rPr>
                <w:color w:val="000000" w:themeColor="text1"/>
                <w:highlight w:val="none"/>
              </w:rPr>
              <w:t>以</w:t>
            </w:r>
            <w:r>
              <w:rPr>
                <w:rFonts w:hint="eastAsia"/>
                <w:color w:val="000000" w:themeColor="text1"/>
                <w:highlight w:val="none"/>
              </w:rPr>
              <w:t>后</w:t>
            </w:r>
          </w:p>
        </w:tc>
      </w:tr>
    </w:tbl>
    <w:p>
      <w:pPr>
        <w:pStyle w:val="5"/>
        <w:spacing w:before="82" w:after="82"/>
        <w:rPr>
          <w:color w:val="000000" w:themeColor="text1"/>
          <w:highlight w:val="none"/>
        </w:rPr>
      </w:pPr>
      <w:bookmarkStart w:id="139" w:name="_Toc17951"/>
      <w:bookmarkStart w:id="140" w:name="_Toc24463"/>
      <w:r>
        <w:rPr>
          <w:color w:val="000000" w:themeColor="text1"/>
          <w:highlight w:val="none"/>
        </w:rPr>
        <w:t>3.3.2已损毁各类土地现状</w:t>
      </w:r>
      <w:bookmarkEnd w:id="139"/>
      <w:bookmarkEnd w:id="140"/>
    </w:p>
    <w:p>
      <w:pPr>
        <w:rPr>
          <w:color w:val="000000" w:themeColor="text1"/>
          <w:highlight w:val="none"/>
        </w:rPr>
      </w:pPr>
      <w:r>
        <w:rPr>
          <w:color w:val="000000" w:themeColor="text1"/>
          <w:highlight w:val="none"/>
        </w:rPr>
        <w:t>项目区已损毁区域面积</w:t>
      </w:r>
      <w:r>
        <w:rPr>
          <w:rFonts w:hint="eastAsia"/>
          <w:color w:val="000000" w:themeColor="text1"/>
          <w:highlight w:val="none"/>
          <w:lang w:val="en-US" w:eastAsia="zh-CN"/>
        </w:rPr>
        <w:t>6.0923</w:t>
      </w:r>
      <w:r>
        <w:rPr>
          <w:color w:val="000000" w:themeColor="text1"/>
          <w:highlight w:val="none"/>
        </w:rPr>
        <w:t>hm</w:t>
      </w:r>
      <w:r>
        <w:rPr>
          <w:color w:val="000000" w:themeColor="text1"/>
          <w:highlight w:val="none"/>
          <w:vertAlign w:val="superscript"/>
        </w:rPr>
        <w:t>2</w:t>
      </w:r>
      <w:r>
        <w:rPr>
          <w:color w:val="000000" w:themeColor="text1"/>
          <w:highlight w:val="none"/>
        </w:rPr>
        <w:t>，主要是露天采场占地面积</w:t>
      </w:r>
      <w:r>
        <w:rPr>
          <w:rFonts w:hint="eastAsia"/>
          <w:color w:val="000000" w:themeColor="text1"/>
          <w:highlight w:val="none"/>
          <w:lang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，矿山公路</w:t>
      </w:r>
      <w:r>
        <w:rPr>
          <w:color w:val="000000" w:themeColor="text1"/>
          <w:highlight w:val="none"/>
        </w:rPr>
        <w:t>占地面积</w:t>
      </w:r>
      <w:r>
        <w:rPr>
          <w:rFonts w:hint="eastAsia"/>
          <w:color w:val="000000" w:themeColor="text1"/>
          <w:highlight w:val="none"/>
          <w:lang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r>
        <w:rPr>
          <w:color w:val="000000" w:themeColor="text1"/>
          <w:highlight w:val="none"/>
        </w:rPr>
        <w:t>均未占用基本农田，土地损毁现状详见表</w:t>
      </w:r>
      <w:r>
        <w:rPr>
          <w:rFonts w:hint="eastAsia"/>
          <w:color w:val="000000" w:themeColor="text1"/>
          <w:highlight w:val="none"/>
        </w:rPr>
        <w:t>3-15</w:t>
      </w:r>
      <w:r>
        <w:rPr>
          <w:color w:val="000000" w:themeColor="text1"/>
          <w:highlight w:val="none"/>
        </w:rPr>
        <w:t>。</w:t>
      </w:r>
    </w:p>
    <w:p>
      <w:pPr>
        <w:pStyle w:val="67"/>
        <w:rPr>
          <w:color w:val="000000" w:themeColor="text1"/>
          <w:highlight w:val="none"/>
        </w:rPr>
      </w:pPr>
      <w:r>
        <w:rPr>
          <w:rFonts w:hint="eastAsia"/>
          <w:color w:val="000000" w:themeColor="text1"/>
          <w:highlight w:val="none"/>
        </w:rPr>
        <w:t>表3-15  土地损毁现状表</w:t>
      </w:r>
    </w:p>
    <w:tbl>
      <w:tblPr>
        <w:tblStyle w:val="31"/>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592"/>
        <w:gridCol w:w="1511"/>
        <w:gridCol w:w="1823"/>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6" w:type="dxa"/>
            <w:gridSpan w:val="5"/>
            <w:shd w:val="clear" w:color="auto" w:fill="auto"/>
            <w:noWrap/>
            <w:vAlign w:val="center"/>
          </w:tcPr>
          <w:p>
            <w:pPr>
              <w:pStyle w:val="63"/>
              <w:rPr>
                <w:color w:val="000000" w:themeColor="text1"/>
                <w:highlight w:val="none"/>
              </w:rPr>
            </w:pPr>
            <w:r>
              <w:rPr>
                <w:rFonts w:hint="eastAsia"/>
                <w:color w:val="000000" w:themeColor="text1"/>
                <w:highlight w:val="none"/>
              </w:rPr>
              <w:t>地类及面积（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vMerge w:val="restart"/>
            <w:shd w:val="clear" w:color="auto" w:fill="auto"/>
            <w:vAlign w:val="center"/>
          </w:tcPr>
          <w:p>
            <w:pPr>
              <w:pStyle w:val="63"/>
              <w:rPr>
                <w:color w:val="000000" w:themeColor="text1"/>
                <w:highlight w:val="none"/>
              </w:rPr>
            </w:pPr>
            <w:r>
              <w:rPr>
                <w:rFonts w:hint="eastAsia"/>
                <w:color w:val="000000" w:themeColor="text1"/>
                <w:highlight w:val="none"/>
              </w:rPr>
              <w:t>损毁区域</w:t>
            </w:r>
          </w:p>
        </w:tc>
        <w:tc>
          <w:tcPr>
            <w:tcW w:w="3103" w:type="dxa"/>
            <w:gridSpan w:val="2"/>
            <w:shd w:val="clear" w:color="auto" w:fill="auto"/>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03</w:t>
            </w:r>
            <w:r>
              <w:rPr>
                <w:rFonts w:hint="eastAsia"/>
                <w:color w:val="000000" w:themeColor="text1"/>
                <w:highlight w:val="none"/>
              </w:rPr>
              <w:t>）</w:t>
            </w:r>
          </w:p>
        </w:tc>
        <w:tc>
          <w:tcPr>
            <w:tcW w:w="1823" w:type="dxa"/>
            <w:shd w:val="clear" w:color="auto" w:fill="auto"/>
            <w:vAlign w:val="center"/>
          </w:tcPr>
          <w:p>
            <w:pPr>
              <w:pStyle w:val="63"/>
              <w:rPr>
                <w:color w:val="000000" w:themeColor="text1"/>
                <w:highlight w:val="none"/>
              </w:rPr>
            </w:pPr>
            <w:r>
              <w:rPr>
                <w:rFonts w:hint="eastAsia"/>
                <w:color w:val="000000" w:themeColor="text1"/>
                <w:highlight w:val="none"/>
              </w:rPr>
              <w:t>城镇村及工矿用地（</w:t>
            </w:r>
            <w:r>
              <w:rPr>
                <w:rFonts w:hint="eastAsia"/>
                <w:color w:val="000000" w:themeColor="text1"/>
                <w:highlight w:val="none"/>
                <w:lang w:val="en-US" w:eastAsia="zh-CN"/>
              </w:rPr>
              <w:t>06</w:t>
            </w:r>
            <w:r>
              <w:rPr>
                <w:rFonts w:hint="eastAsia"/>
                <w:color w:val="000000" w:themeColor="text1"/>
                <w:highlight w:val="none"/>
              </w:rPr>
              <w:t>）</w:t>
            </w:r>
          </w:p>
        </w:tc>
        <w:tc>
          <w:tcPr>
            <w:tcW w:w="1296" w:type="dxa"/>
            <w:shd w:val="clear" w:color="auto" w:fill="auto"/>
            <w:vAlign w:val="center"/>
          </w:tcPr>
          <w:p>
            <w:pPr>
              <w:pStyle w:val="63"/>
              <w:rPr>
                <w:color w:val="000000" w:themeColor="text1"/>
                <w:highlight w:val="none"/>
              </w:rPr>
            </w:pPr>
            <w:r>
              <w:rPr>
                <w:rFonts w:hint="eastAsia"/>
                <w:color w:val="000000" w:themeColor="text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vMerge w:val="continue"/>
            <w:vAlign w:val="center"/>
          </w:tcPr>
          <w:p>
            <w:pPr>
              <w:pStyle w:val="63"/>
              <w:rPr>
                <w:color w:val="000000" w:themeColor="text1"/>
                <w:highlight w:val="none"/>
              </w:rPr>
            </w:pPr>
          </w:p>
        </w:tc>
        <w:tc>
          <w:tcPr>
            <w:tcW w:w="1592" w:type="dxa"/>
            <w:shd w:val="clear" w:color="auto" w:fill="auto"/>
            <w:vAlign w:val="center"/>
          </w:tcPr>
          <w:p>
            <w:pPr>
              <w:pStyle w:val="63"/>
              <w:rPr>
                <w:color w:val="000000" w:themeColor="text1"/>
                <w:highlight w:val="none"/>
              </w:rPr>
            </w:pPr>
            <w:r>
              <w:rPr>
                <w:rFonts w:hint="eastAsia"/>
                <w:color w:val="000000" w:themeColor="text1"/>
                <w:highlight w:val="none"/>
                <w:lang w:eastAsia="zh-CN"/>
              </w:rPr>
              <w:t>乔木林地</w:t>
            </w:r>
            <w:r>
              <w:rPr>
                <w:rFonts w:hint="eastAsia"/>
                <w:color w:val="000000" w:themeColor="text1"/>
                <w:highlight w:val="none"/>
              </w:rPr>
              <w:t>（</w:t>
            </w:r>
            <w:r>
              <w:rPr>
                <w:color w:val="000000" w:themeColor="text1"/>
                <w:highlight w:val="none"/>
              </w:rPr>
              <w:t>03</w:t>
            </w:r>
            <w:r>
              <w:rPr>
                <w:rFonts w:hint="eastAsia"/>
                <w:color w:val="000000" w:themeColor="text1"/>
                <w:highlight w:val="none"/>
                <w:lang w:val="en-US" w:eastAsia="zh-CN"/>
              </w:rPr>
              <w:t>0</w:t>
            </w:r>
            <w:r>
              <w:rPr>
                <w:color w:val="000000" w:themeColor="text1"/>
                <w:highlight w:val="none"/>
              </w:rPr>
              <w:t>1</w:t>
            </w:r>
            <w:r>
              <w:rPr>
                <w:rFonts w:hint="eastAsia"/>
                <w:color w:val="000000" w:themeColor="text1"/>
                <w:highlight w:val="none"/>
              </w:rPr>
              <w:t>）</w:t>
            </w:r>
          </w:p>
        </w:tc>
        <w:tc>
          <w:tcPr>
            <w:tcW w:w="1511" w:type="dxa"/>
            <w:shd w:val="clear" w:color="auto" w:fill="auto"/>
            <w:vAlign w:val="center"/>
          </w:tcPr>
          <w:p>
            <w:pPr>
              <w:pStyle w:val="63"/>
              <w:rPr>
                <w:color w:val="000000" w:themeColor="text1"/>
                <w:highlight w:val="none"/>
              </w:rPr>
            </w:pPr>
            <w:r>
              <w:rPr>
                <w:rFonts w:hint="eastAsia"/>
                <w:color w:val="000000" w:themeColor="text1"/>
                <w:highlight w:val="none"/>
              </w:rPr>
              <w:t>灌木林地（</w:t>
            </w:r>
            <w:r>
              <w:rPr>
                <w:color w:val="000000" w:themeColor="text1"/>
                <w:highlight w:val="none"/>
              </w:rPr>
              <w:t>03</w:t>
            </w:r>
            <w:r>
              <w:rPr>
                <w:rFonts w:hint="eastAsia"/>
                <w:color w:val="000000" w:themeColor="text1"/>
                <w:highlight w:val="none"/>
                <w:lang w:val="en-US" w:eastAsia="zh-CN"/>
              </w:rPr>
              <w:t>05</w:t>
            </w:r>
            <w:r>
              <w:rPr>
                <w:rFonts w:hint="eastAsia"/>
                <w:color w:val="000000" w:themeColor="text1"/>
                <w:highlight w:val="none"/>
              </w:rPr>
              <w:t>）</w:t>
            </w:r>
          </w:p>
        </w:tc>
        <w:tc>
          <w:tcPr>
            <w:tcW w:w="1823" w:type="dxa"/>
            <w:shd w:val="clear" w:color="auto" w:fill="auto"/>
            <w:vAlign w:val="center"/>
          </w:tcPr>
          <w:p>
            <w:pPr>
              <w:pStyle w:val="63"/>
              <w:rPr>
                <w:color w:val="000000" w:themeColor="text1"/>
                <w:highlight w:val="none"/>
              </w:rPr>
            </w:pPr>
            <w:r>
              <w:rPr>
                <w:rFonts w:hint="eastAsia"/>
                <w:color w:val="000000" w:themeColor="text1"/>
                <w:highlight w:val="none"/>
              </w:rPr>
              <w:t>采矿用地（</w:t>
            </w:r>
            <w:r>
              <w:rPr>
                <w:rFonts w:hint="eastAsia"/>
                <w:color w:val="000000" w:themeColor="text1"/>
                <w:highlight w:val="none"/>
                <w:lang w:val="en-US" w:eastAsia="zh-CN"/>
              </w:rPr>
              <w:t>0602</w:t>
            </w:r>
            <w:r>
              <w:rPr>
                <w:rFonts w:hint="eastAsia"/>
                <w:color w:val="000000" w:themeColor="text1"/>
                <w:highlight w:val="none"/>
              </w:rPr>
              <w:t>）</w:t>
            </w:r>
          </w:p>
        </w:tc>
        <w:tc>
          <w:tcPr>
            <w:tcW w:w="1296" w:type="dxa"/>
            <w:shd w:val="clear" w:color="auto" w:fill="auto"/>
            <w:vAlign w:val="center"/>
          </w:tcPr>
          <w:p>
            <w:pPr>
              <w:pStyle w:val="63"/>
              <w:rPr>
                <w:color w:val="000000" w:themeColor="text1"/>
                <w:highlight w:val="none"/>
              </w:rPr>
            </w:pPr>
            <w:r>
              <w:rPr>
                <w:rFonts w:hint="eastAsia"/>
                <w:color w:val="000000" w:themeColor="text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shd w:val="clear" w:color="auto" w:fill="auto"/>
            <w:vAlign w:val="center"/>
          </w:tcPr>
          <w:p>
            <w:pPr>
              <w:pStyle w:val="63"/>
              <w:rPr>
                <w:color w:val="000000" w:themeColor="text1"/>
                <w:highlight w:val="none"/>
              </w:rPr>
            </w:pPr>
            <w:r>
              <w:rPr>
                <w:rFonts w:hint="eastAsia"/>
                <w:color w:val="000000" w:themeColor="text1"/>
                <w:highlight w:val="none"/>
              </w:rPr>
              <w:t>露天采场</w:t>
            </w:r>
          </w:p>
        </w:tc>
        <w:tc>
          <w:tcPr>
            <w:tcW w:w="1592" w:type="dxa"/>
            <w:shd w:val="clear" w:color="auto" w:fill="auto"/>
            <w:noWrap/>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1.4378</w:t>
            </w:r>
          </w:p>
        </w:tc>
        <w:tc>
          <w:tcPr>
            <w:tcW w:w="1511" w:type="dxa"/>
            <w:shd w:val="clear" w:color="auto" w:fill="auto"/>
            <w:noWrap/>
            <w:vAlign w:val="center"/>
          </w:tcPr>
          <w:p>
            <w:pPr>
              <w:pStyle w:val="63"/>
              <w:rPr>
                <w:color w:val="000000" w:themeColor="text1"/>
                <w:highlight w:val="none"/>
              </w:rPr>
            </w:pPr>
          </w:p>
        </w:tc>
        <w:tc>
          <w:tcPr>
            <w:tcW w:w="1823" w:type="dxa"/>
            <w:shd w:val="clear" w:color="auto" w:fill="auto"/>
            <w:noWrap/>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4.108</w:t>
            </w:r>
          </w:p>
        </w:tc>
        <w:tc>
          <w:tcPr>
            <w:tcW w:w="1296" w:type="dxa"/>
            <w:shd w:val="clear" w:color="auto" w:fill="auto"/>
            <w:noWrap/>
            <w:vAlign w:val="center"/>
          </w:tcPr>
          <w:p>
            <w:pPr>
              <w:pStyle w:val="63"/>
              <w:rPr>
                <w:rFonts w:hint="eastAsia"/>
                <w:color w:val="000000" w:themeColor="text1"/>
                <w:highlight w:val="none"/>
                <w:lang w:eastAsia="zh-CN"/>
              </w:rPr>
            </w:pPr>
            <w:r>
              <w:rPr>
                <w:rFonts w:hint="eastAsia"/>
                <w:color w:val="000000" w:themeColor="text1"/>
                <w:highlight w:val="none"/>
                <w:lang w:val="en-US" w:eastAsia="zh-CN"/>
              </w:rPr>
              <w:t>5.5458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shd w:val="clear" w:color="auto" w:fill="auto"/>
            <w:vAlign w:val="center"/>
          </w:tcPr>
          <w:p>
            <w:pPr>
              <w:pStyle w:val="63"/>
              <w:rPr>
                <w:color w:val="000000" w:themeColor="text1"/>
                <w:highlight w:val="none"/>
              </w:rPr>
            </w:pPr>
            <w:r>
              <w:rPr>
                <w:rFonts w:hint="eastAsia"/>
                <w:color w:val="000000" w:themeColor="text1"/>
                <w:highlight w:val="none"/>
              </w:rPr>
              <w:t>矿山公路</w:t>
            </w:r>
          </w:p>
        </w:tc>
        <w:tc>
          <w:tcPr>
            <w:tcW w:w="1592" w:type="dxa"/>
            <w:shd w:val="clear" w:color="auto" w:fill="auto"/>
            <w:noWrap/>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0.5033</w:t>
            </w:r>
          </w:p>
        </w:tc>
        <w:tc>
          <w:tcPr>
            <w:tcW w:w="1511" w:type="dxa"/>
            <w:shd w:val="clear" w:color="auto" w:fill="auto"/>
            <w:noWrap/>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0.0328</w:t>
            </w:r>
          </w:p>
        </w:tc>
        <w:tc>
          <w:tcPr>
            <w:tcW w:w="1823" w:type="dxa"/>
            <w:shd w:val="clear" w:color="auto" w:fill="auto"/>
            <w:noWrap/>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0.0104</w:t>
            </w:r>
          </w:p>
        </w:tc>
        <w:tc>
          <w:tcPr>
            <w:tcW w:w="1296" w:type="dxa"/>
            <w:shd w:val="clear" w:color="auto" w:fill="auto"/>
            <w:noWrap/>
            <w:vAlign w:val="center"/>
          </w:tcPr>
          <w:p>
            <w:pPr>
              <w:pStyle w:val="63"/>
              <w:rPr>
                <w:rFonts w:hint="eastAsia"/>
                <w:color w:val="000000" w:themeColor="text1"/>
                <w:highlight w:val="none"/>
                <w:lang w:eastAsia="zh-CN"/>
              </w:rPr>
            </w:pPr>
            <w:r>
              <w:rPr>
                <w:rFonts w:hint="eastAsia"/>
                <w:color w:val="000000" w:themeColor="text1"/>
                <w:highlight w:val="none"/>
                <w:lang w:val="en-US" w:eastAsia="zh-CN"/>
              </w:rPr>
              <w:t>0.5465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4" w:type="dxa"/>
            <w:shd w:val="clear" w:color="auto" w:fill="auto"/>
            <w:noWrap/>
            <w:vAlign w:val="center"/>
          </w:tcPr>
          <w:p>
            <w:pPr>
              <w:pStyle w:val="63"/>
              <w:rPr>
                <w:color w:val="000000" w:themeColor="text1"/>
                <w:highlight w:val="none"/>
              </w:rPr>
            </w:pPr>
            <w:r>
              <w:rPr>
                <w:rFonts w:hint="eastAsia"/>
                <w:color w:val="000000" w:themeColor="text1"/>
                <w:highlight w:val="none"/>
              </w:rPr>
              <w:t>合计</w:t>
            </w:r>
          </w:p>
        </w:tc>
        <w:tc>
          <w:tcPr>
            <w:tcW w:w="1592" w:type="dxa"/>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1.9411</w:t>
            </w:r>
          </w:p>
        </w:tc>
        <w:tc>
          <w:tcPr>
            <w:tcW w:w="1511" w:type="dxa"/>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0.0328</w:t>
            </w:r>
          </w:p>
        </w:tc>
        <w:tc>
          <w:tcPr>
            <w:tcW w:w="1823" w:type="dxa"/>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4.1184</w:t>
            </w:r>
          </w:p>
        </w:tc>
        <w:tc>
          <w:tcPr>
            <w:tcW w:w="1296" w:type="dxa"/>
            <w:shd w:val="clear" w:color="auto" w:fill="auto"/>
            <w:noWrap/>
            <w:vAlign w:val="center"/>
          </w:tcPr>
          <w:p>
            <w:pPr>
              <w:pStyle w:val="63"/>
              <w:rPr>
                <w:color w:val="000000" w:themeColor="text1"/>
                <w:highlight w:val="none"/>
              </w:rPr>
            </w:pPr>
            <w:r>
              <w:rPr>
                <w:rFonts w:hint="default"/>
                <w:color w:val="000000" w:themeColor="text1"/>
                <w:highlight w:val="none"/>
                <w:lang w:val="en-US" w:eastAsia="zh-CN"/>
              </w:rPr>
              <w:t>6.0923</w:t>
            </w:r>
          </w:p>
        </w:tc>
      </w:tr>
    </w:tbl>
    <w:p>
      <w:pPr>
        <w:rPr>
          <w:color w:val="000000" w:themeColor="text1"/>
          <w:highlight w:val="none"/>
        </w:rPr>
      </w:pPr>
      <w:r>
        <w:rPr>
          <w:color w:val="000000" w:themeColor="text1"/>
          <w:highlight w:val="none"/>
        </w:rPr>
        <w:t>1、露天采场</w:t>
      </w:r>
    </w:p>
    <w:p>
      <w:pPr>
        <w:rPr>
          <w:rFonts w:eastAsia="仿宋"/>
          <w:color w:val="000000" w:themeColor="text1"/>
          <w:highlight w:val="none"/>
        </w:rPr>
      </w:pPr>
      <w:r>
        <w:rPr>
          <w:rFonts w:hint="eastAsia"/>
          <w:color w:val="000000" w:themeColor="text1"/>
          <w:highlight w:val="none"/>
        </w:rPr>
        <w:t>露天采场</w:t>
      </w:r>
      <w:r>
        <w:rPr>
          <w:color w:val="000000" w:themeColor="text1"/>
          <w:highlight w:val="none"/>
        </w:rPr>
        <w:t>已损毁土地总面积</w:t>
      </w:r>
      <w:r>
        <w:rPr>
          <w:rFonts w:hint="eastAsia"/>
          <w:color w:val="000000" w:themeColor="text1"/>
          <w:highlight w:val="none"/>
          <w:lang w:eastAsia="zh-CN"/>
        </w:rPr>
        <w:t>5.5458</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rPr>
        <w:t>由露天开采形成</w:t>
      </w:r>
      <w:r>
        <w:rPr>
          <w:color w:val="000000" w:themeColor="text1"/>
          <w:highlight w:val="none"/>
        </w:rPr>
        <w:t>。</w:t>
      </w:r>
      <w:r>
        <w:rPr>
          <w:rFonts w:eastAsiaTheme="minorEastAsia"/>
          <w:color w:val="000000" w:themeColor="text1"/>
          <w:highlight w:val="none"/>
        </w:rPr>
        <w:t>损毁类型为</w:t>
      </w:r>
      <w:r>
        <w:rPr>
          <w:rFonts w:hint="eastAsia" w:eastAsiaTheme="minorEastAsia"/>
          <w:color w:val="000000" w:themeColor="text1"/>
          <w:highlight w:val="none"/>
        </w:rPr>
        <w:t>挖损</w:t>
      </w:r>
      <w:r>
        <w:rPr>
          <w:rFonts w:eastAsiaTheme="minorEastAsia"/>
          <w:color w:val="000000" w:themeColor="text1"/>
          <w:highlight w:val="none"/>
        </w:rPr>
        <w:t>，</w:t>
      </w:r>
      <w:r>
        <w:rPr>
          <w:rFonts w:hint="eastAsia" w:eastAsiaTheme="minorEastAsia"/>
          <w:color w:val="000000" w:themeColor="text1"/>
          <w:highlight w:val="none"/>
          <w:lang w:eastAsia="zh-CN"/>
        </w:rPr>
        <w:t>损毁</w:t>
      </w:r>
      <w:r>
        <w:rPr>
          <w:color w:val="000000" w:themeColor="text1"/>
          <w:highlight w:val="none"/>
        </w:rPr>
        <w:t>地类包括</w:t>
      </w:r>
      <w:r>
        <w:rPr>
          <w:rFonts w:hint="eastAsia"/>
          <w:color w:val="000000" w:themeColor="text1"/>
          <w:highlight w:val="none"/>
          <w:lang w:eastAsia="zh-CN"/>
        </w:rPr>
        <w:t>乔木林地</w:t>
      </w:r>
      <w:r>
        <w:rPr>
          <w:rFonts w:hint="eastAsia"/>
          <w:color w:val="000000" w:themeColor="text1"/>
          <w:highlight w:val="none"/>
          <w:lang w:val="en-US" w:eastAsia="zh-CN"/>
        </w:rPr>
        <w:t>1.4378</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r>
        <w:rPr>
          <w:rFonts w:hint="eastAsia"/>
          <w:color w:val="000000" w:themeColor="text1"/>
          <w:highlight w:val="none"/>
          <w:lang w:eastAsia="zh-CN"/>
        </w:rPr>
        <w:t>采矿用地</w:t>
      </w:r>
      <w:r>
        <w:rPr>
          <w:rFonts w:hint="eastAsia"/>
          <w:color w:val="000000" w:themeColor="text1"/>
          <w:highlight w:val="none"/>
          <w:lang w:val="en-US" w:eastAsia="zh-CN"/>
        </w:rPr>
        <w:t>4.108</w:t>
      </w:r>
      <w:r>
        <w:rPr>
          <w:color w:val="000000" w:themeColor="text1"/>
          <w:highlight w:val="none"/>
        </w:rPr>
        <w:t>hm</w:t>
      </w:r>
      <w:r>
        <w:rPr>
          <w:color w:val="000000" w:themeColor="text1"/>
          <w:highlight w:val="none"/>
          <w:vertAlign w:val="superscript"/>
        </w:rPr>
        <w:t>2</w:t>
      </w:r>
      <w:r>
        <w:rPr>
          <w:rFonts w:eastAsia="仿宋"/>
          <w:color w:val="000000" w:themeColor="text1"/>
          <w:highlight w:val="none"/>
        </w:rPr>
        <w:t>。</w:t>
      </w:r>
      <w:r>
        <w:rPr>
          <w:rFonts w:hint="eastAsia" w:eastAsiaTheme="minorEastAsia"/>
          <w:color w:val="000000" w:themeColor="text1"/>
          <w:highlight w:val="none"/>
        </w:rPr>
        <w:t>露天开采</w:t>
      </w:r>
      <w:r>
        <w:rPr>
          <w:rFonts w:hint="eastAsia" w:eastAsiaTheme="minorEastAsia"/>
          <w:color w:val="000000" w:themeColor="text1"/>
          <w:highlight w:val="none"/>
          <w:lang w:eastAsia="zh-CN"/>
        </w:rPr>
        <w:t>造成</w:t>
      </w:r>
      <w:r>
        <w:rPr>
          <w:rFonts w:hint="eastAsia" w:eastAsiaTheme="minorEastAsia"/>
          <w:color w:val="000000" w:themeColor="text1"/>
          <w:highlight w:val="none"/>
        </w:rPr>
        <w:t>基岩裸露，地表植被无法自然恢复，</w:t>
      </w:r>
      <w:r>
        <w:rPr>
          <w:rFonts w:eastAsiaTheme="minorEastAsia"/>
          <w:color w:val="000000" w:themeColor="text1"/>
          <w:highlight w:val="none"/>
        </w:rPr>
        <w:t>对土地的破坏严重，故损毁程度为重度。</w:t>
      </w:r>
    </w:p>
    <w:p>
      <w:pPr>
        <w:rPr>
          <w:color w:val="000000" w:themeColor="text1"/>
          <w:highlight w:val="none"/>
        </w:rPr>
      </w:pPr>
      <w:r>
        <w:rPr>
          <w:rFonts w:hint="eastAsia"/>
          <w:color w:val="000000" w:themeColor="text1"/>
          <w:highlight w:val="none"/>
          <w:lang w:val="en-US" w:eastAsia="zh-CN"/>
        </w:rPr>
        <w:t>2</w:t>
      </w:r>
      <w:r>
        <w:rPr>
          <w:rFonts w:hint="eastAsia"/>
          <w:color w:val="000000" w:themeColor="text1"/>
          <w:highlight w:val="none"/>
        </w:rPr>
        <w:t>、矿山公路</w:t>
      </w:r>
    </w:p>
    <w:p>
      <w:pPr>
        <w:rPr>
          <w:rFonts w:ascii="仿宋_GB2312" w:hAnsi="宋体"/>
          <w:color w:val="000000" w:themeColor="text1"/>
          <w:sz w:val="21"/>
          <w:szCs w:val="28"/>
          <w:highlight w:val="none"/>
        </w:rPr>
      </w:pPr>
      <w:r>
        <w:rPr>
          <w:color w:val="000000" w:themeColor="text1"/>
          <w:highlight w:val="none"/>
        </w:rPr>
        <w:t>目前该矿区已建成矿山公路，已对土地造成损毁。矿山公路损毁形式为</w:t>
      </w:r>
      <w:r>
        <w:rPr>
          <w:rFonts w:hint="eastAsia"/>
          <w:color w:val="000000" w:themeColor="text1"/>
          <w:highlight w:val="none"/>
        </w:rPr>
        <w:t>压占</w:t>
      </w:r>
      <w:r>
        <w:rPr>
          <w:color w:val="000000" w:themeColor="text1"/>
          <w:highlight w:val="none"/>
        </w:rPr>
        <w:t>，损毁总面积为</w:t>
      </w:r>
      <w:r>
        <w:rPr>
          <w:rFonts w:hint="eastAsia"/>
          <w:color w:val="000000" w:themeColor="text1"/>
          <w:highlight w:val="none"/>
          <w:lang w:eastAsia="zh-CN"/>
        </w:rPr>
        <w:t>0.5465</w:t>
      </w:r>
      <w:r>
        <w:rPr>
          <w:color w:val="000000" w:themeColor="text1"/>
          <w:highlight w:val="none"/>
        </w:rPr>
        <w:t>hm</w:t>
      </w:r>
      <w:r>
        <w:rPr>
          <w:color w:val="000000" w:themeColor="text1"/>
          <w:highlight w:val="none"/>
          <w:vertAlign w:val="superscript"/>
        </w:rPr>
        <w:t>2</w:t>
      </w:r>
      <w:r>
        <w:rPr>
          <w:color w:val="000000" w:themeColor="text1"/>
          <w:highlight w:val="none"/>
        </w:rPr>
        <w:t>。占地区域已全部压实，表土未剥离，损毁类型为压占，压占地类为</w:t>
      </w:r>
      <w:r>
        <w:rPr>
          <w:rFonts w:hint="eastAsia"/>
          <w:color w:val="000000" w:themeColor="text1"/>
          <w:highlight w:val="none"/>
          <w:lang w:eastAsia="zh-CN"/>
        </w:rPr>
        <w:t>乔木林地</w:t>
      </w:r>
      <w:r>
        <w:rPr>
          <w:rFonts w:hint="eastAsia"/>
          <w:color w:val="000000" w:themeColor="text1"/>
          <w:highlight w:val="none"/>
          <w:lang w:val="en-US" w:eastAsia="zh-CN"/>
        </w:rPr>
        <w:t>0.5033</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rPr>
        <w:t>灌木林地</w:t>
      </w:r>
      <w:r>
        <w:rPr>
          <w:rFonts w:hint="eastAsia"/>
          <w:color w:val="000000" w:themeColor="text1"/>
          <w:highlight w:val="none"/>
          <w:lang w:val="en-US" w:eastAsia="zh-CN"/>
        </w:rPr>
        <w:t>0.0328</w:t>
      </w:r>
      <w:r>
        <w:rPr>
          <w:color w:val="000000" w:themeColor="text1"/>
          <w:highlight w:val="none"/>
        </w:rPr>
        <w:t>hm</w:t>
      </w:r>
      <w:r>
        <w:rPr>
          <w:color w:val="000000" w:themeColor="text1"/>
          <w:highlight w:val="none"/>
          <w:vertAlign w:val="superscript"/>
        </w:rPr>
        <w:t>2</w:t>
      </w:r>
      <w:r>
        <w:rPr>
          <w:color w:val="000000" w:themeColor="text1"/>
          <w:highlight w:val="none"/>
        </w:rPr>
        <w:t>及</w:t>
      </w:r>
      <w:r>
        <w:rPr>
          <w:rFonts w:hint="eastAsia"/>
          <w:color w:val="000000" w:themeColor="text1"/>
          <w:highlight w:val="none"/>
          <w:lang w:eastAsia="zh-CN"/>
        </w:rPr>
        <w:t>采矿用地</w:t>
      </w:r>
      <w:r>
        <w:rPr>
          <w:rFonts w:hint="eastAsia"/>
          <w:color w:val="000000" w:themeColor="text1"/>
          <w:highlight w:val="none"/>
          <w:lang w:val="en-US" w:eastAsia="zh-CN"/>
        </w:rPr>
        <w:t>0.0104</w:t>
      </w:r>
      <w:r>
        <w:rPr>
          <w:color w:val="000000" w:themeColor="text1"/>
          <w:highlight w:val="none"/>
        </w:rPr>
        <w:t>hm</w:t>
      </w:r>
      <w:r>
        <w:rPr>
          <w:color w:val="000000" w:themeColor="text1"/>
          <w:highlight w:val="none"/>
          <w:vertAlign w:val="superscript"/>
        </w:rPr>
        <w:t>2</w:t>
      </w:r>
      <w:r>
        <w:rPr>
          <w:color w:val="000000" w:themeColor="text1"/>
          <w:highlight w:val="none"/>
        </w:rPr>
        <w:t>。由于压占的时间过长，导致土壤的理化性质完全改变，对土地的破坏严重，故损毁程度为重度</w:t>
      </w:r>
      <w:r>
        <w:rPr>
          <w:rFonts w:eastAsiaTheme="minorEastAsia"/>
          <w:color w:val="000000" w:themeColor="text1"/>
          <w:highlight w:val="none"/>
        </w:rPr>
        <w:t>。</w:t>
      </w:r>
    </w:p>
    <w:p>
      <w:pPr>
        <w:pStyle w:val="5"/>
        <w:spacing w:before="82" w:after="82"/>
        <w:rPr>
          <w:color w:val="000000" w:themeColor="text1"/>
          <w:highlight w:val="none"/>
        </w:rPr>
      </w:pPr>
      <w:bookmarkStart w:id="141" w:name="_Toc115"/>
      <w:bookmarkStart w:id="142" w:name="_Toc31471"/>
      <w:r>
        <w:rPr>
          <w:color w:val="000000" w:themeColor="text1"/>
          <w:highlight w:val="none"/>
        </w:rPr>
        <w:t>3.3.3拟损毁土地预测与评估</w:t>
      </w:r>
      <w:bookmarkEnd w:id="141"/>
      <w:bookmarkEnd w:id="142"/>
    </w:p>
    <w:p>
      <w:pPr>
        <w:rPr>
          <w:color w:val="000000" w:themeColor="text1"/>
          <w:highlight w:val="none"/>
        </w:rPr>
      </w:pPr>
      <w:bookmarkStart w:id="143" w:name="_Toc296698185"/>
      <w:r>
        <w:rPr>
          <w:color w:val="000000" w:themeColor="text1"/>
          <w:highlight w:val="none"/>
        </w:rPr>
        <w:t>根据</w:t>
      </w:r>
      <w:r>
        <w:rPr>
          <w:rFonts w:hint="eastAsia"/>
          <w:color w:val="000000" w:themeColor="text1"/>
          <w:highlight w:val="none"/>
        </w:rPr>
        <w:t>矿山现场调查和与业主方沟通了解，</w:t>
      </w:r>
      <w:r>
        <w:rPr>
          <w:color w:val="000000" w:themeColor="text1"/>
          <w:highlight w:val="none"/>
        </w:rPr>
        <w:t>主要采用原有设施生产，</w:t>
      </w:r>
      <w:r>
        <w:rPr>
          <w:rFonts w:hint="eastAsia"/>
          <w:color w:val="000000" w:themeColor="text1"/>
          <w:highlight w:val="none"/>
        </w:rPr>
        <w:t>在方案适用期内，露天采场开采将</w:t>
      </w:r>
      <w:r>
        <w:rPr>
          <w:rFonts w:hint="eastAsia"/>
          <w:color w:val="000000" w:themeColor="text1"/>
          <w:highlight w:val="none"/>
          <w:lang w:eastAsia="zh-CN"/>
        </w:rPr>
        <w:t>按开发利用方案开采新的采矿权区域</w:t>
      </w:r>
      <w:r>
        <w:rPr>
          <w:rFonts w:hint="eastAsia"/>
          <w:color w:val="000000" w:themeColor="text1"/>
          <w:highlight w:val="none"/>
        </w:rPr>
        <w:t>。</w:t>
      </w:r>
    </w:p>
    <w:p>
      <w:pPr>
        <w:rPr>
          <w:color w:val="000000" w:themeColor="text1"/>
          <w:highlight w:val="none"/>
        </w:rPr>
      </w:pPr>
      <w:r>
        <w:rPr>
          <w:rFonts w:hint="eastAsia"/>
          <w:color w:val="000000" w:themeColor="text1"/>
          <w:highlight w:val="none"/>
          <w:lang w:val="en-US" w:eastAsia="zh-CN"/>
        </w:rPr>
        <w:t>1</w:t>
      </w:r>
      <w:r>
        <w:rPr>
          <w:rFonts w:hint="eastAsia"/>
          <w:color w:val="000000" w:themeColor="text1"/>
          <w:highlight w:val="none"/>
        </w:rPr>
        <w:t>、露天采场</w:t>
      </w:r>
    </w:p>
    <w:p>
      <w:pPr>
        <w:rPr>
          <w:color w:val="000000" w:themeColor="text1"/>
          <w:highlight w:val="none"/>
        </w:rPr>
      </w:pPr>
      <w:r>
        <w:rPr>
          <w:rFonts w:hint="eastAsia"/>
          <w:color w:val="000000" w:themeColor="text1"/>
          <w:highlight w:val="none"/>
        </w:rPr>
        <w:t>随矿山生产，台阶下降，采场将新增损毁面积约</w:t>
      </w:r>
      <w:r>
        <w:rPr>
          <w:rFonts w:hint="eastAsia"/>
          <w:color w:val="000000" w:themeColor="text1"/>
          <w:highlight w:val="none"/>
          <w:lang w:val="en-US"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。损毁类型为挖损，损毁地类为</w:t>
      </w:r>
      <w:r>
        <w:rPr>
          <w:rFonts w:hint="eastAsia"/>
          <w:color w:val="000000" w:themeColor="text1"/>
          <w:highlight w:val="none"/>
          <w:lang w:eastAsia="zh-CN"/>
        </w:rPr>
        <w:t>乔木林地</w:t>
      </w:r>
      <w:r>
        <w:rPr>
          <w:rFonts w:hint="eastAsia"/>
          <w:color w:val="000000" w:themeColor="text1"/>
          <w:highlight w:val="none"/>
          <w:lang w:val="en-US"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r>
        <w:rPr>
          <w:rFonts w:hint="eastAsia" w:eastAsiaTheme="minorEastAsia"/>
          <w:color w:val="000000" w:themeColor="text1"/>
          <w:highlight w:val="none"/>
        </w:rPr>
        <w:t>露天开采形成采坑</w:t>
      </w:r>
      <w:r>
        <w:rPr>
          <w:rFonts w:eastAsiaTheme="minorEastAsia"/>
          <w:color w:val="000000" w:themeColor="text1"/>
          <w:highlight w:val="none"/>
        </w:rPr>
        <w:t>，</w:t>
      </w:r>
      <w:r>
        <w:rPr>
          <w:rFonts w:hint="eastAsia" w:eastAsiaTheme="minorEastAsia"/>
          <w:color w:val="000000" w:themeColor="text1"/>
          <w:highlight w:val="none"/>
        </w:rPr>
        <w:t>基岩裸露，地表植被无法自然恢复，</w:t>
      </w:r>
      <w:r>
        <w:rPr>
          <w:rFonts w:eastAsiaTheme="minorEastAsia"/>
          <w:color w:val="000000" w:themeColor="text1"/>
          <w:highlight w:val="none"/>
        </w:rPr>
        <w:t>对土地的破坏严重，故损毁程度为重度。</w:t>
      </w:r>
    </w:p>
    <w:p>
      <w:pPr>
        <w:pStyle w:val="67"/>
        <w:rPr>
          <w:color w:val="000000" w:themeColor="text1"/>
          <w:highlight w:val="none"/>
        </w:rPr>
      </w:pPr>
      <w:r>
        <w:rPr>
          <w:rFonts w:hint="eastAsia"/>
          <w:color w:val="000000" w:themeColor="text1"/>
          <w:highlight w:val="none"/>
        </w:rPr>
        <w:t>表3-16  土地损毁预测表</w:t>
      </w:r>
    </w:p>
    <w:bookmarkEnd w:id="143"/>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8"/>
        <w:gridCol w:w="3099"/>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3"/>
            <w:noWrap/>
            <w:vAlign w:val="center"/>
          </w:tcPr>
          <w:p>
            <w:pPr>
              <w:pStyle w:val="63"/>
              <w:ind w:firstLine="480"/>
              <w:rPr>
                <w:color w:val="000000" w:themeColor="text1"/>
                <w:kern w:val="0"/>
                <w:highlight w:val="none"/>
              </w:rPr>
            </w:pPr>
            <w:bookmarkStart w:id="144" w:name="_Toc18352"/>
            <w:r>
              <w:rPr>
                <w:rFonts w:hint="eastAsia"/>
                <w:color w:val="000000" w:themeColor="text1"/>
                <w:kern w:val="0"/>
                <w:highlight w:val="none"/>
              </w:rPr>
              <w:t>地类及面积（</w:t>
            </w:r>
            <w:r>
              <w:rPr>
                <w:color w:val="000000" w:themeColor="text1"/>
                <w:kern w:val="0"/>
                <w:highlight w:val="none"/>
              </w:rPr>
              <w:t>hm</w:t>
            </w:r>
            <w:r>
              <w:rPr>
                <w:color w:val="000000" w:themeColor="text1"/>
                <w:kern w:val="0"/>
                <w:highlight w:val="none"/>
                <w:vertAlign w:val="superscript"/>
              </w:rPr>
              <w:t>2</w:t>
            </w:r>
            <w:r>
              <w:rPr>
                <w:color w:val="000000" w:themeColor="text1"/>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6" w:type="pct"/>
            <w:vMerge w:val="restart"/>
            <w:vAlign w:val="center"/>
          </w:tcPr>
          <w:p>
            <w:pPr>
              <w:pStyle w:val="63"/>
              <w:rPr>
                <w:color w:val="000000" w:themeColor="text1"/>
                <w:kern w:val="0"/>
                <w:highlight w:val="none"/>
              </w:rPr>
            </w:pPr>
            <w:r>
              <w:rPr>
                <w:rFonts w:hint="eastAsia"/>
                <w:color w:val="000000" w:themeColor="text1"/>
                <w:kern w:val="0"/>
                <w:highlight w:val="none"/>
              </w:rPr>
              <w:t>损毁区域</w:t>
            </w:r>
          </w:p>
        </w:tc>
        <w:tc>
          <w:tcPr>
            <w:tcW w:w="1820" w:type="pct"/>
            <w:vAlign w:val="center"/>
          </w:tcPr>
          <w:p>
            <w:pPr>
              <w:pStyle w:val="63"/>
              <w:rPr>
                <w:color w:val="000000" w:themeColor="text1"/>
                <w:kern w:val="0"/>
                <w:highlight w:val="none"/>
              </w:rPr>
            </w:pPr>
            <w:r>
              <w:rPr>
                <w:rFonts w:hint="eastAsia"/>
                <w:color w:val="000000" w:themeColor="text1"/>
                <w:kern w:val="0"/>
                <w:highlight w:val="none"/>
              </w:rPr>
              <w:t>林地（</w:t>
            </w:r>
            <w:r>
              <w:rPr>
                <w:color w:val="000000" w:themeColor="text1"/>
                <w:kern w:val="0"/>
                <w:highlight w:val="none"/>
              </w:rPr>
              <w:t>03</w:t>
            </w:r>
            <w:r>
              <w:rPr>
                <w:rFonts w:ascii="宋体" w:hAnsi="宋体"/>
                <w:color w:val="000000" w:themeColor="text1"/>
                <w:kern w:val="0"/>
                <w:highlight w:val="none"/>
              </w:rPr>
              <w:t>）</w:t>
            </w:r>
          </w:p>
        </w:tc>
        <w:tc>
          <w:tcPr>
            <w:tcW w:w="1752" w:type="pct"/>
            <w:vMerge w:val="restart"/>
            <w:vAlign w:val="center"/>
          </w:tcPr>
          <w:p>
            <w:pPr>
              <w:pStyle w:val="63"/>
              <w:rPr>
                <w:color w:val="000000" w:themeColor="text1"/>
                <w:kern w:val="0"/>
                <w:highlight w:val="none"/>
              </w:rPr>
            </w:pPr>
            <w:r>
              <w:rPr>
                <w:rFonts w:hint="eastAsia"/>
                <w:color w:val="000000" w:themeColor="text1"/>
                <w:kern w:val="0"/>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6" w:type="pct"/>
            <w:vMerge w:val="continue"/>
            <w:vAlign w:val="center"/>
          </w:tcPr>
          <w:p>
            <w:pPr>
              <w:pStyle w:val="63"/>
              <w:rPr>
                <w:color w:val="000000" w:themeColor="text1"/>
                <w:kern w:val="0"/>
                <w:highlight w:val="none"/>
              </w:rPr>
            </w:pPr>
          </w:p>
        </w:tc>
        <w:tc>
          <w:tcPr>
            <w:tcW w:w="1820" w:type="pct"/>
            <w:vAlign w:val="center"/>
          </w:tcPr>
          <w:p>
            <w:pPr>
              <w:pStyle w:val="63"/>
              <w:rPr>
                <w:color w:val="000000" w:themeColor="text1"/>
                <w:kern w:val="0"/>
                <w:highlight w:val="none"/>
              </w:rPr>
            </w:pPr>
            <w:r>
              <w:rPr>
                <w:rFonts w:hint="eastAsia"/>
                <w:color w:val="000000" w:themeColor="text1"/>
                <w:kern w:val="0"/>
                <w:highlight w:val="none"/>
                <w:lang w:eastAsia="zh-CN"/>
              </w:rPr>
              <w:t>乔木林地</w:t>
            </w:r>
            <w:r>
              <w:rPr>
                <w:rFonts w:hint="eastAsia"/>
                <w:color w:val="000000" w:themeColor="text1"/>
                <w:kern w:val="0"/>
                <w:highlight w:val="none"/>
              </w:rPr>
              <w:t>（</w:t>
            </w:r>
            <w:r>
              <w:rPr>
                <w:color w:val="000000" w:themeColor="text1"/>
                <w:kern w:val="0"/>
                <w:highlight w:val="none"/>
              </w:rPr>
              <w:t>03</w:t>
            </w:r>
            <w:r>
              <w:rPr>
                <w:rFonts w:hint="eastAsia"/>
                <w:color w:val="000000" w:themeColor="text1"/>
                <w:kern w:val="0"/>
                <w:highlight w:val="none"/>
                <w:lang w:val="en-US" w:eastAsia="zh-CN"/>
              </w:rPr>
              <w:t>0</w:t>
            </w:r>
            <w:r>
              <w:rPr>
                <w:color w:val="000000" w:themeColor="text1"/>
                <w:kern w:val="0"/>
                <w:highlight w:val="none"/>
              </w:rPr>
              <w:t>1</w:t>
            </w:r>
            <w:r>
              <w:rPr>
                <w:rFonts w:ascii="宋体" w:hAnsi="宋体"/>
                <w:color w:val="000000" w:themeColor="text1"/>
                <w:kern w:val="0"/>
                <w:highlight w:val="none"/>
              </w:rPr>
              <w:t>）</w:t>
            </w:r>
          </w:p>
        </w:tc>
        <w:tc>
          <w:tcPr>
            <w:tcW w:w="1752" w:type="pct"/>
            <w:vMerge w:val="continue"/>
            <w:vAlign w:val="center"/>
          </w:tcPr>
          <w:p>
            <w:pPr>
              <w:pStyle w:val="63"/>
              <w:rPr>
                <w:color w:val="000000" w:themeColor="text1"/>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6" w:type="pct"/>
            <w:vAlign w:val="center"/>
          </w:tcPr>
          <w:p>
            <w:pPr>
              <w:pStyle w:val="63"/>
              <w:rPr>
                <w:rFonts w:hint="eastAsia" w:eastAsia="宋体"/>
                <w:color w:val="000000" w:themeColor="text1"/>
                <w:highlight w:val="none"/>
                <w:lang w:eastAsia="zh-CN"/>
              </w:rPr>
            </w:pPr>
            <w:r>
              <w:rPr>
                <w:rFonts w:hint="eastAsia"/>
                <w:color w:val="000000" w:themeColor="text1"/>
                <w:kern w:val="0"/>
                <w:highlight w:val="none"/>
                <w:lang w:eastAsia="zh-CN"/>
              </w:rPr>
              <w:t>露天采场拟开采</w:t>
            </w:r>
          </w:p>
        </w:tc>
        <w:tc>
          <w:tcPr>
            <w:tcW w:w="1820" w:type="pct"/>
            <w:noWrap/>
            <w:vAlign w:val="center"/>
          </w:tcPr>
          <w:p>
            <w:pPr>
              <w:pStyle w:val="63"/>
              <w:rPr>
                <w:rFonts w:hint="default"/>
                <w:color w:val="000000" w:themeColor="text1"/>
                <w:kern w:val="0"/>
                <w:highlight w:val="none"/>
                <w:lang w:val="en-US" w:eastAsia="zh-CN"/>
              </w:rPr>
            </w:pPr>
            <w:r>
              <w:rPr>
                <w:rFonts w:hint="eastAsia"/>
                <w:color w:val="000000" w:themeColor="text1"/>
                <w:kern w:val="0"/>
                <w:highlight w:val="none"/>
                <w:lang w:val="en-US" w:eastAsia="zh-CN"/>
              </w:rPr>
              <w:t>3.4321</w:t>
            </w:r>
          </w:p>
        </w:tc>
        <w:tc>
          <w:tcPr>
            <w:tcW w:w="1752" w:type="pct"/>
            <w:noWrap/>
            <w:vAlign w:val="center"/>
          </w:tcPr>
          <w:p>
            <w:pPr>
              <w:pStyle w:val="63"/>
              <w:rPr>
                <w:rFonts w:hint="default"/>
                <w:color w:val="000000" w:themeColor="text1"/>
                <w:kern w:val="0"/>
                <w:highlight w:val="none"/>
                <w:lang w:val="en-US" w:eastAsia="zh-CN"/>
              </w:rPr>
            </w:pPr>
            <w:r>
              <w:rPr>
                <w:rFonts w:hint="eastAsia"/>
                <w:color w:val="000000" w:themeColor="text1"/>
                <w:kern w:val="0"/>
                <w:highlight w:val="none"/>
                <w:lang w:val="en-US" w:eastAsia="zh-CN"/>
              </w:rPr>
              <w:t>3.4321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6" w:type="pct"/>
            <w:noWrap/>
            <w:vAlign w:val="center"/>
          </w:tcPr>
          <w:p>
            <w:pPr>
              <w:pStyle w:val="63"/>
              <w:rPr>
                <w:rFonts w:hint="eastAsia" w:eastAsia="宋体"/>
                <w:color w:val="000000" w:themeColor="text1"/>
                <w:highlight w:val="none"/>
                <w:lang w:eastAsia="zh-CN"/>
              </w:rPr>
            </w:pPr>
            <w:r>
              <w:rPr>
                <w:rFonts w:hint="eastAsia"/>
                <w:color w:val="000000" w:themeColor="text1"/>
                <w:kern w:val="0"/>
                <w:highlight w:val="none"/>
              </w:rPr>
              <w:t>合计</w:t>
            </w:r>
          </w:p>
        </w:tc>
        <w:tc>
          <w:tcPr>
            <w:tcW w:w="1820" w:type="pct"/>
            <w:noWrap/>
            <w:vAlign w:val="center"/>
          </w:tcPr>
          <w:p>
            <w:pPr>
              <w:pStyle w:val="63"/>
              <w:rPr>
                <w:rFonts w:hint="eastAsia"/>
                <w:color w:val="000000" w:themeColor="text1"/>
                <w:kern w:val="0"/>
                <w:highlight w:val="none"/>
                <w:lang w:eastAsia="zh-CN"/>
              </w:rPr>
            </w:pPr>
            <w:r>
              <w:rPr>
                <w:rFonts w:hint="eastAsia"/>
                <w:color w:val="000000" w:themeColor="text1"/>
                <w:kern w:val="0"/>
                <w:highlight w:val="none"/>
                <w:lang w:val="en-US" w:eastAsia="zh-CN"/>
              </w:rPr>
              <w:t>3.4321</w:t>
            </w:r>
          </w:p>
        </w:tc>
        <w:tc>
          <w:tcPr>
            <w:tcW w:w="1752" w:type="pct"/>
            <w:noWrap/>
            <w:vAlign w:val="center"/>
          </w:tcPr>
          <w:p>
            <w:pPr>
              <w:pStyle w:val="63"/>
              <w:rPr>
                <w:rFonts w:hint="eastAsia"/>
                <w:color w:val="000000" w:themeColor="text1"/>
                <w:kern w:val="0"/>
                <w:highlight w:val="none"/>
                <w:lang w:eastAsia="zh-CN"/>
              </w:rPr>
            </w:pPr>
            <w:r>
              <w:rPr>
                <w:rFonts w:hint="eastAsia"/>
                <w:color w:val="000000" w:themeColor="text1"/>
                <w:kern w:val="0"/>
                <w:highlight w:val="none"/>
                <w:lang w:val="en-US" w:eastAsia="zh-CN"/>
              </w:rPr>
              <w:t>3.4321</w:t>
            </w:r>
          </w:p>
        </w:tc>
      </w:tr>
    </w:tbl>
    <w:p>
      <w:pPr>
        <w:pStyle w:val="4"/>
        <w:spacing w:before="82" w:after="82"/>
        <w:rPr>
          <w:color w:val="000000" w:themeColor="text1"/>
          <w:highlight w:val="none"/>
        </w:rPr>
      </w:pPr>
      <w:bookmarkStart w:id="145" w:name="_Toc12822"/>
      <w:r>
        <w:rPr>
          <w:color w:val="000000" w:themeColor="text1"/>
          <w:highlight w:val="none"/>
        </w:rPr>
        <w:t>3.4矿山环境治理分区与土地复垦范围</w:t>
      </w:r>
      <w:bookmarkEnd w:id="144"/>
      <w:bookmarkEnd w:id="145"/>
    </w:p>
    <w:p>
      <w:pPr>
        <w:pStyle w:val="5"/>
        <w:spacing w:before="82" w:after="82"/>
        <w:rPr>
          <w:color w:val="000000" w:themeColor="text1"/>
          <w:highlight w:val="none"/>
        </w:rPr>
      </w:pPr>
      <w:bookmarkStart w:id="146" w:name="_Toc16615"/>
      <w:bookmarkStart w:id="147" w:name="_Toc18194"/>
      <w:r>
        <w:rPr>
          <w:color w:val="000000" w:themeColor="text1"/>
          <w:highlight w:val="none"/>
        </w:rPr>
        <w:t>3.4.1矿山地质环境保护与恢复治理分区</w:t>
      </w:r>
      <w:bookmarkEnd w:id="146"/>
      <w:bookmarkEnd w:id="147"/>
    </w:p>
    <w:p>
      <w:pPr>
        <w:rPr>
          <w:color w:val="000000" w:themeColor="text1"/>
          <w:highlight w:val="none"/>
        </w:rPr>
      </w:pPr>
      <w:r>
        <w:rPr>
          <w:color w:val="000000" w:themeColor="text1"/>
          <w:highlight w:val="none"/>
        </w:rPr>
        <w:t>根据分区原则和方法，结合本矿实际，充分考虑区内主要建设工程的重要性，矿山地质环境保护与治理恢复分区划分为重点防治区、次重点防治区和一般防治区三个区（见表3-</w:t>
      </w:r>
      <w:r>
        <w:rPr>
          <w:rFonts w:hint="eastAsia"/>
          <w:color w:val="000000" w:themeColor="text1"/>
          <w:highlight w:val="none"/>
        </w:rPr>
        <w:t>17</w:t>
      </w:r>
      <w:r>
        <w:rPr>
          <w:color w:val="000000" w:themeColor="text1"/>
          <w:highlight w:val="none"/>
        </w:rPr>
        <w:t>）。</w:t>
      </w:r>
    </w:p>
    <w:p>
      <w:pPr>
        <w:pStyle w:val="67"/>
        <w:rPr>
          <w:bCs/>
          <w:color w:val="000000" w:themeColor="text1"/>
          <w:highlight w:val="none"/>
        </w:rPr>
      </w:pPr>
      <w:r>
        <w:rPr>
          <w:color w:val="000000" w:themeColor="text1"/>
          <w:highlight w:val="none"/>
        </w:rPr>
        <w:t>表</w:t>
      </w:r>
      <w:r>
        <w:rPr>
          <w:color w:val="000000" w:themeColor="text1"/>
          <w:spacing w:val="3"/>
          <w:highlight w:val="none"/>
        </w:rPr>
        <w:t>3-</w:t>
      </w:r>
      <w:r>
        <w:rPr>
          <w:rFonts w:hint="eastAsia"/>
          <w:color w:val="000000" w:themeColor="text1"/>
          <w:spacing w:val="3"/>
          <w:highlight w:val="none"/>
        </w:rPr>
        <w:t xml:space="preserve">17  </w:t>
      </w:r>
      <w:r>
        <w:rPr>
          <w:color w:val="000000" w:themeColor="text1"/>
          <w:highlight w:val="none"/>
        </w:rPr>
        <w:t>矿山地质环境防治分区表</w:t>
      </w:r>
    </w:p>
    <w:tbl>
      <w:tblPr>
        <w:tblStyle w:val="3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32"/>
        <w:gridCol w:w="2735"/>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5" w:type="pct"/>
            <w:vMerge w:val="restart"/>
            <w:vAlign w:val="center"/>
          </w:tcPr>
          <w:p>
            <w:pPr>
              <w:pStyle w:val="63"/>
              <w:rPr>
                <w:color w:val="000000" w:themeColor="text1"/>
                <w:highlight w:val="none"/>
              </w:rPr>
            </w:pPr>
            <w:r>
              <w:rPr>
                <w:color w:val="000000" w:themeColor="text1"/>
                <w:highlight w:val="none"/>
              </w:rPr>
              <w:t>分区级别</w:t>
            </w:r>
          </w:p>
        </w:tc>
        <w:tc>
          <w:tcPr>
            <w:tcW w:w="3294" w:type="pct"/>
            <w:gridSpan w:val="2"/>
            <w:vAlign w:val="center"/>
          </w:tcPr>
          <w:p>
            <w:pPr>
              <w:pStyle w:val="63"/>
              <w:rPr>
                <w:color w:val="000000" w:themeColor="text1"/>
                <w:highlight w:val="none"/>
              </w:rPr>
            </w:pPr>
            <w:r>
              <w:rPr>
                <w:color w:val="000000" w:themeColor="text1"/>
                <w:highlight w:val="none"/>
              </w:rPr>
              <w:t>矿山地质环境影响程度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5" w:type="pct"/>
            <w:vMerge w:val="continue"/>
            <w:vAlign w:val="center"/>
          </w:tcPr>
          <w:p>
            <w:pPr>
              <w:pStyle w:val="63"/>
              <w:rPr>
                <w:color w:val="000000" w:themeColor="text1"/>
                <w:highlight w:val="none"/>
              </w:rPr>
            </w:pPr>
          </w:p>
        </w:tc>
        <w:tc>
          <w:tcPr>
            <w:tcW w:w="1646" w:type="pct"/>
            <w:vAlign w:val="center"/>
          </w:tcPr>
          <w:p>
            <w:pPr>
              <w:pStyle w:val="63"/>
              <w:rPr>
                <w:color w:val="000000" w:themeColor="text1"/>
                <w:highlight w:val="none"/>
              </w:rPr>
            </w:pPr>
            <w:r>
              <w:rPr>
                <w:color w:val="000000" w:themeColor="text1"/>
                <w:highlight w:val="none"/>
              </w:rPr>
              <w:t>现状评估</w:t>
            </w:r>
          </w:p>
        </w:tc>
        <w:tc>
          <w:tcPr>
            <w:tcW w:w="1647" w:type="pct"/>
            <w:vAlign w:val="center"/>
          </w:tcPr>
          <w:p>
            <w:pPr>
              <w:pStyle w:val="63"/>
              <w:rPr>
                <w:color w:val="000000" w:themeColor="text1"/>
                <w:highlight w:val="none"/>
              </w:rPr>
            </w:pPr>
            <w:r>
              <w:rPr>
                <w:color w:val="000000" w:themeColor="text1"/>
                <w:highlight w:val="none"/>
              </w:rPr>
              <w:t>预测评估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5" w:type="pct"/>
            <w:vAlign w:val="center"/>
          </w:tcPr>
          <w:p>
            <w:pPr>
              <w:pStyle w:val="63"/>
              <w:rPr>
                <w:color w:val="000000" w:themeColor="text1"/>
                <w:highlight w:val="none"/>
              </w:rPr>
            </w:pPr>
            <w:r>
              <w:rPr>
                <w:color w:val="000000" w:themeColor="text1"/>
                <w:highlight w:val="none"/>
              </w:rPr>
              <w:t>重点</w:t>
            </w:r>
          </w:p>
        </w:tc>
        <w:tc>
          <w:tcPr>
            <w:tcW w:w="1646" w:type="pct"/>
            <w:vAlign w:val="center"/>
          </w:tcPr>
          <w:p>
            <w:pPr>
              <w:pStyle w:val="63"/>
              <w:rPr>
                <w:color w:val="000000" w:themeColor="text1"/>
                <w:highlight w:val="none"/>
              </w:rPr>
            </w:pPr>
            <w:r>
              <w:rPr>
                <w:color w:val="000000" w:themeColor="text1"/>
                <w:highlight w:val="none"/>
              </w:rPr>
              <w:t>严重</w:t>
            </w:r>
          </w:p>
        </w:tc>
        <w:tc>
          <w:tcPr>
            <w:tcW w:w="1647" w:type="pct"/>
            <w:vAlign w:val="center"/>
          </w:tcPr>
          <w:p>
            <w:pPr>
              <w:pStyle w:val="63"/>
              <w:rPr>
                <w:color w:val="000000" w:themeColor="text1"/>
                <w:highlight w:val="none"/>
              </w:rPr>
            </w:pPr>
            <w:r>
              <w:rPr>
                <w:color w:val="000000" w:themeColor="text1"/>
                <w:highlight w:val="none"/>
              </w:rPr>
              <w:t>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5" w:type="pct"/>
            <w:vAlign w:val="center"/>
          </w:tcPr>
          <w:p>
            <w:pPr>
              <w:pStyle w:val="63"/>
              <w:rPr>
                <w:color w:val="000000" w:themeColor="text1"/>
                <w:highlight w:val="none"/>
              </w:rPr>
            </w:pPr>
            <w:r>
              <w:rPr>
                <w:color w:val="000000" w:themeColor="text1"/>
                <w:highlight w:val="none"/>
              </w:rPr>
              <w:t>次重点</w:t>
            </w:r>
          </w:p>
        </w:tc>
        <w:tc>
          <w:tcPr>
            <w:tcW w:w="1646" w:type="pct"/>
            <w:vAlign w:val="center"/>
          </w:tcPr>
          <w:p>
            <w:pPr>
              <w:pStyle w:val="63"/>
              <w:rPr>
                <w:color w:val="000000" w:themeColor="text1"/>
                <w:highlight w:val="none"/>
              </w:rPr>
            </w:pPr>
            <w:r>
              <w:rPr>
                <w:color w:val="000000" w:themeColor="text1"/>
                <w:highlight w:val="none"/>
              </w:rPr>
              <w:t>较严重</w:t>
            </w:r>
          </w:p>
        </w:tc>
        <w:tc>
          <w:tcPr>
            <w:tcW w:w="1647" w:type="pct"/>
            <w:vAlign w:val="center"/>
          </w:tcPr>
          <w:p>
            <w:pPr>
              <w:pStyle w:val="63"/>
              <w:rPr>
                <w:color w:val="000000" w:themeColor="text1"/>
                <w:highlight w:val="none"/>
              </w:rPr>
            </w:pPr>
            <w:r>
              <w:rPr>
                <w:color w:val="000000" w:themeColor="text1"/>
                <w:highlight w:val="none"/>
              </w:rPr>
              <w:t>较严重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05" w:type="pct"/>
            <w:vAlign w:val="center"/>
          </w:tcPr>
          <w:p>
            <w:pPr>
              <w:pStyle w:val="63"/>
              <w:rPr>
                <w:color w:val="000000" w:themeColor="text1"/>
                <w:highlight w:val="none"/>
              </w:rPr>
            </w:pPr>
            <w:r>
              <w:rPr>
                <w:color w:val="000000" w:themeColor="text1"/>
                <w:highlight w:val="none"/>
              </w:rPr>
              <w:t>一般</w:t>
            </w:r>
          </w:p>
        </w:tc>
        <w:tc>
          <w:tcPr>
            <w:tcW w:w="1646" w:type="pct"/>
            <w:vAlign w:val="center"/>
          </w:tcPr>
          <w:p>
            <w:pPr>
              <w:pStyle w:val="63"/>
              <w:rPr>
                <w:color w:val="000000" w:themeColor="text1"/>
                <w:highlight w:val="none"/>
              </w:rPr>
            </w:pPr>
            <w:r>
              <w:rPr>
                <w:color w:val="000000" w:themeColor="text1"/>
                <w:highlight w:val="none"/>
              </w:rPr>
              <w:t>较轻</w:t>
            </w:r>
          </w:p>
        </w:tc>
        <w:tc>
          <w:tcPr>
            <w:tcW w:w="1647" w:type="pct"/>
            <w:vAlign w:val="center"/>
          </w:tcPr>
          <w:p>
            <w:pPr>
              <w:pStyle w:val="63"/>
              <w:rPr>
                <w:color w:val="000000" w:themeColor="text1"/>
                <w:highlight w:val="none"/>
              </w:rPr>
            </w:pPr>
            <w:r>
              <w:rPr>
                <w:color w:val="000000" w:themeColor="text1"/>
                <w:highlight w:val="none"/>
              </w:rPr>
              <w:t>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3"/>
            <w:vAlign w:val="center"/>
          </w:tcPr>
          <w:p>
            <w:pPr>
              <w:pStyle w:val="9"/>
              <w:spacing w:line="240" w:lineRule="auto"/>
              <w:rPr>
                <w:color w:val="000000" w:themeColor="text1"/>
                <w:highlight w:val="none"/>
              </w:rPr>
            </w:pPr>
            <w:r>
              <w:rPr>
                <w:color w:val="000000" w:themeColor="text1"/>
                <w:highlight w:val="none"/>
              </w:rPr>
              <w:t>注：现状评估与预测评估结果不一致的采取就上原则进行分区。</w:t>
            </w:r>
          </w:p>
        </w:tc>
      </w:tr>
    </w:tbl>
    <w:p>
      <w:pPr>
        <w:rPr>
          <w:color w:val="000000" w:themeColor="text1"/>
          <w:highlight w:val="none"/>
        </w:rPr>
      </w:pPr>
      <w:r>
        <w:rPr>
          <w:rFonts w:hint="eastAsia"/>
          <w:color w:val="000000" w:themeColor="text1"/>
          <w:highlight w:val="none"/>
        </w:rPr>
        <w:t>根据上述分区原则和方法，结合本矿实际，充分考虑区内主要建设工程的重要性，矿山地质环境保护与治理恢复分区划分为重点防治区和一般防治区两个区。</w:t>
      </w:r>
    </w:p>
    <w:p>
      <w:pPr>
        <w:rPr>
          <w:color w:val="000000" w:themeColor="text1"/>
          <w:highlight w:val="none"/>
        </w:rPr>
      </w:pPr>
      <w:r>
        <w:rPr>
          <w:rFonts w:hint="eastAsia"/>
          <w:color w:val="000000" w:themeColor="text1"/>
          <w:highlight w:val="none"/>
        </w:rPr>
        <w:t>重点防治区总共由</w:t>
      </w:r>
      <w:r>
        <w:rPr>
          <w:rFonts w:hint="eastAsia"/>
          <w:color w:val="000000" w:themeColor="text1"/>
          <w:highlight w:val="none"/>
          <w:lang w:val="en-US" w:eastAsia="zh-CN"/>
        </w:rPr>
        <w:t>2</w:t>
      </w:r>
      <w:r>
        <w:rPr>
          <w:rFonts w:hint="eastAsia"/>
          <w:color w:val="000000" w:themeColor="text1"/>
          <w:highlight w:val="none"/>
        </w:rPr>
        <w:t>个亚区组成，</w:t>
      </w:r>
      <w:r>
        <w:rPr>
          <w:rFonts w:hint="eastAsia"/>
          <w:color w:val="000000" w:themeColor="text1"/>
          <w:highlight w:val="none"/>
          <w:lang w:eastAsia="zh-CN"/>
        </w:rPr>
        <w:t>其中</w:t>
      </w:r>
      <w:r>
        <w:rPr>
          <w:rFonts w:hint="eastAsia"/>
          <w:color w:val="000000" w:themeColor="text1"/>
          <w:highlight w:val="none"/>
        </w:rPr>
        <w:t>露天采场面积包含现已损毁</w:t>
      </w:r>
      <w:r>
        <w:rPr>
          <w:rFonts w:hint="eastAsia"/>
          <w:color w:val="000000" w:themeColor="text1"/>
          <w:highlight w:val="none"/>
          <w:lang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、采场开挖新增面积</w:t>
      </w:r>
      <w:r>
        <w:rPr>
          <w:rFonts w:hint="eastAsia"/>
          <w:color w:val="000000" w:themeColor="text1"/>
          <w:highlight w:val="none"/>
          <w:lang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，共计</w:t>
      </w:r>
      <w:r>
        <w:rPr>
          <w:rFonts w:hint="eastAsia"/>
          <w:color w:val="000000" w:themeColor="text1"/>
          <w:highlight w:val="none"/>
          <w:lang w:eastAsia="zh-CN"/>
        </w:rPr>
        <w:t>8.9779</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；矿山公路面积为</w:t>
      </w:r>
      <w:r>
        <w:rPr>
          <w:rFonts w:hint="eastAsia"/>
          <w:color w:val="000000" w:themeColor="text1"/>
          <w:highlight w:val="none"/>
          <w:lang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p>
    <w:p>
      <w:pPr>
        <w:rPr>
          <w:color w:val="000000" w:themeColor="text1"/>
          <w:highlight w:val="none"/>
        </w:rPr>
      </w:pPr>
      <w:r>
        <w:rPr>
          <w:color w:val="000000" w:themeColor="text1"/>
          <w:highlight w:val="none"/>
        </w:rPr>
        <w:t>一般防治区为评估范围内其他区域</w:t>
      </w:r>
      <w:r>
        <w:rPr>
          <w:rFonts w:hint="eastAsia"/>
          <w:color w:val="000000" w:themeColor="text1"/>
          <w:highlight w:val="none"/>
        </w:rPr>
        <w:t>，</w:t>
      </w:r>
      <w:r>
        <w:rPr>
          <w:color w:val="000000" w:themeColor="text1"/>
          <w:highlight w:val="none"/>
        </w:rPr>
        <w:t>面积为</w:t>
      </w:r>
      <w:r>
        <w:rPr>
          <w:rFonts w:hint="eastAsia"/>
          <w:color w:val="000000" w:themeColor="text1"/>
          <w:highlight w:val="none"/>
          <w:lang w:eastAsia="zh-CN"/>
        </w:rPr>
        <w:t>17.1734</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p>
    <w:p>
      <w:pPr>
        <w:rPr>
          <w:color w:val="000000" w:themeColor="text1"/>
          <w:highlight w:val="none"/>
        </w:rPr>
      </w:pPr>
      <w:r>
        <w:rPr>
          <w:color w:val="000000" w:themeColor="text1"/>
          <w:highlight w:val="none"/>
        </w:rPr>
        <w:br w:type="page"/>
      </w:r>
    </w:p>
    <w:p>
      <w:pPr>
        <w:pStyle w:val="67"/>
        <w:rPr>
          <w:color w:val="000000" w:themeColor="text1"/>
          <w:highlight w:val="none"/>
        </w:rPr>
      </w:pPr>
      <w:r>
        <w:rPr>
          <w:color w:val="000000" w:themeColor="text1"/>
          <w:highlight w:val="none"/>
        </w:rPr>
        <w:t>表</w:t>
      </w:r>
      <w:r>
        <w:rPr>
          <w:rFonts w:hint="eastAsia"/>
          <w:color w:val="000000" w:themeColor="text1"/>
          <w:highlight w:val="none"/>
        </w:rPr>
        <w:t xml:space="preserve">3-18  矿山地质环境保护与治理恢复分区划分表 </w:t>
      </w:r>
    </w:p>
    <w:tbl>
      <w:tblPr>
        <w:tblStyle w:val="31"/>
        <w:tblW w:w="52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118"/>
        <w:gridCol w:w="1004"/>
        <w:gridCol w:w="1068"/>
        <w:gridCol w:w="974"/>
        <w:gridCol w:w="1303"/>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gridSpan w:val="2"/>
            <w:shd w:val="clear" w:color="auto" w:fill="auto"/>
            <w:vAlign w:val="center"/>
          </w:tcPr>
          <w:p>
            <w:pPr>
              <w:pStyle w:val="63"/>
              <w:rPr>
                <w:color w:val="000000" w:themeColor="text1"/>
                <w:kern w:val="0"/>
                <w:highlight w:val="none"/>
              </w:rPr>
            </w:pPr>
            <w:r>
              <w:rPr>
                <w:rFonts w:hint="eastAsia"/>
                <w:color w:val="000000" w:themeColor="text1"/>
                <w:kern w:val="0"/>
                <w:highlight w:val="none"/>
              </w:rPr>
              <w:t>矿山地质环境保护与治理恢复分区</w:t>
            </w:r>
          </w:p>
        </w:tc>
        <w:tc>
          <w:tcPr>
            <w:tcW w:w="564" w:type="pct"/>
            <w:vMerge w:val="restart"/>
            <w:shd w:val="clear" w:color="auto" w:fill="auto"/>
            <w:vAlign w:val="center"/>
          </w:tcPr>
          <w:p>
            <w:pPr>
              <w:pStyle w:val="63"/>
              <w:rPr>
                <w:color w:val="000000" w:themeColor="text1"/>
                <w:kern w:val="0"/>
                <w:highlight w:val="none"/>
              </w:rPr>
            </w:pPr>
            <w:r>
              <w:rPr>
                <w:color w:val="000000" w:themeColor="text1"/>
                <w:kern w:val="0"/>
                <w:highlight w:val="none"/>
              </w:rPr>
              <w:t>面积(hm</w:t>
            </w:r>
            <w:r>
              <w:rPr>
                <w:color w:val="000000" w:themeColor="text1"/>
                <w:kern w:val="0"/>
                <w:highlight w:val="none"/>
                <w:vertAlign w:val="superscript"/>
              </w:rPr>
              <w:t>2</w:t>
            </w:r>
            <w:r>
              <w:rPr>
                <w:color w:val="000000" w:themeColor="text1"/>
                <w:kern w:val="0"/>
                <w:highlight w:val="none"/>
              </w:rPr>
              <w:t>)</w:t>
            </w:r>
          </w:p>
        </w:tc>
        <w:tc>
          <w:tcPr>
            <w:tcW w:w="600"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矿山地质环境影响程度</w:t>
            </w:r>
          </w:p>
        </w:tc>
        <w:tc>
          <w:tcPr>
            <w:tcW w:w="547"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保护与治理对象</w:t>
            </w:r>
          </w:p>
        </w:tc>
        <w:tc>
          <w:tcPr>
            <w:tcW w:w="732"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损失和治理难度</w:t>
            </w:r>
          </w:p>
        </w:tc>
        <w:tc>
          <w:tcPr>
            <w:tcW w:w="1317"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主要防治措施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分区级别</w:t>
            </w:r>
          </w:p>
        </w:tc>
        <w:tc>
          <w:tcPr>
            <w:tcW w:w="628"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分区编号</w:t>
            </w:r>
          </w:p>
        </w:tc>
        <w:tc>
          <w:tcPr>
            <w:tcW w:w="564" w:type="pct"/>
            <w:vMerge w:val="continue"/>
            <w:vAlign w:val="center"/>
          </w:tcPr>
          <w:p>
            <w:pPr>
              <w:pStyle w:val="63"/>
              <w:rPr>
                <w:color w:val="000000" w:themeColor="text1"/>
                <w:kern w:val="0"/>
                <w:highlight w:val="none"/>
              </w:rPr>
            </w:pPr>
          </w:p>
        </w:tc>
        <w:tc>
          <w:tcPr>
            <w:tcW w:w="600" w:type="pct"/>
            <w:vMerge w:val="continue"/>
            <w:vAlign w:val="center"/>
          </w:tcPr>
          <w:p>
            <w:pPr>
              <w:pStyle w:val="63"/>
              <w:rPr>
                <w:color w:val="000000" w:themeColor="text1"/>
                <w:kern w:val="0"/>
                <w:highlight w:val="none"/>
              </w:rPr>
            </w:pPr>
          </w:p>
        </w:tc>
        <w:tc>
          <w:tcPr>
            <w:tcW w:w="547" w:type="pct"/>
            <w:vMerge w:val="continue"/>
            <w:vAlign w:val="center"/>
          </w:tcPr>
          <w:p>
            <w:pPr>
              <w:pStyle w:val="63"/>
              <w:rPr>
                <w:color w:val="000000" w:themeColor="text1"/>
                <w:kern w:val="0"/>
                <w:highlight w:val="none"/>
              </w:rPr>
            </w:pPr>
          </w:p>
        </w:tc>
        <w:tc>
          <w:tcPr>
            <w:tcW w:w="732" w:type="pct"/>
            <w:vMerge w:val="continue"/>
            <w:vAlign w:val="center"/>
          </w:tcPr>
          <w:p>
            <w:pPr>
              <w:pStyle w:val="63"/>
              <w:rPr>
                <w:color w:val="000000" w:themeColor="text1"/>
                <w:kern w:val="0"/>
                <w:highlight w:val="none"/>
              </w:rPr>
            </w:pPr>
          </w:p>
        </w:tc>
        <w:tc>
          <w:tcPr>
            <w:tcW w:w="1317" w:type="pct"/>
            <w:vMerge w:val="continue"/>
            <w:vAlign w:val="center"/>
          </w:tcPr>
          <w:p>
            <w:pPr>
              <w:pStyle w:val="63"/>
              <w:rPr>
                <w:color w:val="000000" w:themeColor="text1"/>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重点防治区</w:t>
            </w:r>
          </w:p>
        </w:tc>
        <w:tc>
          <w:tcPr>
            <w:tcW w:w="628" w:type="pct"/>
            <w:shd w:val="clear" w:color="auto" w:fill="auto"/>
            <w:vAlign w:val="center"/>
          </w:tcPr>
          <w:p>
            <w:pPr>
              <w:pStyle w:val="63"/>
              <w:rPr>
                <w:color w:val="000000" w:themeColor="text1"/>
                <w:kern w:val="0"/>
                <w:highlight w:val="none"/>
              </w:rPr>
            </w:pPr>
            <w:r>
              <w:rPr>
                <w:color w:val="000000" w:themeColor="text1"/>
                <w:kern w:val="0"/>
                <w:highlight w:val="none"/>
              </w:rPr>
              <w:t>Ⅰ</w:t>
            </w:r>
            <w:r>
              <w:rPr>
                <w:color w:val="000000" w:themeColor="text1"/>
                <w:kern w:val="0"/>
                <w:highlight w:val="none"/>
                <w:vertAlign w:val="subscript"/>
              </w:rPr>
              <w:t>1</w:t>
            </w:r>
          </w:p>
        </w:tc>
        <w:tc>
          <w:tcPr>
            <w:tcW w:w="564" w:type="pct"/>
            <w:shd w:val="clear" w:color="auto" w:fill="auto"/>
            <w:vAlign w:val="center"/>
          </w:tcPr>
          <w:p>
            <w:pPr>
              <w:pStyle w:val="63"/>
              <w:ind w:firstLine="0" w:firstLineChars="0"/>
              <w:rPr>
                <w:rFonts w:hint="eastAsia" w:eastAsia="宋体"/>
                <w:color w:val="000000" w:themeColor="text1"/>
                <w:kern w:val="0"/>
                <w:highlight w:val="none"/>
                <w:lang w:eastAsia="zh-CN"/>
              </w:rPr>
            </w:pPr>
            <w:r>
              <w:rPr>
                <w:rFonts w:hint="eastAsia"/>
                <w:color w:val="000000" w:themeColor="text1"/>
                <w:szCs w:val="21"/>
                <w:highlight w:val="none"/>
                <w:lang w:val="en-US" w:eastAsia="zh-CN"/>
              </w:rPr>
              <w:t>8.9779</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露天采场</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损失大、治理困难</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进行场地平整，采取覆土、恢复植被等生态措施，并进行监测。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continue"/>
            <w:vAlign w:val="center"/>
          </w:tcPr>
          <w:p>
            <w:pPr>
              <w:pStyle w:val="63"/>
              <w:rPr>
                <w:color w:val="000000" w:themeColor="text1"/>
                <w:kern w:val="0"/>
                <w:highlight w:val="none"/>
              </w:rPr>
            </w:pPr>
          </w:p>
        </w:tc>
        <w:tc>
          <w:tcPr>
            <w:tcW w:w="628" w:type="pct"/>
            <w:shd w:val="clear" w:color="auto" w:fill="auto"/>
            <w:vAlign w:val="center"/>
          </w:tcPr>
          <w:p>
            <w:pPr>
              <w:pStyle w:val="63"/>
              <w:rPr>
                <w:rFonts w:hint="eastAsia" w:eastAsia="宋体"/>
                <w:color w:val="000000" w:themeColor="text1"/>
                <w:kern w:val="0"/>
                <w:highlight w:val="none"/>
                <w:lang w:eastAsia="zh-CN"/>
              </w:rPr>
            </w:pPr>
            <w:r>
              <w:rPr>
                <w:color w:val="000000" w:themeColor="text1"/>
                <w:kern w:val="0"/>
                <w:highlight w:val="none"/>
              </w:rPr>
              <w:t>Ⅰ</w:t>
            </w:r>
            <w:r>
              <w:rPr>
                <w:rFonts w:hint="eastAsia"/>
                <w:color w:val="000000" w:themeColor="text1"/>
                <w:kern w:val="0"/>
                <w:highlight w:val="none"/>
                <w:vertAlign w:val="subscript"/>
                <w:lang w:val="en-US" w:eastAsia="zh-CN"/>
              </w:rPr>
              <w:t>2</w:t>
            </w:r>
          </w:p>
        </w:tc>
        <w:tc>
          <w:tcPr>
            <w:tcW w:w="564" w:type="pct"/>
            <w:shd w:val="clear" w:color="auto" w:fill="auto"/>
            <w:vAlign w:val="center"/>
          </w:tcPr>
          <w:p>
            <w:pPr>
              <w:pStyle w:val="63"/>
              <w:ind w:firstLine="0" w:firstLineChars="0"/>
              <w:rPr>
                <w:rFonts w:hint="eastAsia" w:eastAsia="宋体"/>
                <w:color w:val="000000" w:themeColor="text1"/>
                <w:kern w:val="0"/>
                <w:highlight w:val="none"/>
                <w:lang w:eastAsia="zh-CN"/>
              </w:rPr>
            </w:pPr>
            <w:r>
              <w:rPr>
                <w:rFonts w:hint="eastAsia"/>
                <w:color w:val="000000" w:themeColor="text1"/>
                <w:szCs w:val="21"/>
                <w:highlight w:val="none"/>
                <w:lang w:eastAsia="zh-CN"/>
              </w:rPr>
              <w:t>0.5465</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矿山公路</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损失大、治理困难</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进行场地平整，采取覆土、恢复植被等生态措施，并进行监测。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一般防治区</w:t>
            </w:r>
          </w:p>
        </w:tc>
        <w:tc>
          <w:tcPr>
            <w:tcW w:w="628" w:type="pct"/>
            <w:shd w:val="clear" w:color="auto" w:fill="auto"/>
            <w:vAlign w:val="center"/>
          </w:tcPr>
          <w:p>
            <w:pPr>
              <w:pStyle w:val="63"/>
              <w:rPr>
                <w:color w:val="000000" w:themeColor="text1"/>
                <w:kern w:val="0"/>
                <w:highlight w:val="none"/>
              </w:rPr>
            </w:pPr>
            <w:r>
              <w:rPr>
                <w:color w:val="000000" w:themeColor="text1"/>
                <w:kern w:val="0"/>
                <w:highlight w:val="none"/>
              </w:rPr>
              <w:t>Ⅲ</w:t>
            </w:r>
          </w:p>
        </w:tc>
        <w:tc>
          <w:tcPr>
            <w:tcW w:w="564" w:type="pct"/>
            <w:shd w:val="clear" w:color="auto" w:fill="auto"/>
            <w:noWrap/>
            <w:vAlign w:val="center"/>
          </w:tcPr>
          <w:p>
            <w:pPr>
              <w:pStyle w:val="63"/>
              <w:ind w:firstLine="0" w:firstLineChars="0"/>
              <w:rPr>
                <w:color w:val="000000" w:themeColor="text1"/>
                <w:szCs w:val="21"/>
                <w:highlight w:val="none"/>
              </w:rPr>
            </w:pPr>
            <w:r>
              <w:rPr>
                <w:rFonts w:hint="eastAsia"/>
                <w:color w:val="000000" w:themeColor="text1"/>
                <w:szCs w:val="21"/>
                <w:highlight w:val="none"/>
                <w:lang w:val="en-US" w:eastAsia="zh-CN"/>
              </w:rPr>
              <w:t>17.1734</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评估区其余区域</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损失小，治理较容易</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加强矿山地质环境监测，设立长期观测点对各含水层进行水位和水质监测</w:t>
            </w:r>
          </w:p>
        </w:tc>
      </w:tr>
    </w:tbl>
    <w:p>
      <w:pPr>
        <w:rPr>
          <w:color w:val="000000" w:themeColor="text1"/>
          <w:highlight w:val="none"/>
        </w:rPr>
      </w:pPr>
      <w:r>
        <w:rPr>
          <w:color w:val="000000" w:themeColor="text1"/>
          <w:highlight w:val="none"/>
        </w:rPr>
        <w:t>（1）重点防治区（</w:t>
      </w:r>
      <w:r>
        <w:rPr>
          <w:color w:val="000000" w:themeColor="text1"/>
          <w:sz w:val="20"/>
          <w:szCs w:val="21"/>
          <w:highlight w:val="none"/>
        </w:rPr>
        <w:t>Ⅰ</w:t>
      </w:r>
      <w:r>
        <w:rPr>
          <w:color w:val="000000" w:themeColor="text1"/>
          <w:highlight w:val="none"/>
        </w:rPr>
        <w:t>）</w:t>
      </w:r>
    </w:p>
    <w:p>
      <w:pPr>
        <w:rPr>
          <w:color w:val="000000" w:themeColor="text1"/>
          <w:highlight w:val="none"/>
        </w:rPr>
      </w:pPr>
      <w:r>
        <w:rPr>
          <w:color w:val="000000" w:themeColor="text1"/>
          <w:highlight w:val="none"/>
        </w:rPr>
        <w:t>为矿山地质环境影响评估严重区和</w:t>
      </w:r>
      <w:r>
        <w:rPr>
          <w:color w:val="000000" w:themeColor="text1"/>
          <w:spacing w:val="2"/>
          <w:highlight w:val="none"/>
        </w:rPr>
        <w:t>重点工程保护区</w:t>
      </w:r>
      <w:r>
        <w:rPr>
          <w:color w:val="000000" w:themeColor="text1"/>
          <w:highlight w:val="none"/>
        </w:rPr>
        <w:t>，</w:t>
      </w:r>
      <w:r>
        <w:rPr>
          <w:color w:val="000000" w:themeColor="text1"/>
          <w:spacing w:val="2"/>
          <w:highlight w:val="none"/>
        </w:rPr>
        <w:t>共划分了</w:t>
      </w:r>
      <w:r>
        <w:rPr>
          <w:color w:val="000000" w:themeColor="text1"/>
          <w:highlight w:val="none"/>
        </w:rPr>
        <w:t>7个重点防治区，分别为</w:t>
      </w:r>
      <w:r>
        <w:rPr>
          <w:rFonts w:hint="eastAsia"/>
          <w:color w:val="000000" w:themeColor="text1"/>
          <w:highlight w:val="none"/>
        </w:rPr>
        <w:t>Ⅰ</w:t>
      </w:r>
      <w:r>
        <w:rPr>
          <w:color w:val="000000" w:themeColor="text1"/>
          <w:highlight w:val="none"/>
          <w:vertAlign w:val="subscript"/>
        </w:rPr>
        <w:t>1</w:t>
      </w:r>
      <w:r>
        <w:rPr>
          <w:color w:val="000000" w:themeColor="text1"/>
          <w:highlight w:val="none"/>
        </w:rPr>
        <w:t>区、</w:t>
      </w:r>
      <w:r>
        <w:rPr>
          <w:rFonts w:hint="eastAsia"/>
          <w:color w:val="000000" w:themeColor="text1"/>
          <w:highlight w:val="none"/>
        </w:rPr>
        <w:t>Ⅰ</w:t>
      </w:r>
      <w:r>
        <w:rPr>
          <w:color w:val="000000" w:themeColor="text1"/>
          <w:highlight w:val="none"/>
          <w:vertAlign w:val="subscript"/>
        </w:rPr>
        <w:t>2</w:t>
      </w:r>
      <w:r>
        <w:rPr>
          <w:color w:val="000000" w:themeColor="text1"/>
          <w:highlight w:val="none"/>
        </w:rPr>
        <w:t>区。总面积约</w:t>
      </w:r>
      <w:r>
        <w:rPr>
          <w:rFonts w:hint="eastAsia"/>
          <w:color w:val="000000" w:themeColor="text1"/>
          <w:highlight w:val="none"/>
          <w:lang w:eastAsia="zh-CN"/>
        </w:rPr>
        <w:t>9.5224</w:t>
      </w:r>
      <w:r>
        <w:rPr>
          <w:color w:val="000000" w:themeColor="text1"/>
          <w:highlight w:val="none"/>
        </w:rPr>
        <w:t>h</w:t>
      </w:r>
      <w:r>
        <w:rPr>
          <w:color w:val="000000" w:themeColor="text1"/>
          <w:spacing w:val="-8"/>
          <w:highlight w:val="none"/>
        </w:rPr>
        <w:t>m</w:t>
      </w:r>
      <w:r>
        <w:rPr>
          <w:rFonts w:hint="eastAsia"/>
          <w:color w:val="000000" w:themeColor="text1"/>
          <w:highlight w:val="none"/>
          <w:vertAlign w:val="superscript"/>
        </w:rPr>
        <w:t>2</w:t>
      </w:r>
      <w:r>
        <w:rPr>
          <w:rFonts w:hint="eastAsia"/>
          <w:color w:val="000000" w:themeColor="text1"/>
          <w:highlight w:val="none"/>
        </w:rPr>
        <w:t>。</w:t>
      </w:r>
    </w:p>
    <w:p>
      <w:pPr>
        <w:rPr>
          <w:color w:val="000000" w:themeColor="text1"/>
          <w:highlight w:val="none"/>
        </w:rPr>
      </w:pPr>
      <w:r>
        <w:rPr>
          <w:rFonts w:hint="eastAsia"/>
          <w:color w:val="000000" w:themeColor="text1"/>
          <w:highlight w:val="none"/>
        </w:rPr>
        <w:t>Ⅰ</w:t>
      </w:r>
      <w:r>
        <w:rPr>
          <w:color w:val="000000" w:themeColor="text1"/>
          <w:highlight w:val="none"/>
          <w:vertAlign w:val="subscript"/>
        </w:rPr>
        <w:t>1</w:t>
      </w:r>
      <w:r>
        <w:rPr>
          <w:color w:val="000000" w:themeColor="text1"/>
          <w:highlight w:val="none"/>
        </w:rPr>
        <w:t>区主要是露天采场，影响总面积约</w:t>
      </w:r>
      <w:r>
        <w:rPr>
          <w:rFonts w:hint="eastAsia"/>
          <w:color w:val="000000" w:themeColor="text1"/>
          <w:highlight w:val="none"/>
          <w:lang w:eastAsia="zh-CN"/>
        </w:rPr>
        <w:t>8.9779</w:t>
      </w:r>
      <w:r>
        <w:rPr>
          <w:color w:val="000000" w:themeColor="text1"/>
          <w:highlight w:val="none"/>
        </w:rPr>
        <w:t>hm</w:t>
      </w:r>
      <w:r>
        <w:rPr>
          <w:color w:val="000000" w:themeColor="text1"/>
          <w:highlight w:val="none"/>
          <w:vertAlign w:val="superscript"/>
        </w:rPr>
        <w:t>2</w:t>
      </w:r>
      <w:r>
        <w:rPr>
          <w:color w:val="000000" w:themeColor="text1"/>
          <w:highlight w:val="none"/>
        </w:rPr>
        <w:t>。存在的主要矿山地质环境问题是对区内的土地资源造成破坏，破坏土地资源类型包含耕地、林地、城镇村及工矿用地，对土地资源的影响程度严重，治理恢复困难；对原生的地形地貌景观破坏严重。</w:t>
      </w:r>
    </w:p>
    <w:p>
      <w:pPr>
        <w:rPr>
          <w:color w:val="000000" w:themeColor="text1"/>
          <w:highlight w:val="none"/>
        </w:rPr>
      </w:pPr>
      <w:r>
        <w:rPr>
          <w:rFonts w:hint="eastAsia"/>
          <w:color w:val="000000" w:themeColor="text1"/>
          <w:highlight w:val="none"/>
        </w:rPr>
        <w:t>Ⅰ</w:t>
      </w:r>
      <w:r>
        <w:rPr>
          <w:rFonts w:hint="eastAsia"/>
          <w:color w:val="000000" w:themeColor="text1"/>
          <w:highlight w:val="none"/>
          <w:vertAlign w:val="subscript"/>
          <w:lang w:val="en-US" w:eastAsia="zh-CN"/>
        </w:rPr>
        <w:t>2</w:t>
      </w:r>
      <w:r>
        <w:rPr>
          <w:color w:val="000000" w:themeColor="text1"/>
          <w:highlight w:val="none"/>
        </w:rPr>
        <w:t>区主要是</w:t>
      </w:r>
      <w:r>
        <w:rPr>
          <w:rFonts w:hint="eastAsia"/>
          <w:color w:val="000000" w:themeColor="text1"/>
          <w:highlight w:val="none"/>
        </w:rPr>
        <w:t>矿山公路</w:t>
      </w:r>
      <w:r>
        <w:rPr>
          <w:color w:val="000000" w:themeColor="text1"/>
          <w:highlight w:val="none"/>
        </w:rPr>
        <w:t>，影响总面积约</w:t>
      </w:r>
      <w:r>
        <w:rPr>
          <w:rFonts w:hint="eastAsia" w:eastAsiaTheme="minorEastAsia"/>
          <w:color w:val="000000" w:themeColor="text1"/>
          <w:kern w:val="0"/>
          <w:highlight w:val="none"/>
          <w:lang w:eastAsia="zh-CN"/>
        </w:rPr>
        <w:t>0.5465</w:t>
      </w:r>
      <w:r>
        <w:rPr>
          <w:rFonts w:eastAsiaTheme="minorEastAsia"/>
          <w:color w:val="000000" w:themeColor="text1"/>
          <w:kern w:val="0"/>
          <w:highlight w:val="none"/>
        </w:rPr>
        <w:t>hm</w:t>
      </w:r>
      <w:r>
        <w:rPr>
          <w:rFonts w:hint="eastAsia" w:eastAsiaTheme="minorEastAsia"/>
          <w:color w:val="000000" w:themeColor="text1"/>
          <w:kern w:val="0"/>
          <w:highlight w:val="none"/>
          <w:vertAlign w:val="superscript"/>
        </w:rPr>
        <w:t>2</w:t>
      </w:r>
      <w:r>
        <w:rPr>
          <w:color w:val="000000" w:themeColor="text1"/>
          <w:highlight w:val="none"/>
        </w:rPr>
        <w:t>。存在的主要矿山地质环境问题是对区内的土地资源造成破坏，破坏土地资源类型包含</w:t>
      </w:r>
      <w:r>
        <w:rPr>
          <w:rFonts w:hint="eastAsia"/>
          <w:color w:val="000000" w:themeColor="text1"/>
          <w:highlight w:val="none"/>
        </w:rPr>
        <w:t>耕地、</w:t>
      </w:r>
      <w:r>
        <w:rPr>
          <w:color w:val="000000" w:themeColor="text1"/>
          <w:highlight w:val="none"/>
        </w:rPr>
        <w:t>林地、城镇村及工矿用地，对土地资源的影响程度严重，治理恢复困难；对原生的地形地貌景观破坏严重。</w:t>
      </w:r>
    </w:p>
    <w:p>
      <w:pPr>
        <w:rPr>
          <w:color w:val="000000" w:themeColor="text1"/>
          <w:highlight w:val="none"/>
        </w:rPr>
      </w:pPr>
      <w:r>
        <w:rPr>
          <w:color w:val="000000" w:themeColor="text1"/>
          <w:highlight w:val="none"/>
        </w:rPr>
        <w:t>主要防治措施为：挖方施工过程应按《建筑边坡工程技术规范》（GB50330-2002）合理开挖边坡，并采取必要的边坡防护工程以及有关截排水工程。填方土质应满足设计要求，施工过程中土体应分层堆放，每层都必须压密、压实、强夯处理。同时硬化地面，做好地表排水工程。对场地工程建设完成后进行种草绿化工程。服务期满后，进行场地平整，采取覆土、恢复植被等生态措施，加强矿山地质环境监测，设立长期观测点对各含水层进行水位和水质监测。</w:t>
      </w:r>
    </w:p>
    <w:p>
      <w:pPr>
        <w:rPr>
          <w:color w:val="000000" w:themeColor="text1"/>
          <w:highlight w:val="none"/>
        </w:rPr>
      </w:pPr>
      <w:r>
        <w:rPr>
          <w:rFonts w:hint="eastAsia"/>
          <w:color w:val="000000" w:themeColor="text1"/>
          <w:highlight w:val="none"/>
        </w:rPr>
        <w:t>（2）</w:t>
      </w:r>
      <w:r>
        <w:rPr>
          <w:color w:val="000000" w:themeColor="text1"/>
          <w:highlight w:val="none"/>
        </w:rPr>
        <w:t>一般防治区（</w:t>
      </w:r>
      <w:r>
        <w:rPr>
          <w:rFonts w:hint="eastAsia" w:ascii="宋体" w:hAnsi="宋体" w:cs="宋体"/>
          <w:color w:val="000000" w:themeColor="text1"/>
          <w:highlight w:val="none"/>
        </w:rPr>
        <w:t>Ⅲ</w:t>
      </w:r>
      <w:r>
        <w:rPr>
          <w:color w:val="000000" w:themeColor="text1"/>
          <w:highlight w:val="none"/>
        </w:rPr>
        <w:t>）</w:t>
      </w:r>
    </w:p>
    <w:p>
      <w:pPr>
        <w:rPr>
          <w:color w:val="000000" w:themeColor="text1"/>
          <w:szCs w:val="28"/>
          <w:highlight w:val="none"/>
        </w:rPr>
      </w:pPr>
      <w:r>
        <w:rPr>
          <w:rFonts w:hint="eastAsia" w:ascii="宋体" w:hAnsi="宋体" w:cs="宋体"/>
          <w:color w:val="000000" w:themeColor="text1"/>
          <w:szCs w:val="28"/>
          <w:highlight w:val="none"/>
        </w:rPr>
        <w:t>Ⅲ</w:t>
      </w:r>
      <w:r>
        <w:rPr>
          <w:color w:val="000000" w:themeColor="text1"/>
          <w:szCs w:val="28"/>
          <w:highlight w:val="none"/>
        </w:rPr>
        <w:t>区为评估区内除重点防治区和次重点防治区以外的区域，面积约</w:t>
      </w:r>
      <w:r>
        <w:rPr>
          <w:rFonts w:hint="eastAsia"/>
          <w:color w:val="000000" w:themeColor="text1"/>
          <w:highlight w:val="none"/>
          <w:lang w:eastAsia="zh-CN"/>
        </w:rPr>
        <w:t>17.1734</w:t>
      </w:r>
      <w:r>
        <w:rPr>
          <w:color w:val="000000" w:themeColor="text1"/>
          <w:szCs w:val="28"/>
          <w:highlight w:val="none"/>
        </w:rPr>
        <w:t>hm</w:t>
      </w:r>
      <w:r>
        <w:rPr>
          <w:color w:val="000000" w:themeColor="text1"/>
          <w:szCs w:val="28"/>
          <w:highlight w:val="none"/>
          <w:vertAlign w:val="superscript"/>
        </w:rPr>
        <w:t>2</w:t>
      </w:r>
      <w:r>
        <w:rPr>
          <w:color w:val="000000" w:themeColor="text1"/>
          <w:szCs w:val="28"/>
          <w:highlight w:val="none"/>
        </w:rPr>
        <w:t>。影响</w:t>
      </w:r>
      <w:r>
        <w:rPr>
          <w:color w:val="000000" w:themeColor="text1"/>
          <w:highlight w:val="none"/>
        </w:rPr>
        <w:t>对象为区内的林地、农田、村庄、一般乡间公路、村间道路和一般农田水利设施等。矿山生产活动对区域地下水影响幅度较小，不会影响矿区及周边生产生活供水，</w:t>
      </w:r>
      <w:r>
        <w:rPr>
          <w:color w:val="000000" w:themeColor="text1"/>
          <w:spacing w:val="-3"/>
          <w:highlight w:val="none"/>
        </w:rPr>
        <w:t>对具供水意义的含水层破坏影响较轻；对原生的地形地貌景观破坏较轻；对土地</w:t>
      </w:r>
      <w:r>
        <w:rPr>
          <w:color w:val="000000" w:themeColor="text1"/>
          <w:highlight w:val="none"/>
        </w:rPr>
        <w:t>资源的破坏程度较轻；地面建筑设施可能遭受的财产损失小，影响程度较轻</w:t>
      </w:r>
      <w:r>
        <w:rPr>
          <w:color w:val="000000" w:themeColor="text1"/>
          <w:szCs w:val="28"/>
          <w:highlight w:val="none"/>
        </w:rPr>
        <w:t>。</w:t>
      </w:r>
    </w:p>
    <w:p>
      <w:pPr>
        <w:rPr>
          <w:color w:val="000000" w:themeColor="text1"/>
          <w:highlight w:val="none"/>
        </w:rPr>
      </w:pPr>
      <w:r>
        <w:rPr>
          <w:color w:val="000000" w:themeColor="text1"/>
          <w:highlight w:val="none"/>
        </w:rPr>
        <w:t>主要防治措施为：对区内村庄定时巡查，发现异常时及时修缮；对区内乡间公路、农用生产道路、通讯输电线路和河渠堤防定时进行巡查，发现异常及时维修保证其正常运行；设立长期观测点对各含水层进行水位和水质监测；土地简单平整后方可恢复土地资源使用功能及地形地貌影观。</w:t>
      </w:r>
    </w:p>
    <w:p>
      <w:pPr>
        <w:pStyle w:val="5"/>
        <w:spacing w:before="82" w:after="82"/>
        <w:rPr>
          <w:color w:val="000000" w:themeColor="text1"/>
          <w:highlight w:val="none"/>
        </w:rPr>
      </w:pPr>
      <w:bookmarkStart w:id="148" w:name="_Toc26426"/>
      <w:bookmarkStart w:id="149" w:name="_Toc17002"/>
      <w:r>
        <w:rPr>
          <w:color w:val="000000" w:themeColor="text1"/>
          <w:highlight w:val="none"/>
        </w:rPr>
        <w:t>3.4.2土地复垦区与复垦责任范围</w:t>
      </w:r>
      <w:bookmarkEnd w:id="148"/>
      <w:bookmarkEnd w:id="149"/>
    </w:p>
    <w:p>
      <w:pPr>
        <w:rPr>
          <w:color w:val="000000" w:themeColor="text1"/>
          <w:highlight w:val="none"/>
        </w:rPr>
      </w:pPr>
      <w:r>
        <w:rPr>
          <w:color w:val="000000" w:themeColor="text1"/>
          <w:highlight w:val="none"/>
        </w:rPr>
        <w:t>复垦区是指临时用地和永久建设用地构成的区域。</w:t>
      </w:r>
      <w:r>
        <w:rPr>
          <w:color w:val="000000" w:themeColor="text1"/>
          <w:highlight w:val="none"/>
          <w:lang w:val="en-GB"/>
        </w:rPr>
        <w:t>经核实，本项目临时用地面积为</w:t>
      </w:r>
      <w:r>
        <w:rPr>
          <w:rFonts w:hint="eastAsia"/>
          <w:color w:val="000000" w:themeColor="text1"/>
          <w:highlight w:val="none"/>
          <w:lang w:val="en-GB" w:eastAsia="zh-CN"/>
        </w:rPr>
        <w:t>9.5224</w:t>
      </w:r>
      <w:r>
        <w:rPr>
          <w:color w:val="000000" w:themeColor="text1"/>
          <w:highlight w:val="none"/>
          <w:lang w:val="en-GB"/>
        </w:rPr>
        <w:t>hm</w:t>
      </w:r>
      <w:r>
        <w:rPr>
          <w:color w:val="000000" w:themeColor="text1"/>
          <w:highlight w:val="none"/>
          <w:vertAlign w:val="superscript"/>
          <w:lang w:val="en-GB"/>
        </w:rPr>
        <w:t>2</w:t>
      </w:r>
      <w:r>
        <w:rPr>
          <w:color w:val="000000" w:themeColor="text1"/>
          <w:highlight w:val="none"/>
        </w:rPr>
        <w:t>，</w:t>
      </w:r>
      <w:r>
        <w:rPr>
          <w:rFonts w:hint="eastAsia"/>
          <w:color w:val="000000" w:themeColor="text1"/>
          <w:highlight w:val="none"/>
        </w:rPr>
        <w:t>无</w:t>
      </w:r>
      <w:r>
        <w:rPr>
          <w:color w:val="000000" w:themeColor="text1"/>
          <w:highlight w:val="none"/>
        </w:rPr>
        <w:t>永久性建设用地</w:t>
      </w:r>
      <w:r>
        <w:rPr>
          <w:rFonts w:hint="eastAsia"/>
          <w:color w:val="000000" w:themeColor="text1"/>
          <w:highlight w:val="none"/>
        </w:rPr>
        <w:t>，即复垦区面积为</w:t>
      </w:r>
      <w:r>
        <w:rPr>
          <w:rFonts w:hint="eastAsia"/>
          <w:color w:val="000000" w:themeColor="text1"/>
          <w:highlight w:val="none"/>
          <w:lang w:eastAsia="zh-CN"/>
        </w:rPr>
        <w:t>9.5224</w:t>
      </w:r>
      <w:r>
        <w:rPr>
          <w:rFonts w:hint="eastAsia"/>
          <w:color w:val="000000" w:themeColor="text1"/>
          <w:highlight w:val="none"/>
        </w:rPr>
        <w:t>hm</w:t>
      </w:r>
      <w:r>
        <w:rPr>
          <w:rFonts w:hint="eastAsia"/>
          <w:color w:val="000000" w:themeColor="text1"/>
          <w:highlight w:val="none"/>
          <w:vertAlign w:val="superscript"/>
        </w:rPr>
        <w:t>2</w:t>
      </w:r>
      <w:r>
        <w:rPr>
          <w:color w:val="000000" w:themeColor="text1"/>
          <w:highlight w:val="none"/>
        </w:rPr>
        <w:t>。</w:t>
      </w:r>
    </w:p>
    <w:p>
      <w:pPr>
        <w:pStyle w:val="67"/>
        <w:rPr>
          <w:color w:val="000000" w:themeColor="text1"/>
          <w:highlight w:val="none"/>
        </w:rPr>
      </w:pPr>
      <w:r>
        <w:rPr>
          <w:rFonts w:ascii="宋体" w:hAnsi="宋体"/>
          <w:color w:val="000000" w:themeColor="text1"/>
          <w:highlight w:val="none"/>
        </w:rPr>
        <w:t>表</w:t>
      </w:r>
      <w:r>
        <w:rPr>
          <w:color w:val="000000" w:themeColor="text1"/>
          <w:highlight w:val="none"/>
        </w:rPr>
        <w:t>3-</w:t>
      </w:r>
      <w:r>
        <w:rPr>
          <w:rFonts w:hint="eastAsia"/>
          <w:color w:val="000000" w:themeColor="text1"/>
          <w:highlight w:val="none"/>
        </w:rPr>
        <w:t xml:space="preserve">19 </w:t>
      </w:r>
      <w:r>
        <w:rPr>
          <w:rFonts w:hint="eastAsia" w:ascii="宋体" w:hAnsi="宋体"/>
          <w:color w:val="000000" w:themeColor="text1"/>
          <w:highlight w:val="none"/>
        </w:rPr>
        <w:t>复垦区土地利用表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1733"/>
        <w:gridCol w:w="1733"/>
        <w:gridCol w:w="1846"/>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2" w:type="dxa"/>
            <w:gridSpan w:val="5"/>
            <w:noWrap/>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地类及面积（</w:t>
            </w:r>
            <w:r>
              <w:rPr>
                <w:color w:val="000000" w:themeColor="text1"/>
                <w:kern w:val="0"/>
                <w:szCs w:val="21"/>
                <w:highlight w:val="none"/>
              </w:rPr>
              <w:t>hm</w:t>
            </w:r>
            <w:r>
              <w:rPr>
                <w:color w:val="000000" w:themeColor="text1"/>
                <w:kern w:val="0"/>
                <w:szCs w:val="21"/>
                <w:highlight w:val="none"/>
                <w:vertAlign w:val="superscript"/>
              </w:rPr>
              <w:t>2</w:t>
            </w:r>
            <w:r>
              <w:rPr>
                <w:color w:val="000000" w:themeColor="text1"/>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0" w:type="dxa"/>
            <w:vMerge w:val="restart"/>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复垦区域</w:t>
            </w:r>
          </w:p>
        </w:tc>
        <w:tc>
          <w:tcPr>
            <w:tcW w:w="3466" w:type="dxa"/>
            <w:gridSpan w:val="2"/>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林地（</w:t>
            </w:r>
            <w:r>
              <w:rPr>
                <w:color w:val="000000" w:themeColor="text1"/>
                <w:kern w:val="0"/>
                <w:szCs w:val="21"/>
                <w:highlight w:val="none"/>
              </w:rPr>
              <w:t>03</w:t>
            </w:r>
            <w:r>
              <w:rPr>
                <w:rFonts w:ascii="宋体" w:hAnsi="宋体"/>
                <w:color w:val="000000" w:themeColor="text1"/>
                <w:kern w:val="0"/>
                <w:szCs w:val="21"/>
                <w:highlight w:val="none"/>
              </w:rPr>
              <w:t>）</w:t>
            </w:r>
          </w:p>
        </w:tc>
        <w:tc>
          <w:tcPr>
            <w:tcW w:w="1846" w:type="dxa"/>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城镇村及工矿用地（</w:t>
            </w:r>
            <w:r>
              <w:rPr>
                <w:rFonts w:hint="eastAsia"/>
                <w:color w:val="000000" w:themeColor="text1"/>
                <w:kern w:val="0"/>
                <w:szCs w:val="21"/>
                <w:highlight w:val="none"/>
                <w:lang w:val="en-US" w:eastAsia="zh-CN"/>
              </w:rPr>
              <w:t>06</w:t>
            </w:r>
            <w:r>
              <w:rPr>
                <w:rFonts w:hint="eastAsia" w:ascii="宋体" w:hAnsi="宋体"/>
                <w:color w:val="000000" w:themeColor="text1"/>
                <w:kern w:val="0"/>
                <w:szCs w:val="21"/>
                <w:highlight w:val="none"/>
              </w:rPr>
              <w:t>）</w:t>
            </w:r>
          </w:p>
        </w:tc>
        <w:tc>
          <w:tcPr>
            <w:tcW w:w="1260" w:type="dxa"/>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0" w:type="dxa"/>
            <w:vMerge w:val="continue"/>
            <w:vAlign w:val="center"/>
          </w:tcPr>
          <w:p>
            <w:pPr>
              <w:pStyle w:val="63"/>
              <w:ind w:left="0" w:leftChars="0" w:right="0" w:rightChars="0" w:firstLine="0" w:firstLineChars="0"/>
              <w:jc w:val="center"/>
              <w:rPr>
                <w:color w:val="000000" w:themeColor="text1"/>
                <w:kern w:val="0"/>
                <w:szCs w:val="21"/>
                <w:highlight w:val="none"/>
              </w:rPr>
            </w:pPr>
          </w:p>
        </w:tc>
        <w:tc>
          <w:tcPr>
            <w:tcW w:w="1733" w:type="dxa"/>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lang w:eastAsia="zh-CN"/>
              </w:rPr>
              <w:t>乔木林地</w:t>
            </w:r>
            <w:r>
              <w:rPr>
                <w:rFonts w:hint="eastAsia"/>
                <w:color w:val="000000" w:themeColor="text1"/>
                <w:kern w:val="0"/>
                <w:szCs w:val="21"/>
                <w:highlight w:val="none"/>
              </w:rPr>
              <w:t>（</w:t>
            </w:r>
            <w:r>
              <w:rPr>
                <w:color w:val="000000" w:themeColor="text1"/>
                <w:kern w:val="0"/>
                <w:szCs w:val="21"/>
                <w:highlight w:val="none"/>
              </w:rPr>
              <w:t>031</w:t>
            </w:r>
            <w:r>
              <w:rPr>
                <w:rFonts w:ascii="宋体" w:hAnsi="宋体"/>
                <w:color w:val="000000" w:themeColor="text1"/>
                <w:kern w:val="0"/>
                <w:szCs w:val="21"/>
                <w:highlight w:val="none"/>
              </w:rPr>
              <w:t>）</w:t>
            </w:r>
          </w:p>
        </w:tc>
        <w:tc>
          <w:tcPr>
            <w:tcW w:w="1733" w:type="dxa"/>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灌木林地（</w:t>
            </w:r>
            <w:r>
              <w:rPr>
                <w:color w:val="000000" w:themeColor="text1"/>
                <w:kern w:val="0"/>
                <w:szCs w:val="21"/>
                <w:highlight w:val="none"/>
              </w:rPr>
              <w:t>03</w:t>
            </w:r>
            <w:r>
              <w:rPr>
                <w:rFonts w:hint="eastAsia"/>
                <w:color w:val="000000" w:themeColor="text1"/>
                <w:kern w:val="0"/>
                <w:szCs w:val="21"/>
                <w:highlight w:val="none"/>
                <w:lang w:val="en-US" w:eastAsia="zh-CN"/>
              </w:rPr>
              <w:t>05</w:t>
            </w:r>
            <w:r>
              <w:rPr>
                <w:rFonts w:ascii="宋体" w:hAnsi="宋体"/>
                <w:color w:val="000000" w:themeColor="text1"/>
                <w:kern w:val="0"/>
                <w:szCs w:val="21"/>
                <w:highlight w:val="none"/>
              </w:rPr>
              <w:t>）</w:t>
            </w:r>
          </w:p>
        </w:tc>
        <w:tc>
          <w:tcPr>
            <w:tcW w:w="1846" w:type="dxa"/>
            <w:vAlign w:val="center"/>
          </w:tcPr>
          <w:p>
            <w:pPr>
              <w:pStyle w:val="63"/>
              <w:ind w:left="0" w:leftChars="0" w:right="0" w:rightChars="0" w:firstLine="0" w:firstLineChars="0"/>
              <w:jc w:val="center"/>
              <w:rPr>
                <w:color w:val="000000" w:themeColor="text1"/>
                <w:kern w:val="0"/>
                <w:szCs w:val="21"/>
                <w:highlight w:val="none"/>
              </w:rPr>
            </w:pPr>
            <w:r>
              <w:rPr>
                <w:rFonts w:hint="eastAsia"/>
                <w:color w:val="000000" w:themeColor="text1"/>
                <w:kern w:val="0"/>
                <w:szCs w:val="21"/>
                <w:highlight w:val="none"/>
              </w:rPr>
              <w:t>采矿用地（</w:t>
            </w:r>
            <w:r>
              <w:rPr>
                <w:rFonts w:hint="eastAsia"/>
                <w:color w:val="000000" w:themeColor="text1"/>
                <w:kern w:val="0"/>
                <w:szCs w:val="21"/>
                <w:highlight w:val="none"/>
                <w:lang w:val="en-US" w:eastAsia="zh-CN"/>
              </w:rPr>
              <w:t>0602</w:t>
            </w:r>
            <w:r>
              <w:rPr>
                <w:rFonts w:hint="eastAsia" w:ascii="宋体" w:hAnsi="宋体"/>
                <w:color w:val="000000" w:themeColor="text1"/>
                <w:kern w:val="0"/>
                <w:szCs w:val="21"/>
                <w:highlight w:val="none"/>
              </w:rPr>
              <w:t>）</w:t>
            </w:r>
          </w:p>
        </w:tc>
        <w:tc>
          <w:tcPr>
            <w:tcW w:w="1260" w:type="dxa"/>
            <w:vAlign w:val="center"/>
          </w:tcPr>
          <w:p>
            <w:pPr>
              <w:pStyle w:val="63"/>
              <w:ind w:left="0" w:leftChars="0" w:right="0" w:rightChars="0" w:firstLine="0" w:firstLineChars="0"/>
              <w:jc w:val="center"/>
              <w:rPr>
                <w:color w:val="000000" w:themeColor="text1"/>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0" w:type="dxa"/>
            <w:vAlign w:val="center"/>
          </w:tcPr>
          <w:p>
            <w:pPr>
              <w:widowControl/>
              <w:adjustRightInd/>
              <w:snapToGrid/>
              <w:spacing w:line="240" w:lineRule="auto"/>
              <w:ind w:left="0" w:leftChars="0" w:right="0" w:rightChars="0" w:firstLine="0" w:firstLineChars="0"/>
              <w:jc w:val="center"/>
              <w:rPr>
                <w:color w:val="000000" w:themeColor="text1"/>
                <w:kern w:val="0"/>
                <w:sz w:val="21"/>
                <w:szCs w:val="21"/>
                <w:highlight w:val="none"/>
              </w:rPr>
            </w:pPr>
            <w:r>
              <w:rPr>
                <w:rFonts w:hint="eastAsia"/>
                <w:color w:val="000000" w:themeColor="text1"/>
                <w:kern w:val="0"/>
                <w:sz w:val="21"/>
                <w:szCs w:val="21"/>
                <w:highlight w:val="none"/>
                <w:lang w:val="en-US" w:eastAsia="zh-CN"/>
              </w:rPr>
              <w:t>已损毁</w:t>
            </w:r>
          </w:p>
        </w:tc>
        <w:tc>
          <w:tcPr>
            <w:tcW w:w="1733"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1.9411</w:t>
            </w:r>
          </w:p>
        </w:tc>
        <w:tc>
          <w:tcPr>
            <w:tcW w:w="1733"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0.0328</w:t>
            </w:r>
          </w:p>
        </w:tc>
        <w:tc>
          <w:tcPr>
            <w:tcW w:w="1846"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4.1184</w:t>
            </w:r>
          </w:p>
        </w:tc>
        <w:tc>
          <w:tcPr>
            <w:tcW w:w="1260"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6.0923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0" w:type="dxa"/>
            <w:vAlign w:val="center"/>
          </w:tcPr>
          <w:p>
            <w:pPr>
              <w:widowControl/>
              <w:adjustRightInd/>
              <w:snapToGrid/>
              <w:spacing w:line="240" w:lineRule="auto"/>
              <w:ind w:left="0" w:leftChars="0" w:right="0" w:rightChars="0" w:firstLine="0" w:firstLineChars="0"/>
              <w:jc w:val="center"/>
              <w:rPr>
                <w:rFonts w:hint="eastAsia"/>
                <w:color w:val="000000" w:themeColor="text1"/>
                <w:kern w:val="0"/>
                <w:sz w:val="21"/>
                <w:szCs w:val="21"/>
                <w:highlight w:val="none"/>
                <w:lang w:eastAsia="zh-CN"/>
              </w:rPr>
            </w:pPr>
            <w:r>
              <w:rPr>
                <w:rFonts w:hint="eastAsia"/>
                <w:color w:val="000000" w:themeColor="text1"/>
                <w:kern w:val="0"/>
                <w:sz w:val="21"/>
                <w:szCs w:val="21"/>
                <w:highlight w:val="none"/>
                <w:lang w:val="en-US" w:eastAsia="zh-CN"/>
              </w:rPr>
              <w:t>拟损毁</w:t>
            </w:r>
          </w:p>
        </w:tc>
        <w:tc>
          <w:tcPr>
            <w:tcW w:w="1733" w:type="dxa"/>
            <w:noWrap/>
            <w:vAlign w:val="center"/>
          </w:tcPr>
          <w:p>
            <w:pPr>
              <w:widowControl/>
              <w:adjustRightInd/>
              <w:snapToGrid/>
              <w:spacing w:line="240" w:lineRule="auto"/>
              <w:ind w:left="0" w:leftChars="0" w:right="0" w:rightChars="0" w:firstLine="0" w:firstLineChars="0"/>
              <w:jc w:val="center"/>
              <w:rPr>
                <w:color w:val="000000" w:themeColor="text1"/>
                <w:kern w:val="0"/>
                <w:sz w:val="21"/>
                <w:szCs w:val="21"/>
                <w:highlight w:val="none"/>
              </w:rPr>
            </w:pPr>
            <w:r>
              <w:rPr>
                <w:rFonts w:hint="eastAsia"/>
                <w:color w:val="000000" w:themeColor="text1"/>
                <w:kern w:val="0"/>
                <w:sz w:val="21"/>
                <w:szCs w:val="21"/>
                <w:highlight w:val="none"/>
              </w:rPr>
              <w:t>3.4321</w:t>
            </w:r>
          </w:p>
        </w:tc>
        <w:tc>
          <w:tcPr>
            <w:tcW w:w="1733" w:type="dxa"/>
            <w:noWrap/>
            <w:vAlign w:val="center"/>
          </w:tcPr>
          <w:p>
            <w:pPr>
              <w:widowControl/>
              <w:adjustRightInd/>
              <w:snapToGrid/>
              <w:spacing w:line="240" w:lineRule="auto"/>
              <w:ind w:left="0" w:leftChars="0" w:right="0" w:rightChars="0" w:firstLine="0" w:firstLineChars="0"/>
              <w:jc w:val="center"/>
              <w:rPr>
                <w:rFonts w:hint="default"/>
                <w:color w:val="000000" w:themeColor="text1"/>
                <w:kern w:val="0"/>
                <w:sz w:val="21"/>
                <w:szCs w:val="21"/>
                <w:highlight w:val="none"/>
                <w:lang w:val="en-US" w:eastAsia="zh-CN"/>
              </w:rPr>
            </w:pPr>
            <w:r>
              <w:rPr>
                <w:rFonts w:hint="eastAsia"/>
                <w:color w:val="000000" w:themeColor="text1"/>
                <w:kern w:val="0"/>
                <w:sz w:val="21"/>
                <w:szCs w:val="21"/>
                <w:highlight w:val="none"/>
                <w:lang w:val="en-US" w:eastAsia="zh-CN"/>
              </w:rPr>
              <w:t>0</w:t>
            </w:r>
          </w:p>
        </w:tc>
        <w:tc>
          <w:tcPr>
            <w:tcW w:w="1846" w:type="dxa"/>
            <w:noWrap/>
            <w:vAlign w:val="center"/>
          </w:tcPr>
          <w:p>
            <w:pPr>
              <w:widowControl/>
              <w:adjustRightInd/>
              <w:snapToGrid/>
              <w:spacing w:line="240" w:lineRule="auto"/>
              <w:ind w:left="0" w:leftChars="0" w:right="0" w:rightChars="0" w:firstLine="0" w:firstLineChars="0"/>
              <w:jc w:val="center"/>
              <w:rPr>
                <w:rFonts w:hint="eastAsia" w:eastAsia="宋体"/>
                <w:color w:val="000000" w:themeColor="text1"/>
                <w:kern w:val="0"/>
                <w:sz w:val="21"/>
                <w:szCs w:val="21"/>
                <w:highlight w:val="none"/>
                <w:lang w:val="en-US" w:eastAsia="zh-CN"/>
              </w:rPr>
            </w:pPr>
            <w:r>
              <w:rPr>
                <w:rFonts w:hint="eastAsia"/>
                <w:color w:val="000000" w:themeColor="text1"/>
                <w:kern w:val="0"/>
                <w:sz w:val="21"/>
                <w:szCs w:val="21"/>
                <w:highlight w:val="none"/>
                <w:lang w:val="en-US" w:eastAsia="zh-CN"/>
              </w:rPr>
              <w:t>0</w:t>
            </w:r>
          </w:p>
        </w:tc>
        <w:tc>
          <w:tcPr>
            <w:tcW w:w="1260" w:type="dxa"/>
            <w:noWrap/>
            <w:vAlign w:val="center"/>
          </w:tcPr>
          <w:p>
            <w:pPr>
              <w:widowControl/>
              <w:adjustRightInd/>
              <w:snapToGrid/>
              <w:spacing w:line="240" w:lineRule="auto"/>
              <w:ind w:left="0" w:leftChars="0" w:right="0" w:rightChars="0" w:firstLine="0" w:firstLineChars="0"/>
              <w:jc w:val="center"/>
              <w:rPr>
                <w:rFonts w:hint="eastAsia"/>
                <w:color w:val="000000" w:themeColor="text1"/>
                <w:kern w:val="0"/>
                <w:sz w:val="21"/>
                <w:szCs w:val="21"/>
                <w:highlight w:val="none"/>
                <w:lang w:eastAsia="zh-CN"/>
              </w:rPr>
            </w:pPr>
            <w:r>
              <w:rPr>
                <w:rFonts w:hint="eastAsia"/>
                <w:color w:val="000000" w:themeColor="text1"/>
                <w:kern w:val="0"/>
                <w:sz w:val="21"/>
                <w:szCs w:val="21"/>
                <w:highlight w:val="none"/>
              </w:rPr>
              <w:t>3.4321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0" w:type="dxa"/>
            <w:noWrap/>
            <w:vAlign w:val="center"/>
          </w:tcPr>
          <w:p>
            <w:pPr>
              <w:widowControl/>
              <w:adjustRightInd/>
              <w:snapToGrid/>
              <w:spacing w:line="240" w:lineRule="auto"/>
              <w:ind w:left="0" w:leftChars="0" w:right="0" w:rightChars="0" w:firstLine="0" w:firstLineChars="0"/>
              <w:jc w:val="center"/>
              <w:rPr>
                <w:color w:val="000000" w:themeColor="text1"/>
                <w:kern w:val="0"/>
                <w:sz w:val="21"/>
                <w:szCs w:val="21"/>
                <w:highlight w:val="none"/>
              </w:rPr>
            </w:pPr>
            <w:r>
              <w:rPr>
                <w:rFonts w:hint="eastAsia"/>
                <w:color w:val="000000" w:themeColor="text1"/>
                <w:kern w:val="0"/>
                <w:sz w:val="21"/>
                <w:szCs w:val="21"/>
                <w:highlight w:val="none"/>
                <w:lang w:val="en-US" w:eastAsia="zh-CN"/>
              </w:rPr>
              <w:t>合计</w:t>
            </w:r>
          </w:p>
        </w:tc>
        <w:tc>
          <w:tcPr>
            <w:tcW w:w="1733" w:type="dxa"/>
            <w:noWrap/>
            <w:vAlign w:val="center"/>
          </w:tcPr>
          <w:p>
            <w:pPr>
              <w:widowControl/>
              <w:adjustRightInd/>
              <w:snapToGrid/>
              <w:spacing w:line="240" w:lineRule="auto"/>
              <w:ind w:left="0" w:leftChars="0" w:right="0" w:rightChars="0" w:firstLine="0" w:firstLineChars="0"/>
              <w:jc w:val="center"/>
              <w:rPr>
                <w:rFonts w:hint="default" w:eastAsia="宋体"/>
                <w:color w:val="000000" w:themeColor="text1"/>
                <w:kern w:val="0"/>
                <w:sz w:val="21"/>
                <w:szCs w:val="21"/>
                <w:highlight w:val="none"/>
                <w:lang w:val="en-US" w:eastAsia="zh-CN"/>
              </w:rPr>
            </w:pPr>
            <w:r>
              <w:rPr>
                <w:rFonts w:hint="eastAsia"/>
                <w:color w:val="000000" w:themeColor="text1"/>
                <w:kern w:val="0"/>
                <w:sz w:val="21"/>
                <w:szCs w:val="21"/>
                <w:highlight w:val="none"/>
                <w:lang w:val="en-US" w:eastAsia="zh-CN"/>
              </w:rPr>
              <w:t>5.3732</w:t>
            </w:r>
          </w:p>
        </w:tc>
        <w:tc>
          <w:tcPr>
            <w:tcW w:w="1733"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0.0328</w:t>
            </w:r>
          </w:p>
        </w:tc>
        <w:tc>
          <w:tcPr>
            <w:tcW w:w="1846" w:type="dxa"/>
            <w:noWrap/>
            <w:vAlign w:val="center"/>
          </w:tcPr>
          <w:p>
            <w:pPr>
              <w:pStyle w:val="63"/>
              <w:ind w:firstLine="0" w:firstLineChars="0"/>
              <w:rPr>
                <w:color w:val="000000" w:themeColor="text1"/>
                <w:kern w:val="0"/>
                <w:sz w:val="21"/>
                <w:szCs w:val="21"/>
                <w:highlight w:val="none"/>
              </w:rPr>
            </w:pPr>
            <w:r>
              <w:rPr>
                <w:rFonts w:hint="default"/>
                <w:color w:val="000000" w:themeColor="text1"/>
                <w:highlight w:val="none"/>
                <w:lang w:val="en-US" w:eastAsia="zh-CN"/>
              </w:rPr>
              <w:t>4.1184</w:t>
            </w:r>
          </w:p>
        </w:tc>
        <w:tc>
          <w:tcPr>
            <w:tcW w:w="1260" w:type="dxa"/>
            <w:noWrap/>
            <w:vAlign w:val="center"/>
          </w:tcPr>
          <w:p>
            <w:pPr>
              <w:widowControl/>
              <w:adjustRightInd/>
              <w:snapToGrid/>
              <w:spacing w:line="240" w:lineRule="auto"/>
              <w:ind w:left="0" w:leftChars="0" w:right="0" w:rightChars="0" w:firstLine="0" w:firstLineChars="0"/>
              <w:jc w:val="center"/>
              <w:rPr>
                <w:rFonts w:hint="default"/>
                <w:color w:val="000000" w:themeColor="text1"/>
                <w:kern w:val="0"/>
                <w:sz w:val="21"/>
                <w:szCs w:val="21"/>
                <w:highlight w:val="none"/>
                <w:lang w:val="en-US" w:eastAsia="zh-CN"/>
              </w:rPr>
            </w:pPr>
            <w:r>
              <w:rPr>
                <w:rFonts w:hint="eastAsia"/>
                <w:color w:val="000000" w:themeColor="text1"/>
                <w:kern w:val="0"/>
                <w:sz w:val="21"/>
                <w:szCs w:val="21"/>
                <w:highlight w:val="none"/>
                <w:lang w:val="en-US" w:eastAsia="zh-CN"/>
              </w:rPr>
              <w:t>9.5224</w:t>
            </w:r>
          </w:p>
        </w:tc>
      </w:tr>
    </w:tbl>
    <w:p>
      <w:pPr>
        <w:rPr>
          <w:color w:val="000000" w:themeColor="text1"/>
          <w:highlight w:val="none"/>
        </w:rPr>
      </w:pPr>
      <w:r>
        <w:rPr>
          <w:color w:val="000000" w:themeColor="text1"/>
          <w:highlight w:val="none"/>
        </w:rPr>
        <w:t>复垦责任范围是指临时用地和不再留续使用的永久用地所构成的区域</w:t>
      </w:r>
      <w:r>
        <w:rPr>
          <w:rFonts w:hint="eastAsia"/>
          <w:color w:val="000000" w:themeColor="text1"/>
          <w:highlight w:val="none"/>
        </w:rPr>
        <w:t>。经</w:t>
      </w:r>
      <w:r>
        <w:rPr>
          <w:color w:val="000000" w:themeColor="text1"/>
          <w:highlight w:val="none"/>
        </w:rPr>
        <w:t>与当地村民委员会商议后</w:t>
      </w:r>
      <w:r>
        <w:rPr>
          <w:rFonts w:hint="eastAsia"/>
          <w:color w:val="000000" w:themeColor="text1"/>
          <w:highlight w:val="none"/>
        </w:rPr>
        <w:t>，</w:t>
      </w:r>
      <w:r>
        <w:rPr>
          <w:rFonts w:hint="eastAsia"/>
          <w:color w:val="000000" w:themeColor="text1"/>
          <w:highlight w:val="none"/>
          <w:lang w:eastAsia="zh-CN"/>
        </w:rPr>
        <w:t>将对所有临时用地区域进行复垦</w:t>
      </w:r>
      <w:r>
        <w:rPr>
          <w:rFonts w:hint="eastAsia"/>
          <w:color w:val="000000" w:themeColor="text1"/>
          <w:highlight w:val="none"/>
        </w:rPr>
        <w:t>。因此，本项目复垦责任范围面积为</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p>
      <w:pPr>
        <w:widowControl/>
        <w:adjustRightInd/>
        <w:snapToGrid/>
        <w:spacing w:line="240" w:lineRule="auto"/>
        <w:ind w:firstLine="0" w:firstLineChars="0"/>
        <w:jc w:val="left"/>
        <w:rPr>
          <w:rFonts w:ascii="宋体" w:hAnsi="宋体"/>
          <w:b/>
          <w:color w:val="000000" w:themeColor="text1"/>
          <w:sz w:val="21"/>
          <w:szCs w:val="28"/>
          <w:highlight w:val="none"/>
        </w:rPr>
      </w:pPr>
      <w:r>
        <w:rPr>
          <w:rFonts w:ascii="宋体" w:hAnsi="宋体"/>
          <w:color w:val="000000" w:themeColor="text1"/>
          <w:highlight w:val="none"/>
        </w:rPr>
        <w:br w:type="page"/>
      </w:r>
    </w:p>
    <w:p>
      <w:pPr>
        <w:pStyle w:val="3"/>
        <w:rPr>
          <w:color w:val="000000" w:themeColor="text1"/>
          <w:highlight w:val="none"/>
        </w:rPr>
      </w:pPr>
      <w:bookmarkStart w:id="150" w:name="_Toc10397"/>
      <w:bookmarkStart w:id="151" w:name="_Toc32281"/>
      <w:r>
        <w:rPr>
          <w:color w:val="000000" w:themeColor="text1"/>
          <w:highlight w:val="none"/>
        </w:rPr>
        <w:t>第四章矿山地质环境治理与土地复垦可行性分析</w:t>
      </w:r>
      <w:bookmarkEnd w:id="150"/>
      <w:bookmarkEnd w:id="151"/>
    </w:p>
    <w:p>
      <w:pPr>
        <w:pStyle w:val="4"/>
        <w:spacing w:before="82" w:after="82"/>
        <w:rPr>
          <w:color w:val="000000" w:themeColor="text1"/>
          <w:highlight w:val="none"/>
        </w:rPr>
      </w:pPr>
      <w:bookmarkStart w:id="152" w:name="_Toc24385"/>
      <w:bookmarkStart w:id="153" w:name="_Toc21860"/>
      <w:bookmarkStart w:id="154" w:name="_Toc489542652"/>
      <w:bookmarkStart w:id="155" w:name="_Toc489547332"/>
      <w:r>
        <w:rPr>
          <w:color w:val="000000" w:themeColor="text1"/>
          <w:highlight w:val="none"/>
        </w:rPr>
        <w:t>4.1矿山地质环境治理可行性分析</w:t>
      </w:r>
      <w:bookmarkEnd w:id="152"/>
      <w:bookmarkEnd w:id="153"/>
      <w:bookmarkEnd w:id="154"/>
      <w:bookmarkEnd w:id="155"/>
    </w:p>
    <w:p>
      <w:pPr>
        <w:pStyle w:val="5"/>
        <w:spacing w:before="82" w:after="82"/>
        <w:rPr>
          <w:color w:val="000000" w:themeColor="text1"/>
          <w:highlight w:val="none"/>
        </w:rPr>
      </w:pPr>
      <w:bookmarkStart w:id="156" w:name="_Toc489547333"/>
      <w:bookmarkStart w:id="157" w:name="_Toc13818"/>
      <w:bookmarkStart w:id="158" w:name="_Toc17229"/>
      <w:bookmarkStart w:id="159" w:name="_Toc489542653"/>
      <w:r>
        <w:rPr>
          <w:color w:val="000000" w:themeColor="text1"/>
          <w:highlight w:val="none"/>
        </w:rPr>
        <w:t>4.1.1技术可行性分析</w:t>
      </w:r>
      <w:bookmarkEnd w:id="156"/>
      <w:bookmarkEnd w:id="157"/>
      <w:bookmarkEnd w:id="158"/>
      <w:bookmarkEnd w:id="159"/>
    </w:p>
    <w:p>
      <w:pPr>
        <w:tabs>
          <w:tab w:val="left" w:pos="3869"/>
        </w:tabs>
        <w:rPr>
          <w:color w:val="000000" w:themeColor="text1"/>
          <w:highlight w:val="none"/>
        </w:rPr>
      </w:pPr>
      <w:r>
        <w:rPr>
          <w:color w:val="000000" w:themeColor="text1"/>
          <w:highlight w:val="none"/>
        </w:rPr>
        <w:t>1、矿山地质灾害</w:t>
      </w:r>
      <w:r>
        <w:rPr>
          <w:color w:val="000000" w:themeColor="text1"/>
          <w:highlight w:val="none"/>
        </w:rPr>
        <w:tab/>
      </w:r>
    </w:p>
    <w:p>
      <w:pPr>
        <w:rPr>
          <w:color w:val="000000" w:themeColor="text1"/>
          <w:highlight w:val="none"/>
        </w:rPr>
      </w:pPr>
      <w:r>
        <w:rPr>
          <w:color w:val="000000" w:themeColor="text1"/>
          <w:highlight w:val="none"/>
        </w:rPr>
        <w:t>根据第三章矿山地质灾害现状分析与预测，</w:t>
      </w:r>
      <w:r>
        <w:rPr>
          <w:rFonts w:hint="eastAsia"/>
          <w:color w:val="000000" w:themeColor="text1"/>
          <w:highlight w:val="none"/>
          <w:lang w:eastAsia="zh-CN"/>
        </w:rPr>
        <w:t>三江镇战旗石灰石矿</w:t>
      </w:r>
      <w:r>
        <w:rPr>
          <w:color w:val="000000" w:themeColor="text1"/>
          <w:highlight w:val="none"/>
        </w:rPr>
        <w:t>采矿活动的矿山地质灾害主要为</w:t>
      </w:r>
      <w:r>
        <w:rPr>
          <w:rFonts w:hint="eastAsia"/>
          <w:color w:val="000000" w:themeColor="text1"/>
          <w:highlight w:val="none"/>
        </w:rPr>
        <w:t>露天采场</w:t>
      </w:r>
      <w:r>
        <w:rPr>
          <w:color w:val="000000" w:themeColor="text1"/>
          <w:highlight w:val="none"/>
        </w:rPr>
        <w:t>在暴雨天气下可能会发生边坡失稳导致崩塌、滑坡、泥石流等地质灾害。</w:t>
      </w:r>
    </w:p>
    <w:p>
      <w:pPr>
        <w:rPr>
          <w:b/>
          <w:bCs/>
          <w:color w:val="000000" w:themeColor="text1"/>
          <w:highlight w:val="none"/>
        </w:rPr>
      </w:pPr>
      <w:r>
        <w:rPr>
          <w:rFonts w:hint="eastAsia"/>
          <w:color w:val="000000" w:themeColor="text1"/>
          <w:highlight w:val="none"/>
        </w:rPr>
        <w:t>露天采场</w:t>
      </w:r>
      <w:r>
        <w:rPr>
          <w:color w:val="000000" w:themeColor="text1"/>
          <w:highlight w:val="none"/>
        </w:rPr>
        <w:t>可采用修筑截排水沟、</w:t>
      </w:r>
      <w:r>
        <w:rPr>
          <w:rFonts w:hint="eastAsia"/>
          <w:color w:val="000000" w:themeColor="text1"/>
          <w:highlight w:val="none"/>
        </w:rPr>
        <w:t>挡土墙</w:t>
      </w:r>
      <w:r>
        <w:rPr>
          <w:color w:val="000000" w:themeColor="text1"/>
          <w:highlight w:val="none"/>
        </w:rPr>
        <w:t>，服务期满后进行场地平整、覆土、恢复植被等生态措施以及进行实时监测、预警措施进行预防和治理。</w:t>
      </w:r>
    </w:p>
    <w:p>
      <w:pPr>
        <w:rPr>
          <w:color w:val="000000" w:themeColor="text1"/>
          <w:highlight w:val="none"/>
        </w:rPr>
      </w:pPr>
      <w:r>
        <w:rPr>
          <w:color w:val="000000" w:themeColor="text1"/>
          <w:highlight w:val="none"/>
        </w:rPr>
        <w:t>矿山地质灾害预防、治理、监测、预警措施切实可行，并可达到实施的目标，预防和治理实施难度中等到较难。</w:t>
      </w:r>
    </w:p>
    <w:p>
      <w:pPr>
        <w:rPr>
          <w:color w:val="000000" w:themeColor="text1"/>
          <w:highlight w:val="none"/>
        </w:rPr>
      </w:pPr>
      <w:r>
        <w:rPr>
          <w:color w:val="000000" w:themeColor="text1"/>
          <w:highlight w:val="none"/>
        </w:rPr>
        <w:t>2、含水层破坏</w:t>
      </w:r>
    </w:p>
    <w:p>
      <w:pPr>
        <w:rPr>
          <w:color w:val="000000" w:themeColor="text1"/>
          <w:highlight w:val="none"/>
        </w:rPr>
      </w:pPr>
      <w:r>
        <w:rPr>
          <w:color w:val="000000" w:themeColor="text1"/>
          <w:highlight w:val="none"/>
        </w:rPr>
        <w:t>根据第三章含水层破坏现状分析与预测，</w:t>
      </w:r>
      <w:r>
        <w:rPr>
          <w:rFonts w:hint="eastAsia"/>
          <w:color w:val="000000" w:themeColor="text1"/>
          <w:highlight w:val="none"/>
          <w:lang w:eastAsia="zh-CN"/>
        </w:rPr>
        <w:t>三江镇战旗石灰石矿</w:t>
      </w:r>
      <w:r>
        <w:rPr>
          <w:color w:val="000000" w:themeColor="text1"/>
          <w:highlight w:val="none"/>
        </w:rPr>
        <w:t>采矿活动对含水层</w:t>
      </w:r>
      <w:r>
        <w:rPr>
          <w:color w:val="000000" w:themeColor="text1"/>
          <w:spacing w:val="-3"/>
          <w:highlight w:val="none"/>
        </w:rPr>
        <w:t>影响较轻。</w:t>
      </w:r>
      <w:r>
        <w:rPr>
          <w:color w:val="000000" w:themeColor="text1"/>
          <w:highlight w:val="none"/>
        </w:rPr>
        <w:t>含水层破坏预防和治理措施切实可行，并可达到实施的目标。</w:t>
      </w:r>
    </w:p>
    <w:p>
      <w:pPr>
        <w:rPr>
          <w:color w:val="000000" w:themeColor="text1"/>
          <w:highlight w:val="none"/>
        </w:rPr>
      </w:pPr>
      <w:r>
        <w:rPr>
          <w:color w:val="000000" w:themeColor="text1"/>
          <w:highlight w:val="none"/>
        </w:rPr>
        <w:t>3、地形地貌景观破坏</w:t>
      </w:r>
    </w:p>
    <w:p>
      <w:pPr>
        <w:rPr>
          <w:color w:val="000000" w:themeColor="text1"/>
          <w:highlight w:val="none"/>
        </w:rPr>
      </w:pPr>
      <w:r>
        <w:rPr>
          <w:color w:val="000000" w:themeColor="text1"/>
          <w:highlight w:val="none"/>
        </w:rPr>
        <w:t>根据第三章地形地貌景观破坏现状分析与预测，</w:t>
      </w:r>
      <w:r>
        <w:rPr>
          <w:rFonts w:hint="eastAsia"/>
          <w:color w:val="000000" w:themeColor="text1"/>
          <w:highlight w:val="none"/>
          <w:lang w:eastAsia="zh-CN"/>
        </w:rPr>
        <w:t>三江镇战旗石灰石矿</w:t>
      </w:r>
      <w:r>
        <w:rPr>
          <w:color w:val="000000" w:themeColor="text1"/>
          <w:highlight w:val="none"/>
        </w:rPr>
        <w:t>采矿活动的地形地貌景观破坏主要为地面场地改变了原有地形地貌，对地形地貌景观影响较严重；</w:t>
      </w:r>
      <w:r>
        <w:rPr>
          <w:color w:val="000000" w:themeColor="text1"/>
          <w:spacing w:val="-3"/>
          <w:highlight w:val="none"/>
        </w:rPr>
        <w:t>今后矿山生产对矿层的开采不断加大</w:t>
      </w:r>
      <w:r>
        <w:rPr>
          <w:rFonts w:hint="eastAsia"/>
          <w:color w:val="000000" w:themeColor="text1"/>
          <w:spacing w:val="-3"/>
          <w:highlight w:val="none"/>
        </w:rPr>
        <w:t>，</w:t>
      </w:r>
      <w:r>
        <w:rPr>
          <w:color w:val="000000" w:themeColor="text1"/>
          <w:spacing w:val="-3"/>
          <w:highlight w:val="none"/>
        </w:rPr>
        <w:t>形成采空区的面积将不断扩大，造成原生的地形地貌发生了改变，</w:t>
      </w:r>
      <w:r>
        <w:rPr>
          <w:color w:val="000000" w:themeColor="text1"/>
          <w:highlight w:val="none"/>
        </w:rPr>
        <w:t>对地形地貌景观影响严重。</w:t>
      </w:r>
    </w:p>
    <w:p>
      <w:pPr>
        <w:rPr>
          <w:color w:val="000000" w:themeColor="text1"/>
          <w:highlight w:val="none"/>
        </w:rPr>
      </w:pPr>
      <w:r>
        <w:rPr>
          <w:color w:val="000000" w:themeColor="text1"/>
          <w:highlight w:val="none"/>
        </w:rPr>
        <w:t>工业场地可采取建设完成后进行种草绿化工程进行预防和治理。</w:t>
      </w:r>
      <w:r>
        <w:rPr>
          <w:color w:val="000000" w:themeColor="text1"/>
          <w:spacing w:val="-3"/>
          <w:highlight w:val="none"/>
        </w:rPr>
        <w:t>根据具体情况对地面</w:t>
      </w:r>
      <w:r>
        <w:rPr>
          <w:rFonts w:hint="eastAsia"/>
          <w:color w:val="000000" w:themeColor="text1"/>
          <w:spacing w:val="-3"/>
          <w:highlight w:val="none"/>
        </w:rPr>
        <w:t>损毁</w:t>
      </w:r>
      <w:r>
        <w:rPr>
          <w:color w:val="000000" w:themeColor="text1"/>
          <w:spacing w:val="-3"/>
          <w:highlight w:val="none"/>
        </w:rPr>
        <w:t>区域进行预防和监测措施</w:t>
      </w:r>
      <w:r>
        <w:rPr>
          <w:color w:val="000000" w:themeColor="text1"/>
          <w:highlight w:val="none"/>
        </w:rPr>
        <w:t>。</w:t>
      </w:r>
    </w:p>
    <w:p>
      <w:pPr>
        <w:rPr>
          <w:color w:val="000000" w:themeColor="text1"/>
          <w:highlight w:val="none"/>
        </w:rPr>
      </w:pPr>
      <w:r>
        <w:rPr>
          <w:color w:val="000000" w:themeColor="text1"/>
          <w:highlight w:val="none"/>
        </w:rPr>
        <w:t>地形地貌景观破坏预防和治理措施切实可行，并可达到实施的目标，预防和治理实施难度中等。</w:t>
      </w:r>
    </w:p>
    <w:p>
      <w:pPr>
        <w:rPr>
          <w:color w:val="000000" w:themeColor="text1"/>
          <w:highlight w:val="none"/>
        </w:rPr>
      </w:pPr>
      <w:r>
        <w:rPr>
          <w:color w:val="000000" w:themeColor="text1"/>
          <w:highlight w:val="none"/>
        </w:rPr>
        <w:t>4、水土环境污染</w:t>
      </w:r>
    </w:p>
    <w:p>
      <w:pPr>
        <w:rPr>
          <w:color w:val="000000" w:themeColor="text1"/>
          <w:highlight w:val="none"/>
        </w:rPr>
      </w:pPr>
      <w:r>
        <w:rPr>
          <w:color w:val="000000" w:themeColor="text1"/>
          <w:highlight w:val="none"/>
        </w:rPr>
        <w:t>根据第三章水土环境污染现状分析与预测，</w:t>
      </w:r>
      <w:r>
        <w:rPr>
          <w:rFonts w:hint="eastAsia"/>
          <w:color w:val="000000" w:themeColor="text1"/>
          <w:highlight w:val="none"/>
          <w:lang w:eastAsia="zh-CN"/>
        </w:rPr>
        <w:t>三江镇战旗石灰石矿</w:t>
      </w:r>
      <w:r>
        <w:rPr>
          <w:color w:val="000000" w:themeColor="text1"/>
          <w:highlight w:val="none"/>
        </w:rPr>
        <w:t>采矿活动的水土环境污染较轻。可采取设置废水收集池及水处理设施等措施进行预防和治理。</w:t>
      </w:r>
    </w:p>
    <w:p>
      <w:pPr>
        <w:rPr>
          <w:color w:val="000000" w:themeColor="text1"/>
          <w:highlight w:val="none"/>
        </w:rPr>
      </w:pPr>
      <w:r>
        <w:rPr>
          <w:color w:val="000000" w:themeColor="text1"/>
          <w:highlight w:val="none"/>
        </w:rPr>
        <w:t>水土环境污染预防和治理措施切实可行，并可达到实施的目标，预防和治理实施难度中等到较难。</w:t>
      </w:r>
    </w:p>
    <w:p>
      <w:pPr>
        <w:rPr>
          <w:color w:val="000000" w:themeColor="text1"/>
          <w:highlight w:val="none"/>
        </w:rPr>
      </w:pPr>
      <w:r>
        <w:rPr>
          <w:color w:val="000000" w:themeColor="text1"/>
          <w:highlight w:val="none"/>
        </w:rPr>
        <w:t>矿山地质环境治理应按照国家制定的技术规范进行，治理方案要切实可行，依靠科技进步，严格控制矿产资源开发对矿山地质环境的扰动和破坏，最大限度地减少或避免矿产开发引发的矿山地质环境问题。为了提高矿山恢复治理的科学化水平，保证治理工作的顺利进行，应建立矿山治理中心和专业治理队伍，保证矿山治理工程高质量、高效率的完成。</w:t>
      </w:r>
    </w:p>
    <w:p>
      <w:pPr>
        <w:rPr>
          <w:color w:val="000000" w:themeColor="text1"/>
          <w:highlight w:val="none"/>
        </w:rPr>
      </w:pPr>
      <w:r>
        <w:rPr>
          <w:color w:val="000000" w:themeColor="text1"/>
          <w:highlight w:val="none"/>
        </w:rPr>
        <w:t>为确保治理工作的顺利实施，应委托具备有关资质的单位进行施工设计和施工，施工设计要通过市国土资源部门的审查验收，施工期间接受委托方的监督。</w:t>
      </w:r>
    </w:p>
    <w:p>
      <w:pPr>
        <w:pStyle w:val="5"/>
        <w:spacing w:before="82" w:after="82"/>
        <w:rPr>
          <w:color w:val="000000" w:themeColor="text1"/>
          <w:highlight w:val="none"/>
        </w:rPr>
      </w:pPr>
      <w:bookmarkStart w:id="160" w:name="_Toc29255"/>
      <w:bookmarkStart w:id="161" w:name="_Toc489547334"/>
      <w:bookmarkStart w:id="162" w:name="_Toc29745"/>
      <w:bookmarkStart w:id="163" w:name="_Toc489542654"/>
      <w:r>
        <w:rPr>
          <w:color w:val="000000" w:themeColor="text1"/>
          <w:highlight w:val="none"/>
        </w:rPr>
        <w:t>4.1.2经济可行性分析</w:t>
      </w:r>
      <w:bookmarkEnd w:id="160"/>
      <w:bookmarkEnd w:id="161"/>
      <w:bookmarkEnd w:id="162"/>
      <w:bookmarkEnd w:id="163"/>
    </w:p>
    <w:p>
      <w:pPr>
        <w:rPr>
          <w:bCs/>
          <w:color w:val="000000" w:themeColor="text1"/>
          <w:highlight w:val="none"/>
        </w:rPr>
      </w:pPr>
      <w:r>
        <w:rPr>
          <w:color w:val="000000" w:themeColor="text1"/>
          <w:highlight w:val="none"/>
        </w:rPr>
        <w:t>1、经济效益分析</w:t>
      </w:r>
    </w:p>
    <w:p>
      <w:pPr>
        <w:ind w:firstLine="464"/>
        <w:rPr>
          <w:color w:val="000000" w:themeColor="text1"/>
          <w:highlight w:val="none"/>
        </w:rPr>
      </w:pPr>
      <w:r>
        <w:rPr>
          <w:color w:val="000000" w:themeColor="text1"/>
          <w:spacing w:val="-4"/>
          <w:highlight w:val="none"/>
        </w:rPr>
        <w:t>矿山生产造成部分耕地减产，甚至失去耕种功能。矿山地质环境保护与恢复治理</w:t>
      </w:r>
      <w:r>
        <w:rPr>
          <w:color w:val="000000" w:themeColor="text1"/>
          <w:highlight w:val="none"/>
        </w:rPr>
        <w:t>工作的经济效益主要体现在通过恢复治理所带来的农业经济效益上</w:t>
      </w:r>
      <w:r>
        <w:rPr>
          <w:rFonts w:hint="eastAsia"/>
          <w:color w:val="000000" w:themeColor="text1"/>
          <w:highlight w:val="none"/>
        </w:rPr>
        <w:t>，</w:t>
      </w:r>
      <w:r>
        <w:rPr>
          <w:color w:val="000000" w:themeColor="text1"/>
          <w:highlight w:val="none"/>
        </w:rPr>
        <w:t>由于</w:t>
      </w:r>
      <w:r>
        <w:rPr>
          <w:rFonts w:hint="eastAsia"/>
          <w:color w:val="000000" w:themeColor="text1"/>
          <w:highlight w:val="none"/>
        </w:rPr>
        <w:t>石灰岩矿</w:t>
      </w:r>
      <w:r>
        <w:rPr>
          <w:color w:val="000000" w:themeColor="text1"/>
          <w:highlight w:val="none"/>
        </w:rPr>
        <w:t>开采，工业广场压占大量土地资源，对农田耕作的影响较为严重。本项目通过治理恢复工程后，可使破坏较严重土地得到进一步改良，</w:t>
      </w:r>
      <w:r>
        <w:rPr>
          <w:rFonts w:hint="eastAsia"/>
          <w:color w:val="000000" w:themeColor="text1"/>
          <w:highlight w:val="none"/>
        </w:rPr>
        <w:t>通过土地复垦治理恢复为质量与原土地相当的土地</w:t>
      </w:r>
      <w:r>
        <w:rPr>
          <w:color w:val="000000" w:themeColor="text1"/>
          <w:highlight w:val="none"/>
        </w:rPr>
        <w:t>，使当地村民长期受益。</w:t>
      </w:r>
    </w:p>
    <w:p>
      <w:pPr>
        <w:rPr>
          <w:color w:val="000000" w:themeColor="text1"/>
          <w:highlight w:val="none"/>
        </w:rPr>
      </w:pPr>
      <w:r>
        <w:rPr>
          <w:color w:val="000000" w:themeColor="text1"/>
          <w:highlight w:val="none"/>
        </w:rPr>
        <w:t>2、治理资金保障</w:t>
      </w:r>
    </w:p>
    <w:p>
      <w:pPr>
        <w:rPr>
          <w:color w:val="000000" w:themeColor="text1"/>
          <w:highlight w:val="none"/>
        </w:rPr>
      </w:pPr>
      <w:r>
        <w:rPr>
          <w:color w:val="000000" w:themeColor="text1"/>
          <w:highlight w:val="none"/>
        </w:rPr>
        <w:t>为了保证本方案的顺利实施，除了在组织上和技术上严格把关外，还必须加强对资金的管理。根据</w:t>
      </w:r>
      <w:r>
        <w:rPr>
          <w:rFonts w:ascii="宋体" w:hAnsi="宋体"/>
          <w:color w:val="000000" w:themeColor="text1"/>
          <w:highlight w:val="none"/>
        </w:rPr>
        <w:t>“</w:t>
      </w:r>
      <w:r>
        <w:rPr>
          <w:color w:val="000000" w:themeColor="text1"/>
          <w:highlight w:val="none"/>
        </w:rPr>
        <w:t>谁开发谁保护，谁破坏谁治理，谁投资谁受益</w:t>
      </w:r>
      <w:r>
        <w:rPr>
          <w:rFonts w:ascii="宋体" w:hAnsi="宋体"/>
          <w:color w:val="000000" w:themeColor="text1"/>
          <w:highlight w:val="none"/>
        </w:rPr>
        <w:t>”</w:t>
      </w:r>
      <w:r>
        <w:rPr>
          <w:color w:val="000000" w:themeColor="text1"/>
          <w:highlight w:val="none"/>
        </w:rPr>
        <w:t>的原则，矿山地质环境保护与治理恢复资金来源为企业自筹。建设单位应将治理费从生产费用中列支，防止挤占、挪用或截留，要做到资金及时足额到位，合理使用，确保专款专用，确保经费投资额度、资金流向和使用情况的真实性和有效性。</w:t>
      </w:r>
    </w:p>
    <w:p>
      <w:pPr>
        <w:rPr>
          <w:color w:val="000000" w:themeColor="text1"/>
          <w:highlight w:val="none"/>
        </w:rPr>
      </w:pPr>
      <w:r>
        <w:rPr>
          <w:rFonts w:hint="eastAsia"/>
          <w:color w:val="000000" w:themeColor="text1"/>
          <w:highlight w:val="none"/>
          <w:lang w:eastAsia="zh-CN"/>
        </w:rPr>
        <w:t>旺苍县华隆建材有限公司三江镇战旗石灰石矿</w:t>
      </w:r>
      <w:r>
        <w:rPr>
          <w:color w:val="000000" w:themeColor="text1"/>
          <w:highlight w:val="none"/>
        </w:rPr>
        <w:t>已对缴存矿山地质环境保护与土地复垦保证金进行书面承诺，并按照四川省矿山地质环境保护基金和土地复垦费的缴存标准和缴存办法，足额缴存保证金。经济上该矿山地质环境治理简单可行。</w:t>
      </w:r>
    </w:p>
    <w:p>
      <w:pPr>
        <w:pStyle w:val="5"/>
        <w:spacing w:before="82" w:after="82"/>
        <w:rPr>
          <w:color w:val="000000" w:themeColor="text1"/>
          <w:highlight w:val="none"/>
        </w:rPr>
      </w:pPr>
      <w:bookmarkStart w:id="164" w:name="_Toc11170"/>
      <w:bookmarkStart w:id="165" w:name="_Toc489547335"/>
      <w:bookmarkStart w:id="166" w:name="_Toc12002"/>
      <w:bookmarkStart w:id="167" w:name="_Toc489542655"/>
      <w:r>
        <w:rPr>
          <w:color w:val="000000" w:themeColor="text1"/>
          <w:highlight w:val="none"/>
        </w:rPr>
        <w:t>4.1.3生态环境协调性分析</w:t>
      </w:r>
      <w:bookmarkEnd w:id="164"/>
      <w:bookmarkEnd w:id="165"/>
      <w:bookmarkEnd w:id="166"/>
      <w:bookmarkEnd w:id="167"/>
    </w:p>
    <w:p>
      <w:pPr>
        <w:rPr>
          <w:color w:val="000000" w:themeColor="text1"/>
          <w:highlight w:val="none"/>
        </w:rPr>
      </w:pPr>
      <w:r>
        <w:rPr>
          <w:color w:val="000000" w:themeColor="text1"/>
          <w:highlight w:val="none"/>
        </w:rPr>
        <w:t>矿区实施地质环境治理工程后消除了地灾灾害隐患，减少了地质环境问题，矿区植被面积有所增加，可有效的吸滞粉尘，净化空气，提高环境空气质量，还可防风固土，减少水土流失、减少</w:t>
      </w:r>
      <w:r>
        <w:rPr>
          <w:rFonts w:hint="eastAsia"/>
          <w:color w:val="000000" w:themeColor="text1"/>
          <w:highlight w:val="none"/>
        </w:rPr>
        <w:t>土壤水分</w:t>
      </w:r>
      <w:r>
        <w:rPr>
          <w:color w:val="000000" w:themeColor="text1"/>
          <w:highlight w:val="none"/>
        </w:rPr>
        <w:t>蒸发，改善土地利用状况。总之，通过矿区地质环境恢复治理工程，矿区的污染被减小，矿区和周边区域的生态环境得到改善和恢复，促进了整个矿区自然生态系统的融洽和协调，使得矿区生态环境形成了良性循环，为矿区和周边群众创造良好的生存环境。</w:t>
      </w:r>
    </w:p>
    <w:p>
      <w:pPr>
        <w:pStyle w:val="4"/>
        <w:spacing w:before="82" w:after="82"/>
        <w:rPr>
          <w:color w:val="000000" w:themeColor="text1"/>
          <w:highlight w:val="none"/>
        </w:rPr>
      </w:pPr>
      <w:bookmarkStart w:id="168" w:name="_Toc17257"/>
      <w:bookmarkStart w:id="169" w:name="_Toc16762"/>
      <w:r>
        <w:rPr>
          <w:color w:val="000000" w:themeColor="text1"/>
          <w:highlight w:val="none"/>
        </w:rPr>
        <w:t>4.2矿山土地复垦可行性分析</w:t>
      </w:r>
      <w:bookmarkEnd w:id="168"/>
      <w:bookmarkEnd w:id="169"/>
    </w:p>
    <w:p>
      <w:pPr>
        <w:pStyle w:val="5"/>
        <w:spacing w:before="82" w:after="82"/>
        <w:rPr>
          <w:color w:val="000000" w:themeColor="text1"/>
          <w:highlight w:val="none"/>
        </w:rPr>
      </w:pPr>
      <w:bookmarkStart w:id="170" w:name="_Toc6570"/>
      <w:bookmarkStart w:id="171" w:name="_Toc11377"/>
      <w:r>
        <w:rPr>
          <w:color w:val="000000" w:themeColor="text1"/>
          <w:highlight w:val="none"/>
        </w:rPr>
        <w:t>4.2.1复垦区土地利用现状</w:t>
      </w:r>
      <w:bookmarkEnd w:id="170"/>
      <w:bookmarkEnd w:id="171"/>
    </w:p>
    <w:p>
      <w:pPr>
        <w:rPr>
          <w:color w:val="000000" w:themeColor="text1"/>
          <w:highlight w:val="none"/>
        </w:rPr>
      </w:pPr>
      <w:r>
        <w:rPr>
          <w:color w:val="000000" w:themeColor="text1"/>
          <w:highlight w:val="none"/>
        </w:rPr>
        <w:t>1、土地利用类型</w:t>
      </w:r>
    </w:p>
    <w:p>
      <w:pPr>
        <w:rPr>
          <w:color w:val="000000" w:themeColor="text1"/>
          <w:highlight w:val="none"/>
        </w:rPr>
      </w:pPr>
      <w:r>
        <w:rPr>
          <w:color w:val="000000" w:themeColor="text1"/>
          <w:highlight w:val="none"/>
        </w:rPr>
        <w:t>复垦区总面积为</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，位于</w:t>
      </w:r>
      <w:r>
        <w:rPr>
          <w:rFonts w:hint="eastAsia"/>
          <w:color w:val="000000" w:themeColor="text1"/>
          <w:highlight w:val="none"/>
          <w:lang w:eastAsia="zh-CN"/>
        </w:rPr>
        <w:t>广元市旺苍县三江镇</w:t>
      </w:r>
      <w:r>
        <w:rPr>
          <w:color w:val="000000" w:themeColor="text1"/>
          <w:highlight w:val="none"/>
        </w:rPr>
        <w:t>。土地利用现状包括</w:t>
      </w:r>
      <w:r>
        <w:rPr>
          <w:rFonts w:hint="eastAsia"/>
          <w:color w:val="000000" w:themeColor="text1"/>
          <w:highlight w:val="none"/>
          <w:lang w:eastAsia="zh-CN"/>
        </w:rPr>
        <w:t>乔木林地</w:t>
      </w:r>
      <w:r>
        <w:rPr>
          <w:color w:val="000000" w:themeColor="text1"/>
          <w:highlight w:val="none"/>
        </w:rPr>
        <w:t>、</w:t>
      </w:r>
      <w:r>
        <w:rPr>
          <w:rFonts w:hint="eastAsia"/>
          <w:color w:val="000000" w:themeColor="text1"/>
          <w:highlight w:val="none"/>
        </w:rPr>
        <w:t>灌木林地</w:t>
      </w:r>
      <w:r>
        <w:rPr>
          <w:rFonts w:hint="eastAsia"/>
          <w:color w:val="000000" w:themeColor="text1"/>
          <w:highlight w:val="none"/>
          <w:lang w:eastAsia="zh-CN"/>
        </w:rPr>
        <w:t>和</w:t>
      </w:r>
      <w:r>
        <w:rPr>
          <w:color w:val="000000" w:themeColor="text1"/>
          <w:highlight w:val="none"/>
        </w:rPr>
        <w:t>采矿用地</w:t>
      </w:r>
      <w:r>
        <w:rPr>
          <w:rFonts w:hint="eastAsia"/>
          <w:color w:val="000000" w:themeColor="text1"/>
          <w:highlight w:val="none"/>
        </w:rPr>
        <w:t>，矿区范围内不涉及基本农田</w:t>
      </w:r>
      <w:r>
        <w:rPr>
          <w:color w:val="000000" w:themeColor="text1"/>
          <w:highlight w:val="none"/>
        </w:rPr>
        <w:t>。复垦区土地利用现状情况见表4-1。</w:t>
      </w:r>
    </w:p>
    <w:p>
      <w:pPr>
        <w:pStyle w:val="67"/>
        <w:rPr>
          <w:color w:val="000000" w:themeColor="text1"/>
          <w:highlight w:val="none"/>
        </w:rPr>
      </w:pPr>
      <w:r>
        <w:rPr>
          <w:color w:val="000000" w:themeColor="text1"/>
          <w:highlight w:val="none"/>
        </w:rPr>
        <w:t>表4-1复垦区土地利用现状</w:t>
      </w:r>
    </w:p>
    <w:tbl>
      <w:tblPr>
        <w:tblStyle w:val="31"/>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777"/>
        <w:gridCol w:w="1696"/>
        <w:gridCol w:w="2416"/>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shd w:val="clear" w:color="auto" w:fill="auto"/>
            <w:noWrap/>
            <w:vAlign w:val="center"/>
          </w:tcPr>
          <w:p>
            <w:pPr>
              <w:pStyle w:val="63"/>
              <w:rPr>
                <w:color w:val="000000" w:themeColor="text1"/>
                <w:kern w:val="0"/>
                <w:highlight w:val="none"/>
              </w:rPr>
            </w:pPr>
            <w:r>
              <w:rPr>
                <w:rFonts w:hint="eastAsia"/>
                <w:color w:val="000000" w:themeColor="text1"/>
                <w:kern w:val="0"/>
                <w:highlight w:val="none"/>
              </w:rPr>
              <w:t>地类及面积（</w:t>
            </w:r>
            <w:r>
              <w:rPr>
                <w:color w:val="000000" w:themeColor="text1"/>
                <w:kern w:val="0"/>
                <w:highlight w:val="none"/>
              </w:rPr>
              <w:t>hm</w:t>
            </w:r>
            <w:r>
              <w:rPr>
                <w:color w:val="000000" w:themeColor="text1"/>
                <w:kern w:val="0"/>
                <w:highlight w:val="none"/>
                <w:vertAlign w:val="superscript"/>
              </w:rPr>
              <w:t>2</w:t>
            </w:r>
            <w:r>
              <w:rPr>
                <w:color w:val="000000" w:themeColor="text1"/>
                <w:kern w:val="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损毁区域</w:t>
            </w:r>
          </w:p>
        </w:tc>
        <w:tc>
          <w:tcPr>
            <w:tcW w:w="1984" w:type="pct"/>
            <w:gridSpan w:val="2"/>
            <w:shd w:val="clear" w:color="auto" w:fill="auto"/>
            <w:vAlign w:val="center"/>
          </w:tcPr>
          <w:p>
            <w:pPr>
              <w:pStyle w:val="63"/>
              <w:rPr>
                <w:color w:val="000000" w:themeColor="text1"/>
                <w:kern w:val="0"/>
                <w:highlight w:val="none"/>
              </w:rPr>
            </w:pPr>
            <w:r>
              <w:rPr>
                <w:rFonts w:hint="eastAsia"/>
                <w:color w:val="000000" w:themeColor="text1"/>
                <w:kern w:val="0"/>
                <w:highlight w:val="none"/>
              </w:rPr>
              <w:t>林地（</w:t>
            </w:r>
            <w:r>
              <w:rPr>
                <w:color w:val="000000" w:themeColor="text1"/>
                <w:kern w:val="0"/>
                <w:highlight w:val="none"/>
              </w:rPr>
              <w:t>03）</w:t>
            </w:r>
          </w:p>
        </w:tc>
        <w:tc>
          <w:tcPr>
            <w:tcW w:w="138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城镇村及工矿用地（</w:t>
            </w:r>
            <w:r>
              <w:rPr>
                <w:rFonts w:hint="eastAsia"/>
                <w:color w:val="000000" w:themeColor="text1"/>
                <w:kern w:val="0"/>
                <w:highlight w:val="none"/>
                <w:lang w:val="en-US" w:eastAsia="zh-CN"/>
              </w:rPr>
              <w:t>06</w:t>
            </w:r>
            <w:r>
              <w:rPr>
                <w:color w:val="000000" w:themeColor="text1"/>
                <w:kern w:val="0"/>
                <w:highlight w:val="none"/>
              </w:rPr>
              <w:t>）</w:t>
            </w:r>
          </w:p>
        </w:tc>
        <w:tc>
          <w:tcPr>
            <w:tcW w:w="587" w:type="pct"/>
            <w:vMerge w:val="restart"/>
            <w:shd w:val="clear" w:color="auto" w:fill="auto"/>
            <w:vAlign w:val="center"/>
          </w:tcPr>
          <w:p>
            <w:pPr>
              <w:pStyle w:val="63"/>
              <w:rPr>
                <w:rFonts w:hint="eastAsia"/>
                <w:color w:val="000000" w:themeColor="text1"/>
                <w:kern w:val="0"/>
                <w:highlight w:val="none"/>
              </w:rPr>
            </w:pPr>
            <w:r>
              <w:rPr>
                <w:rFonts w:hint="eastAsia"/>
                <w:color w:val="000000" w:themeColor="text1"/>
                <w:kern w:val="0"/>
                <w:highlight w:val="none"/>
              </w:rPr>
              <w:t>合计</w:t>
            </w:r>
          </w:p>
          <w:p>
            <w:pPr>
              <w:pStyle w:val="63"/>
              <w:ind w:firstLine="0" w:firstLineChars="0"/>
              <w:rPr>
                <w:color w:val="000000" w:themeColor="text1"/>
                <w:kern w:val="0"/>
                <w:highlight w:val="none"/>
              </w:rPr>
            </w:pPr>
            <w:r>
              <w:rPr>
                <w:rFonts w:hint="eastAsia"/>
                <w:color w:val="000000" w:themeColor="text1"/>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vMerge w:val="continue"/>
            <w:vAlign w:val="center"/>
          </w:tcPr>
          <w:p>
            <w:pPr>
              <w:pStyle w:val="63"/>
              <w:rPr>
                <w:color w:val="000000" w:themeColor="text1"/>
                <w:kern w:val="0"/>
                <w:highlight w:val="none"/>
              </w:rPr>
            </w:pPr>
          </w:p>
        </w:tc>
        <w:tc>
          <w:tcPr>
            <w:tcW w:w="1015" w:type="pct"/>
            <w:shd w:val="clear" w:color="auto" w:fill="auto"/>
            <w:vAlign w:val="center"/>
          </w:tcPr>
          <w:p>
            <w:pPr>
              <w:pStyle w:val="63"/>
              <w:ind w:firstLine="0" w:firstLineChars="0"/>
              <w:rPr>
                <w:color w:val="000000" w:themeColor="text1"/>
                <w:kern w:val="0"/>
                <w:highlight w:val="none"/>
              </w:rPr>
            </w:pPr>
            <w:r>
              <w:rPr>
                <w:rFonts w:hint="eastAsia"/>
                <w:color w:val="000000" w:themeColor="text1"/>
                <w:highlight w:val="none"/>
                <w:lang w:eastAsia="zh-CN"/>
              </w:rPr>
              <w:t>乔木林地</w:t>
            </w:r>
            <w:r>
              <w:rPr>
                <w:rFonts w:hint="eastAsia"/>
                <w:color w:val="000000" w:themeColor="text1"/>
                <w:highlight w:val="none"/>
              </w:rPr>
              <w:t>（</w:t>
            </w:r>
            <w:r>
              <w:rPr>
                <w:color w:val="000000" w:themeColor="text1"/>
                <w:highlight w:val="none"/>
              </w:rPr>
              <w:t>03</w:t>
            </w:r>
            <w:r>
              <w:rPr>
                <w:rFonts w:hint="eastAsia"/>
                <w:color w:val="000000" w:themeColor="text1"/>
                <w:highlight w:val="none"/>
                <w:lang w:val="en-US" w:eastAsia="zh-CN"/>
              </w:rPr>
              <w:t>0</w:t>
            </w:r>
            <w:r>
              <w:rPr>
                <w:color w:val="000000" w:themeColor="text1"/>
                <w:highlight w:val="none"/>
              </w:rPr>
              <w:t>1</w:t>
            </w:r>
            <w:r>
              <w:rPr>
                <w:rFonts w:hint="eastAsia"/>
                <w:color w:val="000000" w:themeColor="text1"/>
                <w:highlight w:val="none"/>
              </w:rPr>
              <w:t>）</w:t>
            </w:r>
          </w:p>
        </w:tc>
        <w:tc>
          <w:tcPr>
            <w:tcW w:w="969" w:type="pct"/>
            <w:shd w:val="clear" w:color="auto" w:fill="auto"/>
            <w:vAlign w:val="center"/>
          </w:tcPr>
          <w:p>
            <w:pPr>
              <w:pStyle w:val="63"/>
              <w:ind w:firstLine="0" w:firstLineChars="0"/>
              <w:rPr>
                <w:color w:val="000000" w:themeColor="text1"/>
                <w:kern w:val="0"/>
                <w:highlight w:val="none"/>
              </w:rPr>
            </w:pPr>
            <w:r>
              <w:rPr>
                <w:rFonts w:hint="eastAsia"/>
                <w:color w:val="000000" w:themeColor="text1"/>
                <w:highlight w:val="none"/>
              </w:rPr>
              <w:t>灌木林地（</w:t>
            </w:r>
            <w:r>
              <w:rPr>
                <w:color w:val="000000" w:themeColor="text1"/>
                <w:highlight w:val="none"/>
              </w:rPr>
              <w:t>03</w:t>
            </w:r>
            <w:r>
              <w:rPr>
                <w:rFonts w:hint="eastAsia"/>
                <w:color w:val="000000" w:themeColor="text1"/>
                <w:highlight w:val="none"/>
                <w:lang w:val="en-US" w:eastAsia="zh-CN"/>
              </w:rPr>
              <w:t>05</w:t>
            </w:r>
            <w:r>
              <w:rPr>
                <w:rFonts w:hint="eastAsia"/>
                <w:color w:val="000000" w:themeColor="text1"/>
                <w:highlight w:val="none"/>
              </w:rPr>
              <w:t>）</w:t>
            </w:r>
          </w:p>
        </w:tc>
        <w:tc>
          <w:tcPr>
            <w:tcW w:w="1380" w:type="pct"/>
            <w:shd w:val="clear" w:color="auto" w:fill="auto"/>
            <w:vAlign w:val="center"/>
          </w:tcPr>
          <w:p>
            <w:pPr>
              <w:pStyle w:val="63"/>
              <w:ind w:firstLine="0" w:firstLineChars="0"/>
              <w:rPr>
                <w:color w:val="000000" w:themeColor="text1"/>
                <w:kern w:val="0"/>
                <w:highlight w:val="none"/>
              </w:rPr>
            </w:pPr>
            <w:r>
              <w:rPr>
                <w:rFonts w:hint="eastAsia"/>
                <w:color w:val="000000" w:themeColor="text1"/>
                <w:highlight w:val="none"/>
              </w:rPr>
              <w:t>采矿用地（</w:t>
            </w:r>
            <w:r>
              <w:rPr>
                <w:rFonts w:hint="eastAsia"/>
                <w:color w:val="000000" w:themeColor="text1"/>
                <w:highlight w:val="none"/>
                <w:lang w:val="en-US" w:eastAsia="zh-CN"/>
              </w:rPr>
              <w:t>0602</w:t>
            </w:r>
            <w:r>
              <w:rPr>
                <w:rFonts w:hint="eastAsia"/>
                <w:color w:val="000000" w:themeColor="text1"/>
                <w:highlight w:val="none"/>
              </w:rPr>
              <w:t>）</w:t>
            </w:r>
          </w:p>
        </w:tc>
        <w:tc>
          <w:tcPr>
            <w:tcW w:w="587" w:type="pct"/>
            <w:vMerge w:val="continue"/>
            <w:shd w:val="clear" w:color="auto" w:fill="auto"/>
            <w:vAlign w:val="center"/>
          </w:tcPr>
          <w:p>
            <w:pPr>
              <w:pStyle w:val="63"/>
              <w:ind w:firstLine="0" w:firstLineChars="0"/>
              <w:rPr>
                <w:color w:val="000000" w:themeColor="text1"/>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shd w:val="clear" w:color="auto" w:fill="auto"/>
            <w:vAlign w:val="center"/>
          </w:tcPr>
          <w:p>
            <w:pPr>
              <w:pStyle w:val="63"/>
              <w:rPr>
                <w:rFonts w:hint="eastAsia"/>
                <w:color w:val="000000" w:themeColor="text1"/>
                <w:kern w:val="0"/>
                <w:highlight w:val="none"/>
              </w:rPr>
            </w:pPr>
            <w:r>
              <w:rPr>
                <w:rFonts w:hint="eastAsia"/>
                <w:color w:val="000000" w:themeColor="text1"/>
                <w:kern w:val="0"/>
                <w:highlight w:val="none"/>
              </w:rPr>
              <w:t>露天采场</w:t>
            </w:r>
          </w:p>
        </w:tc>
        <w:tc>
          <w:tcPr>
            <w:tcW w:w="1015" w:type="pct"/>
            <w:shd w:val="clear" w:color="auto" w:fill="auto"/>
            <w:noWrap/>
            <w:vAlign w:val="center"/>
          </w:tcPr>
          <w:p>
            <w:pPr>
              <w:pStyle w:val="63"/>
              <w:ind w:firstLine="0" w:firstLineChars="0"/>
              <w:rPr>
                <w:rFonts w:hint="eastAsia"/>
                <w:color w:val="000000" w:themeColor="text1"/>
                <w:kern w:val="0"/>
                <w:highlight w:val="none"/>
              </w:rPr>
            </w:pPr>
            <w:r>
              <w:rPr>
                <w:rFonts w:hint="default"/>
                <w:color w:val="000000" w:themeColor="text1"/>
                <w:highlight w:val="none"/>
                <w:lang w:val="en-US" w:eastAsia="zh-CN"/>
              </w:rPr>
              <w:t>1.4378</w:t>
            </w:r>
          </w:p>
        </w:tc>
        <w:tc>
          <w:tcPr>
            <w:tcW w:w="969" w:type="pct"/>
            <w:shd w:val="clear" w:color="auto" w:fill="auto"/>
            <w:noWrap/>
            <w:vAlign w:val="center"/>
          </w:tcPr>
          <w:p>
            <w:pPr>
              <w:pStyle w:val="63"/>
              <w:ind w:firstLine="0" w:firstLineChars="0"/>
              <w:rPr>
                <w:rFonts w:hint="eastAsia" w:eastAsia="宋体"/>
                <w:color w:val="000000" w:themeColor="text1"/>
                <w:kern w:val="0"/>
                <w:highlight w:val="none"/>
                <w:lang w:val="en-US" w:eastAsia="zh-CN"/>
              </w:rPr>
            </w:pPr>
            <w:r>
              <w:rPr>
                <w:rFonts w:hint="eastAsia"/>
                <w:color w:val="000000" w:themeColor="text1"/>
                <w:kern w:val="0"/>
                <w:highlight w:val="none"/>
                <w:lang w:val="en-US" w:eastAsia="zh-CN"/>
              </w:rPr>
              <w:t>0</w:t>
            </w:r>
          </w:p>
        </w:tc>
        <w:tc>
          <w:tcPr>
            <w:tcW w:w="1380" w:type="pct"/>
            <w:shd w:val="clear" w:color="auto" w:fill="auto"/>
            <w:noWrap/>
            <w:vAlign w:val="center"/>
          </w:tcPr>
          <w:p>
            <w:pPr>
              <w:pStyle w:val="63"/>
              <w:ind w:firstLine="0" w:firstLineChars="0"/>
              <w:rPr>
                <w:rFonts w:hint="eastAsia"/>
                <w:color w:val="000000" w:themeColor="text1"/>
                <w:kern w:val="0"/>
                <w:highlight w:val="none"/>
              </w:rPr>
            </w:pPr>
            <w:r>
              <w:rPr>
                <w:rFonts w:hint="default"/>
                <w:color w:val="000000" w:themeColor="text1"/>
                <w:highlight w:val="none"/>
                <w:lang w:val="en-US" w:eastAsia="zh-CN"/>
              </w:rPr>
              <w:t>4.108</w:t>
            </w:r>
          </w:p>
        </w:tc>
        <w:tc>
          <w:tcPr>
            <w:tcW w:w="587" w:type="pct"/>
            <w:shd w:val="clear" w:color="auto" w:fill="auto"/>
            <w:noWrap/>
            <w:vAlign w:val="center"/>
          </w:tcPr>
          <w:p>
            <w:pPr>
              <w:pStyle w:val="63"/>
              <w:ind w:firstLine="0" w:firstLineChars="0"/>
              <w:rPr>
                <w:rFonts w:hint="eastAsia"/>
                <w:color w:val="000000" w:themeColor="text1"/>
                <w:kern w:val="0"/>
                <w:highlight w:val="none"/>
                <w:lang w:eastAsia="zh-CN"/>
              </w:rPr>
            </w:pPr>
            <w:r>
              <w:rPr>
                <w:rFonts w:hint="eastAsia"/>
                <w:color w:val="000000" w:themeColor="text1"/>
                <w:highlight w:val="none"/>
                <w:lang w:val="en-US" w:eastAsia="zh-CN"/>
              </w:rPr>
              <w:t>5.5458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shd w:val="clear" w:color="auto" w:fill="auto"/>
            <w:vAlign w:val="center"/>
          </w:tcPr>
          <w:p>
            <w:pPr>
              <w:pStyle w:val="63"/>
              <w:rPr>
                <w:rFonts w:hint="eastAsia"/>
                <w:color w:val="000000" w:themeColor="text1"/>
                <w:kern w:val="0"/>
                <w:highlight w:val="none"/>
              </w:rPr>
            </w:pPr>
            <w:r>
              <w:rPr>
                <w:rFonts w:hint="eastAsia"/>
                <w:color w:val="000000" w:themeColor="text1"/>
                <w:kern w:val="0"/>
                <w:highlight w:val="none"/>
              </w:rPr>
              <w:t>矿山公路</w:t>
            </w:r>
          </w:p>
        </w:tc>
        <w:tc>
          <w:tcPr>
            <w:tcW w:w="1015" w:type="pct"/>
            <w:shd w:val="clear" w:color="auto" w:fill="auto"/>
            <w:noWrap/>
            <w:vAlign w:val="center"/>
          </w:tcPr>
          <w:p>
            <w:pPr>
              <w:pStyle w:val="63"/>
              <w:ind w:firstLine="0" w:firstLineChars="0"/>
              <w:rPr>
                <w:rFonts w:hint="eastAsia"/>
                <w:color w:val="000000" w:themeColor="text1"/>
                <w:kern w:val="0"/>
                <w:highlight w:val="none"/>
              </w:rPr>
            </w:pPr>
            <w:r>
              <w:rPr>
                <w:rFonts w:hint="default"/>
                <w:color w:val="000000" w:themeColor="text1"/>
                <w:highlight w:val="none"/>
                <w:lang w:val="en-US" w:eastAsia="zh-CN"/>
              </w:rPr>
              <w:t>0.5033</w:t>
            </w:r>
          </w:p>
        </w:tc>
        <w:tc>
          <w:tcPr>
            <w:tcW w:w="969" w:type="pct"/>
            <w:shd w:val="clear" w:color="auto" w:fill="auto"/>
            <w:noWrap/>
            <w:vAlign w:val="center"/>
          </w:tcPr>
          <w:p>
            <w:pPr>
              <w:pStyle w:val="63"/>
              <w:ind w:firstLine="0" w:firstLineChars="0"/>
              <w:rPr>
                <w:rFonts w:hint="eastAsia"/>
                <w:color w:val="000000" w:themeColor="text1"/>
                <w:kern w:val="0"/>
                <w:highlight w:val="none"/>
              </w:rPr>
            </w:pPr>
            <w:r>
              <w:rPr>
                <w:rFonts w:hint="default"/>
                <w:color w:val="000000" w:themeColor="text1"/>
                <w:highlight w:val="none"/>
                <w:lang w:val="en-US" w:eastAsia="zh-CN"/>
              </w:rPr>
              <w:t>0.0328</w:t>
            </w:r>
          </w:p>
        </w:tc>
        <w:tc>
          <w:tcPr>
            <w:tcW w:w="1380" w:type="pct"/>
            <w:shd w:val="clear" w:color="auto" w:fill="auto"/>
            <w:noWrap/>
            <w:vAlign w:val="center"/>
          </w:tcPr>
          <w:p>
            <w:pPr>
              <w:pStyle w:val="63"/>
              <w:ind w:firstLine="0" w:firstLineChars="0"/>
              <w:rPr>
                <w:rFonts w:hint="eastAsia"/>
                <w:color w:val="000000" w:themeColor="text1"/>
                <w:kern w:val="0"/>
                <w:highlight w:val="none"/>
              </w:rPr>
            </w:pPr>
            <w:r>
              <w:rPr>
                <w:rFonts w:hint="default"/>
                <w:color w:val="000000" w:themeColor="text1"/>
                <w:highlight w:val="none"/>
                <w:lang w:val="en-US" w:eastAsia="zh-CN"/>
              </w:rPr>
              <w:t>0.0104</w:t>
            </w:r>
          </w:p>
        </w:tc>
        <w:tc>
          <w:tcPr>
            <w:tcW w:w="587" w:type="pct"/>
            <w:shd w:val="clear" w:color="auto" w:fill="auto"/>
            <w:noWrap/>
            <w:vAlign w:val="center"/>
          </w:tcPr>
          <w:p>
            <w:pPr>
              <w:pStyle w:val="63"/>
              <w:ind w:firstLine="0" w:firstLineChars="0"/>
              <w:rPr>
                <w:rFonts w:hint="eastAsia"/>
                <w:color w:val="000000" w:themeColor="text1"/>
                <w:kern w:val="0"/>
                <w:highlight w:val="none"/>
                <w:lang w:eastAsia="zh-CN"/>
              </w:rPr>
            </w:pPr>
            <w:r>
              <w:rPr>
                <w:rFonts w:hint="eastAsia"/>
                <w:color w:val="000000" w:themeColor="text1"/>
                <w:highlight w:val="none"/>
                <w:lang w:val="en-US" w:eastAsia="zh-CN"/>
              </w:rPr>
              <w:t>0.5465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shd w:val="clear" w:color="auto" w:fill="auto"/>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eastAsia="zh-CN"/>
              </w:rPr>
              <w:t>露天采场拟开采</w:t>
            </w:r>
          </w:p>
        </w:tc>
        <w:tc>
          <w:tcPr>
            <w:tcW w:w="1015" w:type="pct"/>
            <w:shd w:val="clear" w:color="auto" w:fill="auto"/>
            <w:noWrap/>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3.4321</w:t>
            </w:r>
          </w:p>
        </w:tc>
        <w:tc>
          <w:tcPr>
            <w:tcW w:w="969" w:type="pct"/>
            <w:shd w:val="clear" w:color="auto" w:fill="auto"/>
            <w:noWrap/>
            <w:vAlign w:val="center"/>
          </w:tcPr>
          <w:p>
            <w:pPr>
              <w:pStyle w:val="63"/>
              <w:rPr>
                <w:rFonts w:hint="eastAsia" w:eastAsia="宋体"/>
                <w:color w:val="000000" w:themeColor="text1"/>
                <w:kern w:val="0"/>
                <w:highlight w:val="none"/>
                <w:lang w:val="en-US" w:eastAsia="zh-CN"/>
              </w:rPr>
            </w:pPr>
            <w:r>
              <w:rPr>
                <w:rFonts w:hint="eastAsia"/>
                <w:color w:val="000000" w:themeColor="text1"/>
                <w:kern w:val="0"/>
                <w:highlight w:val="none"/>
                <w:lang w:val="en-US" w:eastAsia="zh-CN"/>
              </w:rPr>
              <w:t>0</w:t>
            </w:r>
          </w:p>
        </w:tc>
        <w:tc>
          <w:tcPr>
            <w:tcW w:w="1380" w:type="pct"/>
            <w:shd w:val="clear" w:color="auto" w:fill="auto"/>
            <w:noWrap/>
            <w:vAlign w:val="center"/>
          </w:tcPr>
          <w:p>
            <w:pPr>
              <w:pStyle w:val="63"/>
              <w:rPr>
                <w:rFonts w:hint="eastAsia" w:eastAsia="宋体"/>
                <w:color w:val="000000" w:themeColor="text1"/>
                <w:kern w:val="0"/>
                <w:highlight w:val="none"/>
                <w:lang w:val="en-US" w:eastAsia="zh-CN"/>
              </w:rPr>
            </w:pPr>
            <w:r>
              <w:rPr>
                <w:rFonts w:hint="eastAsia"/>
                <w:color w:val="000000" w:themeColor="text1"/>
                <w:kern w:val="0"/>
                <w:highlight w:val="none"/>
                <w:lang w:val="en-US" w:eastAsia="zh-CN"/>
              </w:rPr>
              <w:t>0</w:t>
            </w:r>
          </w:p>
        </w:tc>
        <w:tc>
          <w:tcPr>
            <w:tcW w:w="587" w:type="pct"/>
            <w:shd w:val="clear" w:color="auto" w:fill="auto"/>
            <w:noWrap/>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3.4321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7" w:type="pct"/>
            <w:shd w:val="clear" w:color="auto" w:fill="auto"/>
            <w:noWrap/>
            <w:vAlign w:val="center"/>
          </w:tcPr>
          <w:p>
            <w:pPr>
              <w:pStyle w:val="63"/>
              <w:rPr>
                <w:rFonts w:hint="eastAsia"/>
                <w:color w:val="000000" w:themeColor="text1"/>
                <w:kern w:val="0"/>
                <w:highlight w:val="none"/>
              </w:rPr>
            </w:pPr>
            <w:r>
              <w:rPr>
                <w:rFonts w:hint="eastAsia"/>
                <w:color w:val="000000" w:themeColor="text1"/>
                <w:kern w:val="0"/>
                <w:highlight w:val="none"/>
              </w:rPr>
              <w:t>合计</w:t>
            </w:r>
          </w:p>
        </w:tc>
        <w:tc>
          <w:tcPr>
            <w:tcW w:w="1777" w:type="dxa"/>
            <w:shd w:val="clear" w:color="auto" w:fill="auto"/>
            <w:noWrap/>
            <w:vAlign w:val="center"/>
          </w:tcPr>
          <w:p>
            <w:pPr>
              <w:pStyle w:val="63"/>
              <w:rPr>
                <w:rFonts w:hint="eastAsia"/>
                <w:color w:val="000000" w:themeColor="text1"/>
                <w:kern w:val="0"/>
                <w:highlight w:val="none"/>
                <w:lang w:val="en-US" w:eastAsia="zh-CN"/>
              </w:rPr>
            </w:pPr>
            <w:r>
              <w:rPr>
                <w:rFonts w:hint="default"/>
                <w:color w:val="000000" w:themeColor="text1"/>
                <w:kern w:val="0"/>
                <w:highlight w:val="none"/>
                <w:lang w:val="en-US" w:eastAsia="zh-CN"/>
              </w:rPr>
              <w:t>5.3732</w:t>
            </w:r>
          </w:p>
        </w:tc>
        <w:tc>
          <w:tcPr>
            <w:tcW w:w="1696" w:type="dxa"/>
            <w:shd w:val="clear" w:color="auto" w:fill="auto"/>
            <w:noWrap/>
            <w:vAlign w:val="center"/>
          </w:tcPr>
          <w:p>
            <w:pPr>
              <w:pStyle w:val="63"/>
              <w:rPr>
                <w:rFonts w:hint="eastAsia"/>
                <w:color w:val="000000" w:themeColor="text1"/>
                <w:kern w:val="0"/>
                <w:highlight w:val="none"/>
                <w:lang w:val="en-US" w:eastAsia="zh-CN"/>
              </w:rPr>
            </w:pPr>
            <w:r>
              <w:rPr>
                <w:rFonts w:hint="default"/>
                <w:color w:val="000000" w:themeColor="text1"/>
                <w:kern w:val="0"/>
                <w:highlight w:val="none"/>
                <w:lang w:val="en-US" w:eastAsia="zh-CN"/>
              </w:rPr>
              <w:t>0.0328</w:t>
            </w:r>
          </w:p>
        </w:tc>
        <w:tc>
          <w:tcPr>
            <w:tcW w:w="2416" w:type="dxa"/>
            <w:shd w:val="clear" w:color="auto" w:fill="auto"/>
            <w:noWrap/>
            <w:vAlign w:val="center"/>
          </w:tcPr>
          <w:p>
            <w:pPr>
              <w:pStyle w:val="63"/>
              <w:rPr>
                <w:rFonts w:hint="eastAsia"/>
                <w:color w:val="000000" w:themeColor="text1"/>
                <w:kern w:val="0"/>
                <w:highlight w:val="none"/>
                <w:lang w:val="en-US" w:eastAsia="zh-CN"/>
              </w:rPr>
            </w:pPr>
            <w:r>
              <w:rPr>
                <w:rFonts w:hint="default"/>
                <w:color w:val="000000" w:themeColor="text1"/>
                <w:kern w:val="0"/>
                <w:highlight w:val="none"/>
                <w:lang w:val="en-US" w:eastAsia="zh-CN"/>
              </w:rPr>
              <w:t>4.1184</w:t>
            </w:r>
          </w:p>
        </w:tc>
        <w:tc>
          <w:tcPr>
            <w:tcW w:w="1031" w:type="dxa"/>
            <w:shd w:val="clear" w:color="auto" w:fill="auto"/>
            <w:noWrap/>
            <w:vAlign w:val="center"/>
          </w:tcPr>
          <w:p>
            <w:pPr>
              <w:pStyle w:val="63"/>
              <w:rPr>
                <w:rFonts w:hint="eastAsia"/>
                <w:color w:val="000000" w:themeColor="text1"/>
                <w:kern w:val="0"/>
                <w:highlight w:val="none"/>
                <w:lang w:val="en-US" w:eastAsia="zh-CN"/>
              </w:rPr>
            </w:pPr>
            <w:r>
              <w:rPr>
                <w:rFonts w:hint="default"/>
                <w:color w:val="000000" w:themeColor="text1"/>
                <w:kern w:val="0"/>
                <w:highlight w:val="none"/>
                <w:lang w:val="en-US" w:eastAsia="zh-CN"/>
              </w:rPr>
              <w:t>9.5244</w:t>
            </w:r>
          </w:p>
        </w:tc>
      </w:tr>
    </w:tbl>
    <w:p>
      <w:pPr>
        <w:rPr>
          <w:color w:val="000000" w:themeColor="text1"/>
          <w:highlight w:val="none"/>
          <w:lang w:val="en-GB"/>
        </w:rPr>
      </w:pPr>
      <w:r>
        <w:rPr>
          <w:rFonts w:hint="eastAsia"/>
          <w:color w:val="000000" w:themeColor="text1"/>
          <w:highlight w:val="none"/>
        </w:rPr>
        <w:t>2</w:t>
      </w:r>
      <w:r>
        <w:rPr>
          <w:color w:val="000000" w:themeColor="text1"/>
          <w:highlight w:val="none"/>
        </w:rPr>
        <w:t>、土地</w:t>
      </w:r>
      <w:r>
        <w:rPr>
          <w:color w:val="000000" w:themeColor="text1"/>
          <w:highlight w:val="none"/>
          <w:lang w:val="en-GB"/>
        </w:rPr>
        <w:t>利用权属状况</w:t>
      </w:r>
    </w:p>
    <w:p>
      <w:pPr>
        <w:rPr>
          <w:color w:val="000000" w:themeColor="text1"/>
          <w:highlight w:val="none"/>
        </w:rPr>
      </w:pPr>
      <w:r>
        <w:rPr>
          <w:color w:val="000000" w:themeColor="text1"/>
          <w:highlight w:val="none"/>
          <w:lang w:val="en-GB"/>
        </w:rPr>
        <w:t>矿区土地权属为</w:t>
      </w:r>
      <w:r>
        <w:rPr>
          <w:rFonts w:hint="eastAsia"/>
          <w:color w:val="000000" w:themeColor="text1"/>
          <w:highlight w:val="none"/>
          <w:lang w:val="en-GB" w:eastAsia="zh-CN"/>
        </w:rPr>
        <w:t>三江镇战旗村</w:t>
      </w:r>
      <w:r>
        <w:rPr>
          <w:color w:val="000000" w:themeColor="text1"/>
          <w:spacing w:val="-2"/>
          <w:highlight w:val="none"/>
        </w:rPr>
        <w:t>集体所有</w:t>
      </w:r>
      <w:r>
        <w:rPr>
          <w:color w:val="000000" w:themeColor="text1"/>
          <w:highlight w:val="none"/>
        </w:rPr>
        <w:t>。具体权属情况见表4-2。</w:t>
      </w:r>
    </w:p>
    <w:p>
      <w:pPr>
        <w:pStyle w:val="67"/>
        <w:rPr>
          <w:color w:val="000000" w:themeColor="text1"/>
          <w:highlight w:val="none"/>
        </w:rPr>
      </w:pPr>
      <w:r>
        <w:rPr>
          <w:color w:val="000000" w:themeColor="text1"/>
          <w:highlight w:val="none"/>
        </w:rPr>
        <w:t>表4-2复垦区土地利用权属表</w:t>
      </w:r>
      <w:bookmarkStart w:id="172" w:name="_Toc24619"/>
    </w:p>
    <w:tbl>
      <w:tblPr>
        <w:tblStyle w:val="31"/>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127"/>
        <w:gridCol w:w="1578"/>
        <w:gridCol w:w="1650"/>
        <w:gridCol w:w="1442"/>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noWrap/>
            <w:vAlign w:val="center"/>
          </w:tcPr>
          <w:p>
            <w:pPr>
              <w:pStyle w:val="63"/>
              <w:rPr>
                <w:color w:val="000000" w:themeColor="text1"/>
                <w:highlight w:val="none"/>
              </w:rPr>
            </w:pPr>
            <w:r>
              <w:rPr>
                <w:rFonts w:hint="eastAsia"/>
                <w:color w:val="000000" w:themeColor="text1"/>
                <w:highlight w:val="none"/>
              </w:rPr>
              <w:t>地类及面积（</w:t>
            </w:r>
            <w:r>
              <w:rPr>
                <w:color w:val="000000" w:themeColor="text1"/>
                <w:highlight w:val="none"/>
              </w:rPr>
              <w:t>hm</w:t>
            </w:r>
            <w:r>
              <w:rPr>
                <w:color w:val="000000" w:themeColor="text1"/>
                <w:highlight w:val="none"/>
                <w:vertAlign w:val="superscript"/>
              </w:rPr>
              <w:t>2</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shd w:val="clear" w:color="auto" w:fill="auto"/>
            <w:noWrap/>
            <w:vAlign w:val="center"/>
          </w:tcPr>
          <w:p>
            <w:pPr>
              <w:pStyle w:val="63"/>
              <w:rPr>
                <w:color w:val="000000" w:themeColor="text1"/>
                <w:highlight w:val="none"/>
              </w:rPr>
            </w:pPr>
            <w:r>
              <w:rPr>
                <w:rFonts w:hint="eastAsia"/>
                <w:color w:val="000000" w:themeColor="text1"/>
                <w:highlight w:val="none"/>
              </w:rPr>
              <w:t>权属</w:t>
            </w:r>
          </w:p>
        </w:tc>
        <w:tc>
          <w:tcPr>
            <w:tcW w:w="1223" w:type="pct"/>
            <w:vMerge w:val="restart"/>
            <w:shd w:val="clear" w:color="auto" w:fill="auto"/>
            <w:vAlign w:val="center"/>
          </w:tcPr>
          <w:p>
            <w:pPr>
              <w:pStyle w:val="63"/>
              <w:rPr>
                <w:color w:val="000000" w:themeColor="text1"/>
                <w:highlight w:val="none"/>
              </w:rPr>
            </w:pPr>
            <w:r>
              <w:rPr>
                <w:rFonts w:hint="eastAsia"/>
                <w:color w:val="000000" w:themeColor="text1"/>
                <w:highlight w:val="none"/>
              </w:rPr>
              <w:t>损毁区域</w:t>
            </w:r>
          </w:p>
        </w:tc>
        <w:tc>
          <w:tcPr>
            <w:tcW w:w="1857" w:type="pct"/>
            <w:gridSpan w:val="2"/>
            <w:shd w:val="clear" w:color="auto" w:fill="auto"/>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03</w:t>
            </w:r>
          </w:p>
        </w:tc>
        <w:tc>
          <w:tcPr>
            <w:tcW w:w="829"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rPr>
              <w:t>城镇村及工矿用地</w:t>
            </w:r>
            <w:r>
              <w:rPr>
                <w:rFonts w:hint="eastAsia"/>
                <w:color w:val="000000" w:themeColor="text1"/>
                <w:highlight w:val="none"/>
                <w:lang w:val="en-US" w:eastAsia="zh-CN"/>
              </w:rPr>
              <w:t>06</w:t>
            </w:r>
          </w:p>
        </w:tc>
        <w:tc>
          <w:tcPr>
            <w:tcW w:w="517" w:type="pct"/>
            <w:shd w:val="clear" w:color="auto" w:fill="auto"/>
            <w:vAlign w:val="center"/>
          </w:tcPr>
          <w:p>
            <w:pPr>
              <w:pStyle w:val="63"/>
              <w:rPr>
                <w:color w:val="000000" w:themeColor="text1"/>
                <w:highlight w:val="none"/>
              </w:rPr>
            </w:pPr>
            <w:r>
              <w:rPr>
                <w:rFonts w:hint="eastAsia"/>
                <w:color w:val="000000" w:themeColor="text1"/>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000000" w:themeColor="text1"/>
                <w:highlight w:val="none"/>
              </w:rPr>
            </w:pPr>
          </w:p>
        </w:tc>
        <w:tc>
          <w:tcPr>
            <w:tcW w:w="1223" w:type="pct"/>
            <w:vMerge w:val="continue"/>
            <w:vAlign w:val="center"/>
          </w:tcPr>
          <w:p>
            <w:pPr>
              <w:pStyle w:val="63"/>
              <w:rPr>
                <w:color w:val="000000" w:themeColor="text1"/>
                <w:highlight w:val="none"/>
              </w:rPr>
            </w:pPr>
          </w:p>
        </w:tc>
        <w:tc>
          <w:tcPr>
            <w:tcW w:w="907" w:type="pct"/>
            <w:shd w:val="clear" w:color="auto" w:fill="auto"/>
            <w:vAlign w:val="center"/>
          </w:tcPr>
          <w:p>
            <w:pPr>
              <w:pStyle w:val="63"/>
              <w:ind w:firstLine="0" w:firstLineChars="0"/>
              <w:rPr>
                <w:color w:val="000000" w:themeColor="text1"/>
                <w:highlight w:val="none"/>
              </w:rPr>
            </w:pPr>
            <w:r>
              <w:rPr>
                <w:rFonts w:hint="eastAsia"/>
                <w:color w:val="000000" w:themeColor="text1"/>
                <w:highlight w:val="none"/>
                <w:lang w:eastAsia="zh-CN"/>
              </w:rPr>
              <w:t>乔木林地</w:t>
            </w:r>
            <w:r>
              <w:rPr>
                <w:rFonts w:hint="eastAsia"/>
                <w:color w:val="000000" w:themeColor="text1"/>
                <w:highlight w:val="none"/>
              </w:rPr>
              <w:t>（</w:t>
            </w:r>
            <w:r>
              <w:rPr>
                <w:color w:val="000000" w:themeColor="text1"/>
                <w:highlight w:val="none"/>
              </w:rPr>
              <w:t>03</w:t>
            </w:r>
            <w:r>
              <w:rPr>
                <w:rFonts w:hint="eastAsia"/>
                <w:color w:val="000000" w:themeColor="text1"/>
                <w:highlight w:val="none"/>
                <w:lang w:val="en-US" w:eastAsia="zh-CN"/>
              </w:rPr>
              <w:t>0</w:t>
            </w:r>
            <w:r>
              <w:rPr>
                <w:color w:val="000000" w:themeColor="text1"/>
                <w:highlight w:val="none"/>
              </w:rPr>
              <w:t>1</w:t>
            </w:r>
            <w:r>
              <w:rPr>
                <w:rFonts w:hint="eastAsia"/>
                <w:color w:val="000000" w:themeColor="text1"/>
                <w:highlight w:val="none"/>
              </w:rPr>
              <w:t>）</w:t>
            </w:r>
          </w:p>
        </w:tc>
        <w:tc>
          <w:tcPr>
            <w:tcW w:w="949" w:type="pct"/>
            <w:shd w:val="clear" w:color="auto" w:fill="auto"/>
            <w:vAlign w:val="center"/>
          </w:tcPr>
          <w:p>
            <w:pPr>
              <w:pStyle w:val="63"/>
              <w:ind w:firstLine="0" w:firstLineChars="0"/>
              <w:rPr>
                <w:color w:val="000000" w:themeColor="text1"/>
                <w:highlight w:val="none"/>
              </w:rPr>
            </w:pPr>
            <w:r>
              <w:rPr>
                <w:rFonts w:hint="eastAsia"/>
                <w:color w:val="000000" w:themeColor="text1"/>
                <w:highlight w:val="none"/>
              </w:rPr>
              <w:t>灌木林地（</w:t>
            </w:r>
            <w:r>
              <w:rPr>
                <w:color w:val="000000" w:themeColor="text1"/>
                <w:highlight w:val="none"/>
              </w:rPr>
              <w:t>03</w:t>
            </w:r>
            <w:r>
              <w:rPr>
                <w:rFonts w:hint="eastAsia"/>
                <w:color w:val="000000" w:themeColor="text1"/>
                <w:highlight w:val="none"/>
                <w:lang w:val="en-US" w:eastAsia="zh-CN"/>
              </w:rPr>
              <w:t>05</w:t>
            </w:r>
            <w:r>
              <w:rPr>
                <w:rFonts w:hint="eastAsia"/>
                <w:color w:val="000000" w:themeColor="text1"/>
                <w:highlight w:val="none"/>
              </w:rPr>
              <w:t>）</w:t>
            </w:r>
          </w:p>
        </w:tc>
        <w:tc>
          <w:tcPr>
            <w:tcW w:w="829" w:type="pct"/>
            <w:shd w:val="clear" w:color="auto" w:fill="auto"/>
            <w:vAlign w:val="center"/>
          </w:tcPr>
          <w:p>
            <w:pPr>
              <w:pStyle w:val="63"/>
              <w:ind w:firstLine="0" w:firstLineChars="0"/>
              <w:rPr>
                <w:color w:val="000000" w:themeColor="text1"/>
                <w:highlight w:val="none"/>
              </w:rPr>
            </w:pPr>
            <w:r>
              <w:rPr>
                <w:rFonts w:hint="eastAsia"/>
                <w:color w:val="000000" w:themeColor="text1"/>
                <w:highlight w:val="none"/>
              </w:rPr>
              <w:t>采矿用地（</w:t>
            </w:r>
            <w:r>
              <w:rPr>
                <w:rFonts w:hint="eastAsia"/>
                <w:color w:val="000000" w:themeColor="text1"/>
                <w:highlight w:val="none"/>
                <w:lang w:val="en-US" w:eastAsia="zh-CN"/>
              </w:rPr>
              <w:t>0602</w:t>
            </w:r>
            <w:r>
              <w:rPr>
                <w:rFonts w:hint="eastAsia"/>
                <w:color w:val="000000" w:themeColor="text1"/>
                <w:highlight w:val="none"/>
              </w:rPr>
              <w:t>）</w:t>
            </w:r>
          </w:p>
        </w:tc>
        <w:tc>
          <w:tcPr>
            <w:tcW w:w="517"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restart"/>
            <w:shd w:val="clear" w:color="auto" w:fill="auto"/>
            <w:noWrap/>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三江镇战旗村</w:t>
            </w:r>
          </w:p>
        </w:tc>
        <w:tc>
          <w:tcPr>
            <w:tcW w:w="1223" w:type="pct"/>
            <w:shd w:val="clear" w:color="auto" w:fill="auto"/>
            <w:vAlign w:val="center"/>
          </w:tcPr>
          <w:p>
            <w:pPr>
              <w:pStyle w:val="63"/>
              <w:ind w:firstLine="0" w:firstLineChars="0"/>
              <w:rPr>
                <w:color w:val="000000" w:themeColor="text1"/>
                <w:highlight w:val="none"/>
              </w:rPr>
            </w:pPr>
            <w:r>
              <w:rPr>
                <w:rFonts w:hint="eastAsia"/>
                <w:color w:val="000000" w:themeColor="text1"/>
                <w:kern w:val="0"/>
                <w:highlight w:val="none"/>
              </w:rPr>
              <w:t>露天采场</w:t>
            </w:r>
          </w:p>
        </w:tc>
        <w:tc>
          <w:tcPr>
            <w:tcW w:w="907" w:type="pct"/>
            <w:shd w:val="clear" w:color="auto" w:fill="auto"/>
            <w:noWrap/>
            <w:vAlign w:val="center"/>
          </w:tcPr>
          <w:p>
            <w:pPr>
              <w:pStyle w:val="63"/>
              <w:ind w:firstLine="0" w:firstLineChars="0"/>
              <w:rPr>
                <w:color w:val="000000" w:themeColor="text1"/>
                <w:highlight w:val="none"/>
              </w:rPr>
            </w:pPr>
            <w:r>
              <w:rPr>
                <w:rFonts w:hint="default"/>
                <w:color w:val="000000" w:themeColor="text1"/>
                <w:highlight w:val="none"/>
                <w:lang w:val="en-US" w:eastAsia="zh-CN"/>
              </w:rPr>
              <w:t>1.4378</w:t>
            </w:r>
          </w:p>
        </w:tc>
        <w:tc>
          <w:tcPr>
            <w:tcW w:w="949" w:type="pct"/>
            <w:shd w:val="clear" w:color="auto" w:fill="auto"/>
            <w:noWrap/>
            <w:vAlign w:val="center"/>
          </w:tcPr>
          <w:p>
            <w:pPr>
              <w:pStyle w:val="63"/>
              <w:ind w:firstLine="0" w:firstLineChars="0"/>
              <w:rPr>
                <w:color w:val="000000" w:themeColor="text1"/>
                <w:highlight w:val="none"/>
              </w:rPr>
            </w:pPr>
            <w:r>
              <w:rPr>
                <w:rFonts w:hint="eastAsia"/>
                <w:color w:val="000000" w:themeColor="text1"/>
                <w:kern w:val="0"/>
                <w:highlight w:val="none"/>
                <w:lang w:val="en-US" w:eastAsia="zh-CN"/>
              </w:rPr>
              <w:t>0</w:t>
            </w:r>
          </w:p>
        </w:tc>
        <w:tc>
          <w:tcPr>
            <w:tcW w:w="829" w:type="pct"/>
            <w:shd w:val="clear" w:color="auto" w:fill="auto"/>
            <w:noWrap/>
            <w:vAlign w:val="center"/>
          </w:tcPr>
          <w:p>
            <w:pPr>
              <w:pStyle w:val="63"/>
              <w:ind w:firstLine="0" w:firstLineChars="0"/>
              <w:rPr>
                <w:color w:val="000000" w:themeColor="text1"/>
                <w:highlight w:val="none"/>
              </w:rPr>
            </w:pPr>
            <w:r>
              <w:rPr>
                <w:rFonts w:hint="default"/>
                <w:color w:val="000000" w:themeColor="text1"/>
                <w:highlight w:val="none"/>
                <w:lang w:val="en-US" w:eastAsia="zh-CN"/>
              </w:rPr>
              <w:t>4.108</w:t>
            </w:r>
          </w:p>
        </w:tc>
        <w:tc>
          <w:tcPr>
            <w:tcW w:w="517" w:type="pct"/>
            <w:shd w:val="clear" w:color="auto" w:fill="auto"/>
            <w:noWrap/>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lang w:val="en-US" w:eastAsia="zh-CN"/>
              </w:rPr>
              <w:t>5.5458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000000" w:themeColor="text1"/>
                <w:highlight w:val="none"/>
              </w:rPr>
            </w:pPr>
          </w:p>
        </w:tc>
        <w:tc>
          <w:tcPr>
            <w:tcW w:w="1223" w:type="pct"/>
            <w:shd w:val="clear" w:color="auto" w:fill="auto"/>
            <w:vAlign w:val="center"/>
          </w:tcPr>
          <w:p>
            <w:pPr>
              <w:pStyle w:val="63"/>
              <w:ind w:firstLine="0" w:firstLineChars="0"/>
              <w:rPr>
                <w:color w:val="000000" w:themeColor="text1"/>
                <w:highlight w:val="none"/>
              </w:rPr>
            </w:pPr>
            <w:r>
              <w:rPr>
                <w:rFonts w:hint="eastAsia"/>
                <w:color w:val="000000" w:themeColor="text1"/>
                <w:kern w:val="0"/>
                <w:highlight w:val="none"/>
              </w:rPr>
              <w:t>矿山公路</w:t>
            </w:r>
          </w:p>
        </w:tc>
        <w:tc>
          <w:tcPr>
            <w:tcW w:w="907" w:type="pct"/>
            <w:shd w:val="clear" w:color="auto" w:fill="auto"/>
            <w:noWrap/>
            <w:vAlign w:val="center"/>
          </w:tcPr>
          <w:p>
            <w:pPr>
              <w:pStyle w:val="63"/>
              <w:ind w:firstLine="0" w:firstLineChars="0"/>
              <w:rPr>
                <w:color w:val="000000" w:themeColor="text1"/>
                <w:highlight w:val="none"/>
              </w:rPr>
            </w:pPr>
            <w:r>
              <w:rPr>
                <w:rFonts w:hint="default"/>
                <w:color w:val="000000" w:themeColor="text1"/>
                <w:highlight w:val="none"/>
                <w:lang w:val="en-US" w:eastAsia="zh-CN"/>
              </w:rPr>
              <w:t>0.5033</w:t>
            </w:r>
          </w:p>
        </w:tc>
        <w:tc>
          <w:tcPr>
            <w:tcW w:w="949" w:type="pct"/>
            <w:shd w:val="clear" w:color="auto" w:fill="auto"/>
            <w:noWrap/>
            <w:vAlign w:val="center"/>
          </w:tcPr>
          <w:p>
            <w:pPr>
              <w:pStyle w:val="63"/>
              <w:ind w:firstLine="0" w:firstLineChars="0"/>
              <w:rPr>
                <w:color w:val="000000" w:themeColor="text1"/>
                <w:highlight w:val="none"/>
              </w:rPr>
            </w:pPr>
            <w:r>
              <w:rPr>
                <w:rFonts w:hint="default"/>
                <w:color w:val="000000" w:themeColor="text1"/>
                <w:highlight w:val="none"/>
                <w:lang w:val="en-US" w:eastAsia="zh-CN"/>
              </w:rPr>
              <w:t>0.0328</w:t>
            </w:r>
          </w:p>
        </w:tc>
        <w:tc>
          <w:tcPr>
            <w:tcW w:w="829" w:type="pct"/>
            <w:shd w:val="clear" w:color="auto" w:fill="auto"/>
            <w:noWrap/>
            <w:vAlign w:val="center"/>
          </w:tcPr>
          <w:p>
            <w:pPr>
              <w:pStyle w:val="63"/>
              <w:ind w:firstLine="0" w:firstLineChars="0"/>
              <w:rPr>
                <w:color w:val="000000" w:themeColor="text1"/>
                <w:highlight w:val="none"/>
              </w:rPr>
            </w:pPr>
            <w:r>
              <w:rPr>
                <w:rFonts w:hint="default"/>
                <w:color w:val="000000" w:themeColor="text1"/>
                <w:highlight w:val="none"/>
                <w:lang w:val="en-US" w:eastAsia="zh-CN"/>
              </w:rPr>
              <w:t>0.0104</w:t>
            </w:r>
          </w:p>
        </w:tc>
        <w:tc>
          <w:tcPr>
            <w:tcW w:w="517" w:type="pct"/>
            <w:shd w:val="clear" w:color="auto" w:fill="auto"/>
            <w:noWrap/>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lang w:val="en-US" w:eastAsia="zh-CN"/>
              </w:rPr>
              <w:t>0.5465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1" w:type="pct"/>
            <w:vMerge w:val="continue"/>
            <w:vAlign w:val="center"/>
          </w:tcPr>
          <w:p>
            <w:pPr>
              <w:pStyle w:val="63"/>
              <w:rPr>
                <w:color w:val="000000" w:themeColor="text1"/>
                <w:highlight w:val="none"/>
              </w:rPr>
            </w:pPr>
          </w:p>
        </w:tc>
        <w:tc>
          <w:tcPr>
            <w:tcW w:w="1223" w:type="pct"/>
            <w:shd w:val="clear" w:color="auto" w:fill="auto"/>
            <w:vAlign w:val="center"/>
          </w:tcPr>
          <w:p>
            <w:pPr>
              <w:pStyle w:val="63"/>
              <w:ind w:firstLine="0" w:firstLineChars="0"/>
              <w:rPr>
                <w:color w:val="000000" w:themeColor="text1"/>
                <w:highlight w:val="none"/>
              </w:rPr>
            </w:pPr>
            <w:r>
              <w:rPr>
                <w:rFonts w:hint="eastAsia"/>
                <w:color w:val="000000" w:themeColor="text1"/>
                <w:kern w:val="0"/>
                <w:highlight w:val="none"/>
                <w:lang w:eastAsia="zh-CN"/>
              </w:rPr>
              <w:t>露天采场拟开采</w:t>
            </w:r>
          </w:p>
        </w:tc>
        <w:tc>
          <w:tcPr>
            <w:tcW w:w="907" w:type="pct"/>
            <w:shd w:val="clear" w:color="auto" w:fill="auto"/>
            <w:noWrap/>
            <w:vAlign w:val="center"/>
          </w:tcPr>
          <w:p>
            <w:pPr>
              <w:pStyle w:val="63"/>
              <w:ind w:firstLine="0" w:firstLineChars="0"/>
              <w:rPr>
                <w:color w:val="000000" w:themeColor="text1"/>
                <w:highlight w:val="none"/>
              </w:rPr>
            </w:pPr>
            <w:r>
              <w:rPr>
                <w:rFonts w:hint="eastAsia"/>
                <w:color w:val="000000" w:themeColor="text1"/>
                <w:kern w:val="0"/>
                <w:highlight w:val="none"/>
                <w:lang w:val="en-US" w:eastAsia="zh-CN"/>
              </w:rPr>
              <w:t>3.4321</w:t>
            </w:r>
          </w:p>
        </w:tc>
        <w:tc>
          <w:tcPr>
            <w:tcW w:w="949" w:type="pct"/>
            <w:shd w:val="clear" w:color="auto" w:fill="auto"/>
            <w:noWrap/>
            <w:vAlign w:val="center"/>
          </w:tcPr>
          <w:p>
            <w:pPr>
              <w:pStyle w:val="63"/>
              <w:ind w:firstLine="0" w:firstLineChars="0"/>
              <w:rPr>
                <w:color w:val="000000" w:themeColor="text1"/>
                <w:highlight w:val="none"/>
              </w:rPr>
            </w:pPr>
            <w:r>
              <w:rPr>
                <w:rFonts w:hint="eastAsia"/>
                <w:color w:val="000000" w:themeColor="text1"/>
                <w:kern w:val="0"/>
                <w:highlight w:val="none"/>
                <w:lang w:val="en-US" w:eastAsia="zh-CN"/>
              </w:rPr>
              <w:t>0</w:t>
            </w:r>
          </w:p>
        </w:tc>
        <w:tc>
          <w:tcPr>
            <w:tcW w:w="829" w:type="pct"/>
            <w:shd w:val="clear" w:color="auto" w:fill="auto"/>
            <w:noWrap/>
            <w:vAlign w:val="center"/>
          </w:tcPr>
          <w:p>
            <w:pPr>
              <w:pStyle w:val="63"/>
              <w:ind w:firstLine="0" w:firstLineChars="0"/>
              <w:rPr>
                <w:color w:val="000000" w:themeColor="text1"/>
                <w:highlight w:val="none"/>
              </w:rPr>
            </w:pPr>
            <w:r>
              <w:rPr>
                <w:rFonts w:hint="eastAsia"/>
                <w:color w:val="000000" w:themeColor="text1"/>
                <w:kern w:val="0"/>
                <w:highlight w:val="none"/>
                <w:lang w:val="en-US" w:eastAsia="zh-CN"/>
              </w:rPr>
              <w:t>0</w:t>
            </w:r>
          </w:p>
        </w:tc>
        <w:tc>
          <w:tcPr>
            <w:tcW w:w="517" w:type="pct"/>
            <w:shd w:val="clear" w:color="auto" w:fill="auto"/>
            <w:noWrap/>
            <w:vAlign w:val="center"/>
          </w:tcPr>
          <w:p>
            <w:pPr>
              <w:pStyle w:val="63"/>
              <w:ind w:firstLine="0" w:firstLineChars="0"/>
              <w:rPr>
                <w:color w:val="000000" w:themeColor="text1"/>
                <w:highlight w:val="none"/>
              </w:rPr>
            </w:pPr>
            <w:r>
              <w:rPr>
                <w:rFonts w:hint="eastAsia"/>
                <w:color w:val="000000" w:themeColor="text1"/>
                <w:kern w:val="0"/>
                <w:highlight w:val="none"/>
                <w:lang w:val="en-US" w:eastAsia="zh-CN"/>
              </w:rPr>
              <w:t>3.4321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5" w:type="pct"/>
            <w:gridSpan w:val="2"/>
            <w:shd w:val="clear" w:color="auto" w:fill="auto"/>
            <w:noWrap/>
            <w:vAlign w:val="center"/>
          </w:tcPr>
          <w:p>
            <w:pPr>
              <w:pStyle w:val="63"/>
              <w:ind w:firstLine="0" w:firstLineChars="0"/>
              <w:rPr>
                <w:color w:val="000000" w:themeColor="text1"/>
                <w:highlight w:val="none"/>
              </w:rPr>
            </w:pPr>
            <w:r>
              <w:rPr>
                <w:rFonts w:hint="eastAsia"/>
                <w:color w:val="000000" w:themeColor="text1"/>
                <w:highlight w:val="none"/>
              </w:rPr>
              <w:t>合计</w:t>
            </w:r>
          </w:p>
        </w:tc>
        <w:tc>
          <w:tcPr>
            <w:tcW w:w="1578" w:type="dxa"/>
            <w:shd w:val="clear" w:color="auto" w:fill="auto"/>
            <w:noWrap/>
            <w:vAlign w:val="center"/>
          </w:tcPr>
          <w:p>
            <w:pPr>
              <w:pStyle w:val="63"/>
              <w:ind w:firstLine="0" w:firstLineChars="0"/>
              <w:rPr>
                <w:color w:val="000000" w:themeColor="text1"/>
                <w:highlight w:val="none"/>
              </w:rPr>
            </w:pPr>
            <w:r>
              <w:rPr>
                <w:rFonts w:hint="default"/>
                <w:color w:val="000000" w:themeColor="text1"/>
                <w:kern w:val="0"/>
                <w:highlight w:val="none"/>
                <w:lang w:val="en-US" w:eastAsia="zh-CN"/>
              </w:rPr>
              <w:t>5.3732</w:t>
            </w:r>
          </w:p>
        </w:tc>
        <w:tc>
          <w:tcPr>
            <w:tcW w:w="1650" w:type="dxa"/>
            <w:shd w:val="clear" w:color="auto" w:fill="auto"/>
            <w:noWrap/>
            <w:vAlign w:val="center"/>
          </w:tcPr>
          <w:p>
            <w:pPr>
              <w:pStyle w:val="63"/>
              <w:ind w:firstLine="0" w:firstLineChars="0"/>
              <w:rPr>
                <w:color w:val="000000" w:themeColor="text1"/>
                <w:highlight w:val="none"/>
              </w:rPr>
            </w:pPr>
            <w:r>
              <w:rPr>
                <w:rFonts w:hint="default"/>
                <w:color w:val="000000" w:themeColor="text1"/>
                <w:kern w:val="0"/>
                <w:highlight w:val="none"/>
                <w:lang w:val="en-US" w:eastAsia="zh-CN"/>
              </w:rPr>
              <w:t>0.0328</w:t>
            </w:r>
          </w:p>
        </w:tc>
        <w:tc>
          <w:tcPr>
            <w:tcW w:w="1442" w:type="dxa"/>
            <w:shd w:val="clear" w:color="auto" w:fill="auto"/>
            <w:noWrap/>
            <w:vAlign w:val="center"/>
          </w:tcPr>
          <w:p>
            <w:pPr>
              <w:pStyle w:val="63"/>
              <w:ind w:firstLine="0" w:firstLineChars="0"/>
              <w:rPr>
                <w:color w:val="000000" w:themeColor="text1"/>
                <w:highlight w:val="none"/>
              </w:rPr>
            </w:pPr>
            <w:r>
              <w:rPr>
                <w:rFonts w:hint="default"/>
                <w:color w:val="000000" w:themeColor="text1"/>
                <w:kern w:val="0"/>
                <w:highlight w:val="none"/>
                <w:lang w:val="en-US" w:eastAsia="zh-CN"/>
              </w:rPr>
              <w:t>4.1184</w:t>
            </w:r>
          </w:p>
        </w:tc>
        <w:tc>
          <w:tcPr>
            <w:tcW w:w="900" w:type="dxa"/>
            <w:shd w:val="clear" w:color="auto" w:fill="auto"/>
            <w:noWrap/>
            <w:vAlign w:val="center"/>
          </w:tcPr>
          <w:p>
            <w:pPr>
              <w:pStyle w:val="63"/>
              <w:ind w:firstLine="0" w:firstLineChars="0"/>
              <w:rPr>
                <w:rFonts w:hint="eastAsia" w:eastAsia="宋体"/>
                <w:color w:val="000000" w:themeColor="text1"/>
                <w:highlight w:val="none"/>
                <w:lang w:eastAsia="zh-CN"/>
              </w:rPr>
            </w:pPr>
            <w:r>
              <w:rPr>
                <w:rFonts w:hint="default"/>
                <w:color w:val="000000" w:themeColor="text1"/>
                <w:kern w:val="0"/>
                <w:highlight w:val="none"/>
                <w:lang w:val="en-US" w:eastAsia="zh-CN"/>
              </w:rPr>
              <w:t>9.5244</w:t>
            </w:r>
          </w:p>
        </w:tc>
      </w:tr>
    </w:tbl>
    <w:p>
      <w:pPr>
        <w:pStyle w:val="5"/>
        <w:spacing w:before="82" w:after="82"/>
        <w:rPr>
          <w:color w:val="000000" w:themeColor="text1"/>
          <w:highlight w:val="none"/>
        </w:rPr>
      </w:pPr>
      <w:bookmarkStart w:id="173" w:name="_Toc26023"/>
      <w:r>
        <w:rPr>
          <w:color w:val="000000" w:themeColor="text1"/>
          <w:highlight w:val="none"/>
        </w:rPr>
        <w:t>4.2.2土地复垦适宜性评价</w:t>
      </w:r>
      <w:bookmarkEnd w:id="172"/>
      <w:bookmarkEnd w:id="173"/>
    </w:p>
    <w:p>
      <w:pPr>
        <w:rPr>
          <w:color w:val="000000" w:themeColor="text1"/>
          <w:highlight w:val="none"/>
        </w:rPr>
      </w:pPr>
      <w:r>
        <w:rPr>
          <w:color w:val="000000" w:themeColor="text1"/>
          <w:highlight w:val="none"/>
        </w:rPr>
        <w:t>项目待复垦土地的适宜性评价，是在对复垦区土地总体质量调查与拟损毁土地进行科学分析与预测的基础上，评价待复垦土地对于特定利用类型的适宜性，从而确定其合理的利用方式，为采取相应的复垦措施提供科学依据。</w:t>
      </w:r>
    </w:p>
    <w:p>
      <w:pPr>
        <w:rPr>
          <w:color w:val="000000" w:themeColor="text1"/>
          <w:highlight w:val="none"/>
        </w:rPr>
      </w:pPr>
      <w:r>
        <w:rPr>
          <w:color w:val="000000" w:themeColor="text1"/>
          <w:highlight w:val="none"/>
        </w:rPr>
        <w:t>1、土地复垦适宜性评价的原则和依据</w:t>
      </w:r>
    </w:p>
    <w:p>
      <w:pPr>
        <w:rPr>
          <w:b/>
          <w:color w:val="000000" w:themeColor="text1"/>
          <w:highlight w:val="none"/>
        </w:rPr>
      </w:pPr>
      <w:r>
        <w:rPr>
          <w:color w:val="000000" w:themeColor="text1"/>
          <w:highlight w:val="none"/>
        </w:rPr>
        <w:t>（1）评价原则</w:t>
      </w:r>
    </w:p>
    <w:p>
      <w:pPr>
        <w:rPr>
          <w:color w:val="000000" w:themeColor="text1"/>
          <w:highlight w:val="none"/>
        </w:rPr>
      </w:pPr>
      <w:r>
        <w:rPr>
          <w:color w:val="000000" w:themeColor="text1"/>
          <w:highlight w:val="none"/>
        </w:rPr>
        <w:fldChar w:fldCharType="begin"/>
      </w:r>
      <w:r>
        <w:rPr>
          <w:color w:val="000000" w:themeColor="text1"/>
          <w:highlight w:val="none"/>
        </w:rPr>
        <w:instrText xml:space="preserve"> = 1 \* GB3 </w:instrText>
      </w:r>
      <w:r>
        <w:rPr>
          <w:color w:val="000000" w:themeColor="text1"/>
          <w:highlight w:val="none"/>
        </w:rPr>
        <w:fldChar w:fldCharType="separate"/>
      </w:r>
      <w:r>
        <w:rPr>
          <w:rFonts w:hint="eastAsia" w:ascii="宋体" w:hAnsi="宋体" w:cs="宋体"/>
          <w:color w:val="000000" w:themeColor="text1"/>
          <w:highlight w:val="none"/>
        </w:rPr>
        <w:t>①</w:t>
      </w:r>
      <w:r>
        <w:rPr>
          <w:color w:val="000000" w:themeColor="text1"/>
          <w:highlight w:val="none"/>
        </w:rPr>
        <w:fldChar w:fldCharType="end"/>
      </w:r>
      <w:r>
        <w:rPr>
          <w:color w:val="000000" w:themeColor="text1"/>
          <w:highlight w:val="none"/>
        </w:rPr>
        <w:t>符合土地利用总体规划，并与其他规划相协调的原则</w:t>
      </w:r>
    </w:p>
    <w:p>
      <w:pPr>
        <w:rPr>
          <w:color w:val="000000" w:themeColor="text1"/>
          <w:highlight w:val="none"/>
        </w:rPr>
      </w:pPr>
      <w:r>
        <w:rPr>
          <w:color w:val="000000" w:themeColor="text1"/>
          <w:highlight w:val="none"/>
        </w:rPr>
        <w:t>在确定待复垦土地的适宜性时，不仅要考虑被评价土地的自然条件和损毁状况，还应考虑区域性的土地利用总体规划和农业规划，统筹考虑本地区的社会经济和矿区的生产建设发展，避免盲目投资、过度超前浪费土地资源。</w:t>
      </w:r>
    </w:p>
    <w:p>
      <w:pPr>
        <w:rPr>
          <w:color w:val="000000" w:themeColor="text1"/>
          <w:highlight w:val="none"/>
        </w:rPr>
      </w:pPr>
      <w:r>
        <w:rPr>
          <w:color w:val="000000" w:themeColor="text1"/>
          <w:highlight w:val="none"/>
        </w:rPr>
        <w:fldChar w:fldCharType="begin"/>
      </w:r>
      <w:r>
        <w:rPr>
          <w:color w:val="000000" w:themeColor="text1"/>
          <w:highlight w:val="none"/>
        </w:rPr>
        <w:instrText xml:space="preserve"> = 2 \* GB3 </w:instrText>
      </w:r>
      <w:r>
        <w:rPr>
          <w:color w:val="000000" w:themeColor="text1"/>
          <w:highlight w:val="none"/>
        </w:rPr>
        <w:fldChar w:fldCharType="separate"/>
      </w:r>
      <w:r>
        <w:rPr>
          <w:rFonts w:hint="eastAsia" w:ascii="宋体" w:hAnsi="宋体" w:cs="宋体"/>
          <w:color w:val="000000" w:themeColor="text1"/>
          <w:highlight w:val="none"/>
        </w:rPr>
        <w:t>②</w:t>
      </w:r>
      <w:r>
        <w:rPr>
          <w:color w:val="000000" w:themeColor="text1"/>
          <w:highlight w:val="none"/>
        </w:rPr>
        <w:fldChar w:fldCharType="end"/>
      </w:r>
      <w:r>
        <w:rPr>
          <w:color w:val="000000" w:themeColor="text1"/>
          <w:highlight w:val="none"/>
        </w:rPr>
        <w:t>因地制宜，农用地优先的原则</w:t>
      </w:r>
    </w:p>
    <w:p>
      <w:pPr>
        <w:rPr>
          <w:color w:val="000000" w:themeColor="text1"/>
          <w:highlight w:val="none"/>
        </w:rPr>
      </w:pPr>
      <w:r>
        <w:rPr>
          <w:color w:val="000000" w:themeColor="text1"/>
          <w:highlight w:val="none"/>
        </w:rPr>
        <w:t>土地利用受周围环境条件制约，土地利用方式必须有与环境特征相适应的配套设施。根据被损毁前后土地拥有的基础设施，因地制宜，扬长避短，发挥优势，确定合理的利用方向。复垦后的土地，根据土地利用总体规划和生态建设规划，尊重权利人意愿的基础上，宜农则农、宜林则林，宜牧则牧、宜渔则渔。</w:t>
      </w:r>
    </w:p>
    <w:p>
      <w:pPr>
        <w:rPr>
          <w:color w:val="000000" w:themeColor="text1"/>
          <w:highlight w:val="none"/>
        </w:rPr>
      </w:pPr>
      <w:r>
        <w:rPr>
          <w:color w:val="000000" w:themeColor="text1"/>
          <w:highlight w:val="none"/>
        </w:rPr>
        <w:fldChar w:fldCharType="begin"/>
      </w:r>
      <w:r>
        <w:rPr>
          <w:color w:val="000000" w:themeColor="text1"/>
          <w:highlight w:val="none"/>
        </w:rPr>
        <w:instrText xml:space="preserve"> = 3 \* GB3 </w:instrText>
      </w:r>
      <w:r>
        <w:rPr>
          <w:color w:val="000000" w:themeColor="text1"/>
          <w:highlight w:val="none"/>
        </w:rPr>
        <w:fldChar w:fldCharType="separate"/>
      </w:r>
      <w:r>
        <w:rPr>
          <w:rFonts w:hint="eastAsia" w:ascii="宋体" w:hAnsi="宋体" w:cs="宋体"/>
          <w:color w:val="000000" w:themeColor="text1"/>
          <w:highlight w:val="none"/>
        </w:rPr>
        <w:t>③</w:t>
      </w:r>
      <w:r>
        <w:rPr>
          <w:color w:val="000000" w:themeColor="text1"/>
          <w:highlight w:val="none"/>
        </w:rPr>
        <w:fldChar w:fldCharType="end"/>
      </w:r>
      <w:r>
        <w:rPr>
          <w:color w:val="000000" w:themeColor="text1"/>
          <w:highlight w:val="none"/>
        </w:rPr>
        <w:t>自然因素和社会经济因素相结合原则</w:t>
      </w:r>
    </w:p>
    <w:p>
      <w:pPr>
        <w:rPr>
          <w:color w:val="000000" w:themeColor="text1"/>
          <w:highlight w:val="none"/>
        </w:rPr>
      </w:pPr>
      <w:r>
        <w:rPr>
          <w:color w:val="000000" w:themeColor="text1"/>
          <w:highlight w:val="none"/>
        </w:rPr>
        <w:t>对于复垦区被损毁土地复垦适宜性评价，既要考虑它的自然属性（如土壤、气候、地貌、损毁程度等），又要考虑它的社会属性（如种植习惯、业主意愿、社会需求和资金来源等），二者相结合确定复垦利用方向。</w:t>
      </w:r>
    </w:p>
    <w:p>
      <w:pPr>
        <w:rPr>
          <w:color w:val="000000" w:themeColor="text1"/>
          <w:highlight w:val="none"/>
        </w:rPr>
      </w:pPr>
      <w:r>
        <w:rPr>
          <w:rFonts w:hint="eastAsia" w:ascii="宋体" w:hAnsi="宋体" w:cs="宋体"/>
          <w:color w:val="000000" w:themeColor="text1"/>
          <w:highlight w:val="none"/>
        </w:rPr>
        <w:t>④</w:t>
      </w:r>
      <w:r>
        <w:rPr>
          <w:color w:val="000000" w:themeColor="text1"/>
          <w:highlight w:val="none"/>
        </w:rPr>
        <w:t>主导限制因素与综合平衡原则</w:t>
      </w:r>
    </w:p>
    <w:p>
      <w:pPr>
        <w:rPr>
          <w:color w:val="000000" w:themeColor="text1"/>
          <w:highlight w:val="none"/>
        </w:rPr>
      </w:pPr>
      <w:r>
        <w:rPr>
          <w:color w:val="000000" w:themeColor="text1"/>
          <w:highlight w:val="none"/>
        </w:rPr>
        <w:t>影响损毁土地复垦利用的因素很多，如塌陷、积水、土源、坡度、土壤肥力以及排灌条件等。根据项目区自然环境、土地利用和土地损毁情况，分析影响损毁土地复垦利用的主导性限制因素，同时也应兼顾其他限制因素。</w:t>
      </w:r>
    </w:p>
    <w:p>
      <w:pPr>
        <w:rPr>
          <w:color w:val="000000" w:themeColor="text1"/>
          <w:highlight w:val="none"/>
        </w:rPr>
      </w:pPr>
      <w:r>
        <w:rPr>
          <w:rFonts w:hint="eastAsia" w:ascii="宋体" w:hAnsi="宋体" w:cs="宋体"/>
          <w:color w:val="000000" w:themeColor="text1"/>
          <w:highlight w:val="none"/>
        </w:rPr>
        <w:t>⑤</w:t>
      </w:r>
      <w:r>
        <w:rPr>
          <w:color w:val="000000" w:themeColor="text1"/>
          <w:highlight w:val="none"/>
        </w:rPr>
        <w:t>综合效益最佳原则</w:t>
      </w:r>
    </w:p>
    <w:p>
      <w:pPr>
        <w:rPr>
          <w:color w:val="000000" w:themeColor="text1"/>
          <w:highlight w:val="none"/>
        </w:rPr>
      </w:pPr>
      <w:r>
        <w:rPr>
          <w:color w:val="000000" w:themeColor="text1"/>
          <w:highlight w:val="none"/>
        </w:rPr>
        <w:t>在确定土地的复垦方向是，应首先考虑其最佳综合效益，选择最佳的利用方向，根据土地状况是否适宜复垦为某种用途的土地，或以最小的费用投入取得最佳的经济、社会和生态环境效益，同时应注意发挥整体效益。</w:t>
      </w:r>
    </w:p>
    <w:p>
      <w:pPr>
        <w:rPr>
          <w:color w:val="000000" w:themeColor="text1"/>
          <w:highlight w:val="none"/>
        </w:rPr>
      </w:pPr>
      <w:r>
        <w:rPr>
          <w:rFonts w:hint="eastAsia" w:ascii="宋体" w:hAnsi="宋体" w:cs="宋体"/>
          <w:color w:val="000000" w:themeColor="text1"/>
          <w:highlight w:val="none"/>
        </w:rPr>
        <w:t>⑥</w:t>
      </w:r>
      <w:r>
        <w:rPr>
          <w:color w:val="000000" w:themeColor="text1"/>
          <w:highlight w:val="none"/>
        </w:rPr>
        <w:t>动态和土地可持续利用原则</w:t>
      </w:r>
    </w:p>
    <w:p>
      <w:pPr>
        <w:rPr>
          <w:color w:val="000000" w:themeColor="text1"/>
          <w:highlight w:val="none"/>
        </w:rPr>
      </w:pPr>
      <w:r>
        <w:rPr>
          <w:color w:val="000000" w:themeColor="text1"/>
          <w:highlight w:val="none"/>
        </w:rPr>
        <w:t>复垦土地损毁是一个动态过程，复垦土地的适宜性也随损毁等级与过程而变化，具有动态性，在进行复垦土地的适宜性评价时，应考虑矿区工农业发展的前景、科技进步以及生产和生活水平所带来的社会需求方面的变化，确定复垦土地的开发利用方向。复垦后的土地应既能满足保护生物多样性和生态环境的需要，又能满足人类对土地的需求，应保证生态安全和人类社会可持续发展。</w:t>
      </w:r>
    </w:p>
    <w:p>
      <w:pPr>
        <w:rPr>
          <w:color w:val="000000" w:themeColor="text1"/>
          <w:highlight w:val="none"/>
        </w:rPr>
      </w:pPr>
      <w:r>
        <w:rPr>
          <w:rFonts w:hint="eastAsia" w:ascii="宋体" w:hAnsi="宋体" w:cs="宋体"/>
          <w:color w:val="000000" w:themeColor="text1"/>
          <w:highlight w:val="none"/>
        </w:rPr>
        <w:t>⑦</w:t>
      </w:r>
      <w:r>
        <w:rPr>
          <w:color w:val="000000" w:themeColor="text1"/>
          <w:highlight w:val="none"/>
        </w:rPr>
        <w:t>经济可行与技术合理性原则</w:t>
      </w:r>
    </w:p>
    <w:p>
      <w:pPr>
        <w:rPr>
          <w:color w:val="000000" w:themeColor="text1"/>
          <w:highlight w:val="none"/>
        </w:rPr>
      </w:pPr>
      <w:r>
        <w:rPr>
          <w:color w:val="000000" w:themeColor="text1"/>
          <w:highlight w:val="none"/>
        </w:rPr>
        <w:t>土地复垦所需的费用应在保证复垦目标完整、复垦效果达到复垦标准的前提下，兼顾土地复垦成本，尽可能减轻企业负担。复垦技术应能满足复垦工作顺利开展、复垦效果达到复垦质量的要求。</w:t>
      </w:r>
    </w:p>
    <w:p>
      <w:pPr>
        <w:rPr>
          <w:b/>
          <w:color w:val="000000" w:themeColor="text1"/>
          <w:highlight w:val="none"/>
        </w:rPr>
      </w:pPr>
      <w:r>
        <w:rPr>
          <w:color w:val="000000" w:themeColor="text1"/>
          <w:highlight w:val="none"/>
        </w:rPr>
        <w:t>（2）评价依据</w:t>
      </w:r>
    </w:p>
    <w:p>
      <w:pPr>
        <w:rPr>
          <w:color w:val="000000" w:themeColor="text1"/>
          <w:highlight w:val="none"/>
        </w:rPr>
      </w:pPr>
      <w:r>
        <w:rPr>
          <w:color w:val="000000" w:themeColor="text1"/>
          <w:highlight w:val="none"/>
        </w:rPr>
        <w:t>土地复垦适宜性评价就是评定损毁土地在复垦后的用途以及适宜程度，它是进行土地利用决策，确定土地利用方向的基本依据。进行土地复垦适宜性评价，就是在结合项目区自然条件、社会经济状况以及土地利用状况的基础上，依据国家和地方的法律法规及相关规划，综合考虑土地损毁分析结果、公众参与意见以及周边类似项目的复垦经验等，采取切实可行的办法，确定复垦利用方向。</w:t>
      </w:r>
    </w:p>
    <w:p>
      <w:pPr>
        <w:rPr>
          <w:color w:val="000000" w:themeColor="text1"/>
          <w:highlight w:val="none"/>
        </w:rPr>
      </w:pPr>
      <w:r>
        <w:rPr>
          <w:color w:val="000000" w:themeColor="text1"/>
          <w:highlight w:val="none"/>
        </w:rPr>
        <w:t>本次土地复垦适宜性评价的主要根据是：</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矿区所在地的县级土地利用现状及国家有关政策和法规；</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矿区土地损毁预测结果；</w:t>
      </w:r>
    </w:p>
    <w:p>
      <w:pPr>
        <w:rPr>
          <w:color w:val="000000" w:themeColor="text1"/>
          <w:highlight w:val="none"/>
        </w:rPr>
      </w:pPr>
      <w:r>
        <w:rPr>
          <w:rFonts w:hint="eastAsia" w:ascii="宋体" w:hAnsi="宋体" w:cs="宋体"/>
          <w:color w:val="000000" w:themeColor="text1"/>
          <w:highlight w:val="none"/>
        </w:rPr>
        <w:t>③</w:t>
      </w:r>
      <w:r>
        <w:rPr>
          <w:color w:val="000000" w:themeColor="text1"/>
          <w:highlight w:val="none"/>
        </w:rPr>
        <w:t>其他行业规范和法律法规（详见前言编制依据）</w:t>
      </w:r>
    </w:p>
    <w:p>
      <w:pPr>
        <w:rPr>
          <w:color w:val="000000" w:themeColor="text1"/>
          <w:highlight w:val="none"/>
        </w:rPr>
      </w:pPr>
      <w:r>
        <w:rPr>
          <w:color w:val="000000" w:themeColor="text1"/>
          <w:highlight w:val="none"/>
        </w:rPr>
        <w:t>2、评价范围和初步复垦方向的确定</w:t>
      </w:r>
    </w:p>
    <w:p>
      <w:pPr>
        <w:rPr>
          <w:color w:val="000000" w:themeColor="text1"/>
          <w:highlight w:val="none"/>
        </w:rPr>
      </w:pPr>
      <w:r>
        <w:rPr>
          <w:color w:val="000000" w:themeColor="text1"/>
          <w:highlight w:val="none"/>
        </w:rPr>
        <w:t>评价范围为复垦责任范围。</w:t>
      </w:r>
    </w:p>
    <w:p>
      <w:pPr>
        <w:rPr>
          <w:color w:val="000000" w:themeColor="text1"/>
          <w:highlight w:val="none"/>
        </w:rPr>
      </w:pPr>
      <w:r>
        <w:rPr>
          <w:color w:val="000000" w:themeColor="text1"/>
          <w:highlight w:val="none"/>
        </w:rPr>
        <w:t>土地复垦适宜性评价是以特定复垦方向为前提。根据土地利用总体规划，并与生态环境保护规划相衔接，从矿山实际出发，通过对自然因素、社会经济因素、政策因素和公众意愿的分析，确定初步复垦方向。</w:t>
      </w:r>
    </w:p>
    <w:p>
      <w:pPr>
        <w:rPr>
          <w:color w:val="000000" w:themeColor="text1"/>
          <w:highlight w:val="none"/>
        </w:rPr>
      </w:pPr>
      <w:r>
        <w:rPr>
          <w:color w:val="000000" w:themeColor="text1"/>
          <w:highlight w:val="none"/>
        </w:rPr>
        <w:t>（1）政策因素分析</w:t>
      </w:r>
    </w:p>
    <w:p>
      <w:pPr>
        <w:rPr>
          <w:color w:val="000000" w:themeColor="text1"/>
          <w:highlight w:val="none"/>
        </w:rPr>
      </w:pPr>
      <w:r>
        <w:rPr>
          <w:color w:val="000000" w:themeColor="text1"/>
          <w:highlight w:val="none"/>
        </w:rPr>
        <w:t>矿区的土地复垦工作应本着因地制宜、合理利用的原则，坚持矿区开发与保护、开采与复垦相结合，实现土地资源的永续利用，并与社会、经济、环境协调发展。在综合考虑待复垦区内的实际情况和采矿损毁程度后，确定待复垦区复垦方向优先考虑耕地，对不适宜复垦为耕地区域考虑复垦为林、草地。</w:t>
      </w:r>
    </w:p>
    <w:p>
      <w:pPr>
        <w:rPr>
          <w:color w:val="000000" w:themeColor="text1"/>
          <w:highlight w:val="none"/>
        </w:rPr>
      </w:pPr>
      <w:r>
        <w:rPr>
          <w:color w:val="000000" w:themeColor="text1"/>
          <w:highlight w:val="none"/>
        </w:rPr>
        <w:t>（2）公众意愿分析</w:t>
      </w:r>
    </w:p>
    <w:p>
      <w:pPr>
        <w:rPr>
          <w:color w:val="000000" w:themeColor="text1"/>
          <w:highlight w:val="none"/>
        </w:rPr>
      </w:pPr>
      <w:r>
        <w:rPr>
          <w:color w:val="000000" w:themeColor="text1"/>
          <w:highlight w:val="none"/>
        </w:rPr>
        <w:t>各级专家领导的意见以及矿区公众的意见和态度对复垦适宜性评价工作的开展具有十分重要的意义。本方案编制过程中，遵循公众全面参与、全程参与的原则，为使评价工作更明主化、公众化，特向广大公众征求意见。</w:t>
      </w:r>
    </w:p>
    <w:p>
      <w:pPr>
        <w:rPr>
          <w:color w:val="000000" w:themeColor="text1"/>
          <w:highlight w:val="none"/>
        </w:rPr>
      </w:pPr>
      <w:r>
        <w:rPr>
          <w:color w:val="000000" w:themeColor="text1"/>
          <w:highlight w:val="none"/>
        </w:rPr>
        <w:t>本项目编制单位技术人员在矿山工作人员的陪同下走访了矿区所在地相关主管部门（</w:t>
      </w:r>
      <w:r>
        <w:rPr>
          <w:rFonts w:hint="eastAsia"/>
          <w:color w:val="000000" w:themeColor="text1"/>
          <w:highlight w:val="none"/>
        </w:rPr>
        <w:t>旺苍县自然资源局</w:t>
      </w:r>
      <w:r>
        <w:rPr>
          <w:color w:val="000000" w:themeColor="text1"/>
          <w:highlight w:val="none"/>
        </w:rPr>
        <w:t>等）与土地权属人，就复垦方向、复垦目标等进行了交流与讨论。得到的意见和建议归纳后大致如下：</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注重复垦区的生态修复，与周围景观一致；</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建议业主单位在复垦过程中要注意植被的恢复，在植物的选择方面，建议选择当地物种且在本区域内广泛分布的品种；</w:t>
      </w:r>
    </w:p>
    <w:p>
      <w:pPr>
        <w:rPr>
          <w:color w:val="000000" w:themeColor="text1"/>
          <w:highlight w:val="none"/>
        </w:rPr>
      </w:pPr>
      <w:r>
        <w:rPr>
          <w:rFonts w:hint="eastAsia" w:ascii="宋体" w:hAnsi="宋体" w:cs="宋体"/>
          <w:color w:val="000000" w:themeColor="text1"/>
          <w:highlight w:val="none"/>
        </w:rPr>
        <w:t>③</w:t>
      </w:r>
      <w:r>
        <w:rPr>
          <w:color w:val="000000" w:themeColor="text1"/>
          <w:highlight w:val="none"/>
        </w:rPr>
        <w:t>开采要在保证居民正常生活为前提下进行；</w:t>
      </w:r>
    </w:p>
    <w:p>
      <w:pPr>
        <w:rPr>
          <w:color w:val="000000" w:themeColor="text1"/>
          <w:highlight w:val="none"/>
        </w:rPr>
      </w:pPr>
      <w:r>
        <w:rPr>
          <w:rFonts w:hint="eastAsia" w:ascii="宋体" w:hAnsi="宋体" w:cs="宋体"/>
          <w:color w:val="000000" w:themeColor="text1"/>
          <w:highlight w:val="none"/>
        </w:rPr>
        <w:t>④</w:t>
      </w:r>
      <w:r>
        <w:rPr>
          <w:color w:val="000000" w:themeColor="text1"/>
          <w:highlight w:val="none"/>
        </w:rPr>
        <w:t>复垦后使当地居民的生活环境得到恢复和改善。</w:t>
      </w:r>
    </w:p>
    <w:p>
      <w:pPr>
        <w:rPr>
          <w:color w:val="000000" w:themeColor="text1"/>
          <w:highlight w:val="none"/>
        </w:rPr>
      </w:pPr>
      <w:r>
        <w:rPr>
          <w:color w:val="000000" w:themeColor="text1"/>
          <w:highlight w:val="none"/>
        </w:rPr>
        <w:t>（3）自然和社会经济因素分析</w:t>
      </w:r>
    </w:p>
    <w:p>
      <w:pPr>
        <w:rPr>
          <w:color w:val="000000" w:themeColor="text1"/>
          <w:highlight w:val="none"/>
        </w:rPr>
      </w:pPr>
      <w:r>
        <w:rPr>
          <w:color w:val="000000" w:themeColor="text1"/>
          <w:highlight w:val="none"/>
        </w:rPr>
        <w:t>据调查，矿区属</w:t>
      </w:r>
      <w:r>
        <w:rPr>
          <w:rFonts w:hint="eastAsia"/>
          <w:color w:val="000000" w:themeColor="text1"/>
          <w:highlight w:val="none"/>
        </w:rPr>
        <w:t>广元市旺苍县</w:t>
      </w:r>
      <w:r>
        <w:rPr>
          <w:color w:val="000000" w:themeColor="text1"/>
          <w:highlight w:val="none"/>
        </w:rPr>
        <w:t>所辖。村民房屋大多为两层砖混结构的楼房，少数为一层砖混结构的平房，极少数为一层砖墙或土墙瓦房或草房。矿区附近农业以种植业为主，主要粮食作物有水稻、玉米、马铃薯等。经济作物有油菜等。</w:t>
      </w:r>
    </w:p>
    <w:p>
      <w:pPr>
        <w:rPr>
          <w:color w:val="000000" w:themeColor="text1"/>
          <w:highlight w:val="none"/>
        </w:rPr>
      </w:pPr>
      <w:r>
        <w:rPr>
          <w:color w:val="000000" w:themeColor="text1"/>
          <w:highlight w:val="none"/>
        </w:rPr>
        <w:t>矿区内的乔木有青冈树、马尾松、</w:t>
      </w:r>
      <w:r>
        <w:rPr>
          <w:rFonts w:hint="eastAsia"/>
          <w:color w:val="000000" w:themeColor="text1"/>
          <w:highlight w:val="none"/>
        </w:rPr>
        <w:t>柏树等</w:t>
      </w:r>
      <w:r>
        <w:rPr>
          <w:color w:val="000000" w:themeColor="text1"/>
          <w:highlight w:val="none"/>
        </w:rPr>
        <w:t>。灌木丛有火棘，草本植物有菊科、蕨类、车前草、葛藤、小蓟等，植被覆盖率约70%。农作物有水稻、玉米、马铃薯等。在取得经济效益的同时，也要为地方的生态环境保护尽到应有的义务。</w:t>
      </w:r>
    </w:p>
    <w:p>
      <w:pPr>
        <w:rPr>
          <w:color w:val="000000" w:themeColor="text1"/>
          <w:highlight w:val="none"/>
        </w:rPr>
      </w:pPr>
      <w:r>
        <w:rPr>
          <w:color w:val="000000" w:themeColor="text1"/>
          <w:highlight w:val="none"/>
        </w:rPr>
        <w:t>综上分析，本方案土地复垦尽最大可能恢复损毁土地到原用地类型，保证区域生态环境不恶化，保持水土，涵养土源，保护当地生态系统。因此，复垦初步方向考虑与原地形以及周边环境的协调性，复垦地类主要为旱地、</w:t>
      </w:r>
      <w:r>
        <w:rPr>
          <w:rFonts w:hint="eastAsia"/>
          <w:color w:val="000000" w:themeColor="text1"/>
          <w:highlight w:val="none"/>
          <w:lang w:eastAsia="zh-CN"/>
        </w:rPr>
        <w:t>乔木林地</w:t>
      </w:r>
      <w:r>
        <w:rPr>
          <w:color w:val="000000" w:themeColor="text1"/>
          <w:highlight w:val="none"/>
        </w:rPr>
        <w:t>和其他草地。</w:t>
      </w:r>
    </w:p>
    <w:p>
      <w:pPr>
        <w:rPr>
          <w:color w:val="000000" w:themeColor="text1"/>
          <w:highlight w:val="none"/>
        </w:rPr>
      </w:pPr>
      <w:bookmarkStart w:id="174" w:name="_Toc488715867"/>
      <w:r>
        <w:rPr>
          <w:color w:val="000000" w:themeColor="text1"/>
          <w:highlight w:val="none"/>
        </w:rPr>
        <w:t>3、评价单元划分</w:t>
      </w:r>
      <w:bookmarkEnd w:id="174"/>
    </w:p>
    <w:p>
      <w:pPr>
        <w:rPr>
          <w:color w:val="000000" w:themeColor="text1"/>
          <w:highlight w:val="none"/>
        </w:rPr>
      </w:pPr>
      <w:r>
        <w:rPr>
          <w:color w:val="000000" w:themeColor="text1"/>
          <w:highlight w:val="none"/>
        </w:rPr>
        <w:t>本方案主要以土地损毁预测图作为评价的基础图件，考虑土地损毁程度和现场实际情况，然后根据不同的土地类别情况，综合分析被叠置要素之间的相互作用和联系来进行划分。本方案涉及的复垦对象为露天采场、</w:t>
      </w:r>
      <w:r>
        <w:rPr>
          <w:rFonts w:hint="eastAsia"/>
          <w:color w:val="000000" w:themeColor="text1"/>
          <w:highlight w:val="none"/>
        </w:rPr>
        <w:t>炸药库</w:t>
      </w:r>
      <w:r>
        <w:rPr>
          <w:color w:val="000000" w:themeColor="text1"/>
          <w:highlight w:val="none"/>
        </w:rPr>
        <w:t>、</w:t>
      </w:r>
      <w:r>
        <w:rPr>
          <w:rFonts w:hint="eastAsia"/>
          <w:color w:val="000000" w:themeColor="text1"/>
          <w:highlight w:val="none"/>
        </w:rPr>
        <w:t>值班室</w:t>
      </w:r>
      <w:r>
        <w:rPr>
          <w:color w:val="000000" w:themeColor="text1"/>
          <w:highlight w:val="none"/>
        </w:rPr>
        <w:t>、</w:t>
      </w:r>
      <w:r>
        <w:rPr>
          <w:rFonts w:hint="eastAsia"/>
          <w:color w:val="000000" w:themeColor="text1"/>
          <w:highlight w:val="none"/>
        </w:rPr>
        <w:t>加工区</w:t>
      </w:r>
      <w:r>
        <w:rPr>
          <w:color w:val="000000" w:themeColor="text1"/>
          <w:highlight w:val="none"/>
        </w:rPr>
        <w:t>、</w:t>
      </w:r>
      <w:r>
        <w:rPr>
          <w:rFonts w:hint="eastAsia"/>
          <w:color w:val="000000" w:themeColor="text1"/>
          <w:highlight w:val="none"/>
        </w:rPr>
        <w:t>项目部</w:t>
      </w:r>
      <w:r>
        <w:rPr>
          <w:color w:val="000000" w:themeColor="text1"/>
          <w:highlight w:val="none"/>
        </w:rPr>
        <w:t>、</w:t>
      </w:r>
      <w:r>
        <w:rPr>
          <w:rFonts w:hint="eastAsia"/>
          <w:color w:val="000000" w:themeColor="text1"/>
          <w:highlight w:val="none"/>
        </w:rPr>
        <w:t>矿山公路</w:t>
      </w:r>
      <w:r>
        <w:rPr>
          <w:color w:val="000000" w:themeColor="text1"/>
          <w:highlight w:val="none"/>
        </w:rPr>
        <w:t>、</w:t>
      </w:r>
      <w:r>
        <w:rPr>
          <w:rFonts w:hint="eastAsia"/>
          <w:color w:val="000000" w:themeColor="text1"/>
          <w:highlight w:val="none"/>
        </w:rPr>
        <w:t>调车平台</w:t>
      </w:r>
      <w:r>
        <w:rPr>
          <w:color w:val="000000" w:themeColor="text1"/>
          <w:highlight w:val="none"/>
        </w:rPr>
        <w:t>。</w:t>
      </w:r>
    </w:p>
    <w:p>
      <w:pPr>
        <w:rPr>
          <w:color w:val="000000" w:themeColor="text1"/>
          <w:highlight w:val="none"/>
        </w:rPr>
      </w:pPr>
      <w:r>
        <w:rPr>
          <w:color w:val="000000" w:themeColor="text1"/>
          <w:highlight w:val="none"/>
        </w:rPr>
        <w:t>根据不同对象的损毁特点和最终的形态特点，将复垦区划分为</w:t>
      </w:r>
      <w:r>
        <w:rPr>
          <w:rFonts w:hint="eastAsia"/>
          <w:color w:val="000000" w:themeColor="text1"/>
          <w:highlight w:val="none"/>
        </w:rPr>
        <w:t>露天采场平台、露天采场边坡</w:t>
      </w:r>
      <w:r>
        <w:rPr>
          <w:color w:val="000000" w:themeColor="text1"/>
          <w:highlight w:val="none"/>
        </w:rPr>
        <w:t>、</w:t>
      </w:r>
      <w:r>
        <w:rPr>
          <w:rFonts w:hint="eastAsia"/>
          <w:color w:val="000000" w:themeColor="text1"/>
          <w:highlight w:val="none"/>
        </w:rPr>
        <w:t>和矿山道路</w:t>
      </w:r>
      <w:r>
        <w:rPr>
          <w:rFonts w:hint="eastAsia"/>
          <w:color w:val="000000" w:themeColor="text1"/>
          <w:highlight w:val="none"/>
          <w:lang w:val="en-US" w:eastAsia="zh-CN"/>
        </w:rPr>
        <w:t>3</w:t>
      </w:r>
      <w:r>
        <w:rPr>
          <w:color w:val="000000" w:themeColor="text1"/>
          <w:highlight w:val="none"/>
        </w:rPr>
        <w:t>个评价单元。单元划分情况见表4-</w:t>
      </w:r>
      <w:r>
        <w:rPr>
          <w:rFonts w:hint="eastAsia"/>
          <w:color w:val="000000" w:themeColor="text1"/>
          <w:highlight w:val="none"/>
        </w:rPr>
        <w:t>3</w:t>
      </w:r>
      <w:r>
        <w:rPr>
          <w:color w:val="000000" w:themeColor="text1"/>
          <w:highlight w:val="none"/>
        </w:rPr>
        <w:t>。</w:t>
      </w:r>
    </w:p>
    <w:p>
      <w:pPr>
        <w:pStyle w:val="67"/>
        <w:rPr>
          <w:color w:val="000000" w:themeColor="text1"/>
          <w:highlight w:val="none"/>
        </w:rPr>
      </w:pPr>
      <w:r>
        <w:rPr>
          <w:color w:val="000000" w:themeColor="text1"/>
          <w:highlight w:val="none"/>
        </w:rPr>
        <w:t>表4-</w:t>
      </w:r>
      <w:r>
        <w:rPr>
          <w:rFonts w:hint="eastAsia"/>
          <w:color w:val="000000" w:themeColor="text1"/>
          <w:highlight w:val="none"/>
        </w:rPr>
        <w:t xml:space="preserve">3  </w:t>
      </w:r>
      <w:r>
        <w:rPr>
          <w:color w:val="000000" w:themeColor="text1"/>
          <w:highlight w:val="none"/>
        </w:rPr>
        <w:t>评价单元划分表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174"/>
        <w:gridCol w:w="2618"/>
        <w:gridCol w:w="1402"/>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pct"/>
            <w:vAlign w:val="center"/>
          </w:tcPr>
          <w:p>
            <w:pPr>
              <w:pStyle w:val="63"/>
              <w:rPr>
                <w:color w:val="000000" w:themeColor="text1"/>
                <w:highlight w:val="none"/>
              </w:rPr>
            </w:pPr>
            <w:r>
              <w:rPr>
                <w:color w:val="000000" w:themeColor="text1"/>
                <w:highlight w:val="none"/>
              </w:rPr>
              <w:t>序号</w:t>
            </w:r>
          </w:p>
        </w:tc>
        <w:tc>
          <w:tcPr>
            <w:tcW w:w="689" w:type="pct"/>
            <w:vAlign w:val="center"/>
          </w:tcPr>
          <w:p>
            <w:pPr>
              <w:pStyle w:val="63"/>
              <w:rPr>
                <w:color w:val="000000" w:themeColor="text1"/>
                <w:highlight w:val="none"/>
              </w:rPr>
            </w:pPr>
            <w:r>
              <w:rPr>
                <w:color w:val="000000" w:themeColor="text1"/>
                <w:highlight w:val="none"/>
              </w:rPr>
              <w:t>单元编号</w:t>
            </w:r>
          </w:p>
        </w:tc>
        <w:tc>
          <w:tcPr>
            <w:tcW w:w="1537" w:type="pct"/>
            <w:vAlign w:val="center"/>
          </w:tcPr>
          <w:p>
            <w:pPr>
              <w:pStyle w:val="63"/>
              <w:rPr>
                <w:color w:val="000000" w:themeColor="text1"/>
                <w:highlight w:val="none"/>
              </w:rPr>
            </w:pPr>
            <w:r>
              <w:rPr>
                <w:color w:val="000000" w:themeColor="text1"/>
                <w:highlight w:val="none"/>
              </w:rPr>
              <w:t>评价单元</w:t>
            </w:r>
          </w:p>
        </w:tc>
        <w:tc>
          <w:tcPr>
            <w:tcW w:w="823" w:type="pct"/>
            <w:vAlign w:val="center"/>
          </w:tcPr>
          <w:p>
            <w:pPr>
              <w:pStyle w:val="63"/>
              <w:rPr>
                <w:color w:val="000000" w:themeColor="text1"/>
                <w:highlight w:val="none"/>
              </w:rPr>
            </w:pPr>
            <w:r>
              <w:rPr>
                <w:color w:val="000000" w:themeColor="text1"/>
                <w:highlight w:val="none"/>
              </w:rPr>
              <w:t>损毁方式</w:t>
            </w:r>
          </w:p>
        </w:tc>
        <w:tc>
          <w:tcPr>
            <w:tcW w:w="1290" w:type="pct"/>
            <w:vAlign w:val="center"/>
          </w:tcPr>
          <w:p>
            <w:pPr>
              <w:pStyle w:val="63"/>
              <w:rPr>
                <w:color w:val="000000" w:themeColor="text1"/>
                <w:highlight w:val="none"/>
              </w:rPr>
            </w:pPr>
            <w:r>
              <w:rPr>
                <w:color w:val="000000" w:themeColor="text1"/>
                <w:highlight w:val="none"/>
              </w:rPr>
              <w:t>评价单元面积/hm</w:t>
            </w:r>
            <w:r>
              <w:rPr>
                <w:color w:val="000000" w:themeColor="text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pct"/>
            <w:vAlign w:val="center"/>
          </w:tcPr>
          <w:p>
            <w:pPr>
              <w:pStyle w:val="63"/>
              <w:rPr>
                <w:color w:val="000000" w:themeColor="text1"/>
                <w:highlight w:val="none"/>
              </w:rPr>
            </w:pPr>
            <w:r>
              <w:rPr>
                <w:color w:val="000000" w:themeColor="text1"/>
                <w:highlight w:val="none"/>
              </w:rPr>
              <w:t>1</w:t>
            </w:r>
          </w:p>
        </w:tc>
        <w:tc>
          <w:tcPr>
            <w:tcW w:w="689" w:type="pct"/>
            <w:vAlign w:val="center"/>
          </w:tcPr>
          <w:p>
            <w:pPr>
              <w:pStyle w:val="63"/>
              <w:rPr>
                <w:color w:val="000000" w:themeColor="text1"/>
                <w:highlight w:val="none"/>
              </w:rPr>
            </w:pPr>
            <w:r>
              <w:rPr>
                <w:color w:val="000000" w:themeColor="text1"/>
                <w:highlight w:val="none"/>
              </w:rPr>
              <w:t>P1</w:t>
            </w:r>
          </w:p>
        </w:tc>
        <w:tc>
          <w:tcPr>
            <w:tcW w:w="1537" w:type="pct"/>
            <w:vAlign w:val="center"/>
          </w:tcPr>
          <w:p>
            <w:pPr>
              <w:pStyle w:val="63"/>
              <w:rPr>
                <w:color w:val="000000" w:themeColor="text1"/>
                <w:highlight w:val="none"/>
              </w:rPr>
            </w:pPr>
            <w:r>
              <w:rPr>
                <w:rFonts w:hint="eastAsia"/>
                <w:color w:val="000000" w:themeColor="text1"/>
                <w:highlight w:val="none"/>
              </w:rPr>
              <w:t>露天采场平台</w:t>
            </w:r>
          </w:p>
        </w:tc>
        <w:tc>
          <w:tcPr>
            <w:tcW w:w="823" w:type="pct"/>
            <w:vAlign w:val="center"/>
          </w:tcPr>
          <w:p>
            <w:pPr>
              <w:pStyle w:val="63"/>
              <w:rPr>
                <w:color w:val="000000" w:themeColor="text1"/>
                <w:highlight w:val="none"/>
              </w:rPr>
            </w:pPr>
            <w:r>
              <w:rPr>
                <w:rFonts w:hint="eastAsia"/>
                <w:color w:val="000000" w:themeColor="text1"/>
                <w:highlight w:val="none"/>
              </w:rPr>
              <w:t>挖损</w:t>
            </w:r>
          </w:p>
        </w:tc>
        <w:tc>
          <w:tcPr>
            <w:tcW w:w="1290" w:type="pct"/>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7.6345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pct"/>
            <w:vAlign w:val="center"/>
          </w:tcPr>
          <w:p>
            <w:pPr>
              <w:pStyle w:val="63"/>
              <w:rPr>
                <w:color w:val="000000" w:themeColor="text1"/>
                <w:highlight w:val="none"/>
              </w:rPr>
            </w:pPr>
            <w:r>
              <w:rPr>
                <w:rFonts w:hint="eastAsia"/>
                <w:color w:val="000000" w:themeColor="text1"/>
                <w:highlight w:val="none"/>
              </w:rPr>
              <w:t>2</w:t>
            </w:r>
          </w:p>
        </w:tc>
        <w:tc>
          <w:tcPr>
            <w:tcW w:w="689" w:type="pct"/>
            <w:vAlign w:val="center"/>
          </w:tcPr>
          <w:p>
            <w:pPr>
              <w:pStyle w:val="63"/>
              <w:rPr>
                <w:color w:val="000000" w:themeColor="text1"/>
                <w:highlight w:val="none"/>
              </w:rPr>
            </w:pPr>
            <w:r>
              <w:rPr>
                <w:color w:val="000000" w:themeColor="text1"/>
                <w:highlight w:val="none"/>
              </w:rPr>
              <w:t>P</w:t>
            </w:r>
            <w:r>
              <w:rPr>
                <w:rFonts w:hint="eastAsia"/>
                <w:color w:val="000000" w:themeColor="text1"/>
                <w:highlight w:val="none"/>
              </w:rPr>
              <w:t>2</w:t>
            </w:r>
          </w:p>
        </w:tc>
        <w:tc>
          <w:tcPr>
            <w:tcW w:w="1537" w:type="pct"/>
            <w:vAlign w:val="center"/>
          </w:tcPr>
          <w:p>
            <w:pPr>
              <w:pStyle w:val="63"/>
              <w:rPr>
                <w:color w:val="000000" w:themeColor="text1"/>
                <w:highlight w:val="none"/>
              </w:rPr>
            </w:pPr>
            <w:r>
              <w:rPr>
                <w:rFonts w:hint="eastAsia"/>
                <w:color w:val="000000" w:themeColor="text1"/>
                <w:highlight w:val="none"/>
              </w:rPr>
              <w:t>露天采场边坡</w:t>
            </w:r>
          </w:p>
        </w:tc>
        <w:tc>
          <w:tcPr>
            <w:tcW w:w="823" w:type="pct"/>
            <w:vAlign w:val="center"/>
          </w:tcPr>
          <w:p>
            <w:pPr>
              <w:pStyle w:val="63"/>
              <w:rPr>
                <w:color w:val="000000" w:themeColor="text1"/>
                <w:highlight w:val="none"/>
              </w:rPr>
            </w:pPr>
            <w:r>
              <w:rPr>
                <w:rFonts w:hint="eastAsia"/>
                <w:color w:val="000000" w:themeColor="text1"/>
                <w:highlight w:val="none"/>
              </w:rPr>
              <w:t>挖损</w:t>
            </w:r>
          </w:p>
        </w:tc>
        <w:tc>
          <w:tcPr>
            <w:tcW w:w="1290" w:type="pct"/>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1.3434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3</w:t>
            </w:r>
          </w:p>
        </w:tc>
        <w:tc>
          <w:tcPr>
            <w:tcW w:w="689" w:type="pct"/>
            <w:vAlign w:val="center"/>
          </w:tcPr>
          <w:p>
            <w:pPr>
              <w:pStyle w:val="63"/>
              <w:rPr>
                <w:rFonts w:hint="eastAsia" w:eastAsia="宋体"/>
                <w:color w:val="000000" w:themeColor="text1"/>
                <w:highlight w:val="none"/>
                <w:lang w:eastAsia="zh-CN"/>
              </w:rPr>
            </w:pPr>
            <w:r>
              <w:rPr>
                <w:rFonts w:hint="eastAsia"/>
                <w:color w:val="000000" w:themeColor="text1"/>
                <w:highlight w:val="none"/>
              </w:rPr>
              <w:t>P</w:t>
            </w:r>
            <w:r>
              <w:rPr>
                <w:rFonts w:hint="eastAsia"/>
                <w:color w:val="000000" w:themeColor="text1"/>
                <w:highlight w:val="none"/>
                <w:lang w:val="en-US" w:eastAsia="zh-CN"/>
              </w:rPr>
              <w:t>3</w:t>
            </w:r>
          </w:p>
        </w:tc>
        <w:tc>
          <w:tcPr>
            <w:tcW w:w="1537" w:type="pct"/>
            <w:vAlign w:val="center"/>
          </w:tcPr>
          <w:p>
            <w:pPr>
              <w:pStyle w:val="63"/>
              <w:rPr>
                <w:color w:val="000000" w:themeColor="text1"/>
                <w:highlight w:val="none"/>
              </w:rPr>
            </w:pPr>
            <w:r>
              <w:rPr>
                <w:rFonts w:hint="eastAsia"/>
                <w:color w:val="000000" w:themeColor="text1"/>
                <w:highlight w:val="none"/>
              </w:rPr>
              <w:t>矿山公路</w:t>
            </w:r>
          </w:p>
        </w:tc>
        <w:tc>
          <w:tcPr>
            <w:tcW w:w="823" w:type="pct"/>
            <w:vAlign w:val="center"/>
          </w:tcPr>
          <w:p>
            <w:pPr>
              <w:pStyle w:val="63"/>
              <w:rPr>
                <w:color w:val="000000" w:themeColor="text1"/>
                <w:highlight w:val="none"/>
              </w:rPr>
            </w:pPr>
            <w:r>
              <w:rPr>
                <w:rFonts w:hint="eastAsia"/>
                <w:color w:val="000000" w:themeColor="text1"/>
                <w:highlight w:val="none"/>
              </w:rPr>
              <w:t>压占</w:t>
            </w:r>
          </w:p>
        </w:tc>
        <w:tc>
          <w:tcPr>
            <w:tcW w:w="1290" w:type="pct"/>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9" w:type="pct"/>
            <w:vAlign w:val="center"/>
          </w:tcPr>
          <w:p>
            <w:pPr>
              <w:pStyle w:val="63"/>
              <w:rPr>
                <w:color w:val="000000" w:themeColor="text1"/>
                <w:highlight w:val="none"/>
              </w:rPr>
            </w:pPr>
            <w:r>
              <w:rPr>
                <w:color w:val="000000" w:themeColor="text1"/>
                <w:highlight w:val="none"/>
              </w:rPr>
              <w:t>合计</w:t>
            </w:r>
          </w:p>
        </w:tc>
        <w:tc>
          <w:tcPr>
            <w:tcW w:w="689" w:type="pct"/>
            <w:vAlign w:val="center"/>
          </w:tcPr>
          <w:p>
            <w:pPr>
              <w:pStyle w:val="63"/>
              <w:rPr>
                <w:color w:val="000000" w:themeColor="text1"/>
                <w:highlight w:val="none"/>
              </w:rPr>
            </w:pPr>
          </w:p>
        </w:tc>
        <w:tc>
          <w:tcPr>
            <w:tcW w:w="1537" w:type="pct"/>
            <w:vAlign w:val="center"/>
          </w:tcPr>
          <w:p>
            <w:pPr>
              <w:pStyle w:val="63"/>
              <w:rPr>
                <w:color w:val="000000" w:themeColor="text1"/>
                <w:highlight w:val="none"/>
              </w:rPr>
            </w:pPr>
          </w:p>
        </w:tc>
        <w:tc>
          <w:tcPr>
            <w:tcW w:w="823" w:type="pct"/>
            <w:vAlign w:val="center"/>
          </w:tcPr>
          <w:p>
            <w:pPr>
              <w:pStyle w:val="63"/>
              <w:rPr>
                <w:color w:val="000000" w:themeColor="text1"/>
                <w:highlight w:val="none"/>
              </w:rPr>
            </w:pPr>
          </w:p>
        </w:tc>
        <w:tc>
          <w:tcPr>
            <w:tcW w:w="1290" w:type="pct"/>
            <w:vAlign w:val="center"/>
          </w:tcPr>
          <w:p>
            <w:pPr>
              <w:pStyle w:val="63"/>
              <w:rPr>
                <w:color w:val="000000" w:themeColor="text1"/>
                <w:highlight w:val="none"/>
              </w:rPr>
            </w:pPr>
            <w:r>
              <w:rPr>
                <w:rFonts w:hint="eastAsia"/>
                <w:color w:val="000000" w:themeColor="text1"/>
                <w:highlight w:val="none"/>
                <w:lang w:eastAsia="zh-CN"/>
              </w:rPr>
              <w:t>9.5224</w:t>
            </w:r>
          </w:p>
        </w:tc>
      </w:tr>
    </w:tbl>
    <w:p>
      <w:pPr>
        <w:rPr>
          <w:color w:val="000000" w:themeColor="text1"/>
          <w:highlight w:val="none"/>
        </w:rPr>
      </w:pPr>
      <w:r>
        <w:rPr>
          <w:color w:val="000000" w:themeColor="text1"/>
          <w:highlight w:val="none"/>
        </w:rPr>
        <w:t>4、评价体系和评价方法的选择</w:t>
      </w:r>
    </w:p>
    <w:p>
      <w:pPr>
        <w:rPr>
          <w:color w:val="000000" w:themeColor="text1"/>
          <w:highlight w:val="none"/>
        </w:rPr>
      </w:pPr>
      <w:r>
        <w:rPr>
          <w:color w:val="000000" w:themeColor="text1"/>
          <w:highlight w:val="none"/>
        </w:rPr>
        <w:t>（1）评价体系</w:t>
      </w:r>
    </w:p>
    <w:p>
      <w:pPr>
        <w:rPr>
          <w:color w:val="000000" w:themeColor="text1"/>
          <w:highlight w:val="none"/>
        </w:rPr>
      </w:pPr>
      <w:r>
        <w:rPr>
          <w:color w:val="000000" w:themeColor="text1"/>
          <w:highlight w:val="none"/>
        </w:rPr>
        <w:t>采用二级评价体系，二级评价体系分成两个序列，土地适宜类和土地质量等，土地适宜类分为适宜类、暂不适宜类和不适宜类，类别下面再续分若干土地质量等。土地质量等分一等地、二等地和三等地，暂不适宜类和不适宜类一般不续分。适宜类的划分主要根据项目区自然禀赋、经济社会状况、土地利用总体规划和土地损毁分析；等别的划分主要根据适宜程度、生产潜力的大小、限制因素及限制程度。</w:t>
      </w:r>
    </w:p>
    <w:p>
      <w:pPr>
        <w:rPr>
          <w:color w:val="000000" w:themeColor="text1"/>
          <w:highlight w:val="none"/>
        </w:rPr>
      </w:pPr>
      <w:r>
        <w:rPr>
          <w:color w:val="000000" w:themeColor="text1"/>
          <w:highlight w:val="none"/>
        </w:rPr>
        <w:t>（2）评价方法</w:t>
      </w:r>
    </w:p>
    <w:p>
      <w:pPr>
        <w:rPr>
          <w:color w:val="000000" w:themeColor="text1"/>
          <w:highlight w:val="none"/>
        </w:rPr>
      </w:pPr>
      <w:r>
        <w:rPr>
          <w:color w:val="000000" w:themeColor="text1"/>
          <w:highlight w:val="none"/>
        </w:rPr>
        <w:t>土地复垦适宜性评价主要是为了确定土地的适宜性用途和指导复垦工作有效地进行，矿区土地复垦适宜性的限制因子对复垦方法的选择具有较大影响。而极限条件法是将土地质量最低评定标准作为质量等级的依据，能够通过适宜性评价比较清晰地获得进行复垦工作的各个限制因素，以便为土地的进一步改良利用服务，因此，采用极限条件法评价矿山土地复垦的适宜性较能满足要求。极限条件法是依据最小因子原理，即土地的适宜性及其等级，是由诸选定评价因子中某单个因子适宜性等级最小（限制性等级最大）的因子确定土地宜耕、宜林和宜草的适宜性等级评定。</w:t>
      </w:r>
    </w:p>
    <w:p>
      <w:pPr>
        <w:rPr>
          <w:color w:val="000000" w:themeColor="text1"/>
          <w:highlight w:val="none"/>
        </w:rPr>
      </w:pPr>
      <w:r>
        <w:rPr>
          <w:color w:val="000000" w:themeColor="text1"/>
          <w:highlight w:val="none"/>
        </w:rPr>
        <w:t>5、适宜性等级评定</w:t>
      </w:r>
    </w:p>
    <w:p>
      <w:pPr>
        <w:rPr>
          <w:color w:val="000000" w:themeColor="text1"/>
          <w:highlight w:val="none"/>
        </w:rPr>
      </w:pPr>
      <w:r>
        <w:rPr>
          <w:color w:val="000000" w:themeColor="text1"/>
          <w:highlight w:val="none"/>
        </w:rPr>
        <w:t>（1）</w:t>
      </w:r>
      <w:r>
        <w:rPr>
          <w:color w:val="000000" w:themeColor="text1"/>
          <w:highlight w:val="none"/>
          <w:lang w:val="en-GB"/>
        </w:rPr>
        <w:t>评价指标的选择</w:t>
      </w:r>
    </w:p>
    <w:p>
      <w:pPr>
        <w:rPr>
          <w:color w:val="000000" w:themeColor="text1"/>
          <w:highlight w:val="none"/>
        </w:rPr>
      </w:pPr>
      <w:r>
        <w:rPr>
          <w:color w:val="000000" w:themeColor="text1"/>
          <w:highlight w:val="none"/>
        </w:rPr>
        <w:t>评价指标的选择应考虑对土地利用影响明显而相对稳定的因素，以便能够通过因素指标值的变动决定土地的适宜状况。</w:t>
      </w:r>
    </w:p>
    <w:p>
      <w:pPr>
        <w:rPr>
          <w:color w:val="000000" w:themeColor="text1"/>
          <w:highlight w:val="none"/>
        </w:rPr>
      </w:pPr>
      <w:r>
        <w:rPr>
          <w:color w:val="000000" w:themeColor="text1"/>
          <w:highlight w:val="none"/>
        </w:rPr>
        <w:t>评价指标选择的原则：1）差异性原则；2）综合性原则；3）主动性原则；4）定性和定量相结合原则；5）可操作性原则。</w:t>
      </w:r>
    </w:p>
    <w:p>
      <w:pPr>
        <w:rPr>
          <w:color w:val="000000" w:themeColor="text1"/>
          <w:highlight w:val="none"/>
        </w:rPr>
      </w:pPr>
      <w:r>
        <w:rPr>
          <w:color w:val="000000" w:themeColor="text1"/>
          <w:highlight w:val="none"/>
        </w:rPr>
        <w:t>在遵循以上原则的基础上，结合待评价土地的实际情况和拟损毁土地的预测结果，确定各评价单元的适宜性评价指标。项目涉及的用地类型很多，不同类型之间的差异性很大，限制它们利用的因素也有所不同，因此选取的评价指标应有所区别。</w:t>
      </w:r>
    </w:p>
    <w:p>
      <w:pPr>
        <w:rPr>
          <w:color w:val="000000" w:themeColor="text1"/>
          <w:highlight w:val="none"/>
        </w:rPr>
      </w:pPr>
      <w:r>
        <w:rPr>
          <w:color w:val="000000" w:themeColor="text1"/>
          <w:highlight w:val="none"/>
        </w:rPr>
        <w:t>（2）</w:t>
      </w:r>
      <w:r>
        <w:rPr>
          <w:color w:val="000000" w:themeColor="text1"/>
          <w:highlight w:val="none"/>
          <w:lang w:val="en-GB"/>
        </w:rPr>
        <w:t>评价因素等级标准的确定</w:t>
      </w:r>
    </w:p>
    <w:p>
      <w:pPr>
        <w:rPr>
          <w:color w:val="000000" w:themeColor="text1"/>
          <w:highlight w:val="none"/>
        </w:rPr>
      </w:pPr>
      <w:r>
        <w:rPr>
          <w:color w:val="000000" w:themeColor="text1"/>
          <w:highlight w:val="none"/>
        </w:rPr>
        <w:t>标准制定的依据</w:t>
      </w:r>
    </w:p>
    <w:p>
      <w:pPr>
        <w:rPr>
          <w:color w:val="000000" w:themeColor="text1"/>
          <w:highlight w:val="none"/>
        </w:rPr>
      </w:pPr>
      <w:r>
        <w:rPr>
          <w:color w:val="000000" w:themeColor="text1"/>
          <w:highlight w:val="none"/>
        </w:rPr>
        <w:t>1）国家及地方的相关规程、标准：《耕地</w:t>
      </w:r>
      <w:r>
        <w:rPr>
          <w:rFonts w:hint="eastAsia"/>
          <w:color w:val="000000" w:themeColor="text1"/>
          <w:highlight w:val="none"/>
        </w:rPr>
        <w:t>后备</w:t>
      </w:r>
      <w:r>
        <w:rPr>
          <w:color w:val="000000" w:themeColor="text1"/>
          <w:highlight w:val="none"/>
        </w:rPr>
        <w:t>资源调查与评价技术规程》、《农用地分等定级规程》及各级地方主管部门的相关标准。</w:t>
      </w:r>
    </w:p>
    <w:p>
      <w:pPr>
        <w:rPr>
          <w:color w:val="000000" w:themeColor="text1"/>
          <w:highlight w:val="none"/>
        </w:rPr>
      </w:pPr>
      <w:r>
        <w:rPr>
          <w:color w:val="000000" w:themeColor="text1"/>
          <w:highlight w:val="none"/>
        </w:rPr>
        <w:t>2）项目区自身特征</w:t>
      </w:r>
    </w:p>
    <w:p>
      <w:pPr>
        <w:rPr>
          <w:color w:val="000000" w:themeColor="text1"/>
          <w:highlight w:val="none"/>
        </w:rPr>
      </w:pPr>
      <w:r>
        <w:rPr>
          <w:color w:val="000000" w:themeColor="text1"/>
          <w:highlight w:val="none"/>
        </w:rPr>
        <w:t>项目区自然特性与其他地区不同，标准的制定应体现区域差异性。具体各指标等级制定的依据参考各评价单元适宜性评价结果表</w:t>
      </w:r>
      <w:r>
        <w:rPr>
          <w:rFonts w:ascii="宋体" w:hAnsi="宋体"/>
          <w:color w:val="000000" w:themeColor="text1"/>
          <w:highlight w:val="none"/>
        </w:rPr>
        <w:t>“备注”</w:t>
      </w:r>
      <w:r>
        <w:rPr>
          <w:color w:val="000000" w:themeColor="text1"/>
          <w:highlight w:val="none"/>
        </w:rPr>
        <w:t>一列。</w:t>
      </w:r>
    </w:p>
    <w:p>
      <w:pPr>
        <w:rPr>
          <w:color w:val="000000" w:themeColor="text1"/>
          <w:highlight w:val="none"/>
        </w:rPr>
      </w:pPr>
      <w:r>
        <w:rPr>
          <w:color w:val="000000" w:themeColor="text1"/>
          <w:highlight w:val="none"/>
        </w:rPr>
        <w:t>（3）</w:t>
      </w:r>
      <w:r>
        <w:rPr>
          <w:color w:val="000000" w:themeColor="text1"/>
          <w:highlight w:val="none"/>
          <w:lang w:val="en-GB"/>
        </w:rPr>
        <w:t>评价标准的建立</w:t>
      </w:r>
    </w:p>
    <w:p>
      <w:pPr>
        <w:rPr>
          <w:rFonts w:eastAsia="黑体"/>
          <w:color w:val="000000" w:themeColor="text1"/>
          <w:sz w:val="21"/>
          <w:szCs w:val="21"/>
          <w:highlight w:val="none"/>
        </w:rPr>
      </w:pPr>
      <w:r>
        <w:rPr>
          <w:color w:val="000000" w:themeColor="text1"/>
          <w:highlight w:val="none"/>
        </w:rPr>
        <w:t>结合矿山的实际情况和上述依据，制定适宜性评价标准，见下表4-</w:t>
      </w:r>
      <w:r>
        <w:rPr>
          <w:rFonts w:hint="eastAsia"/>
          <w:color w:val="000000" w:themeColor="text1"/>
          <w:highlight w:val="none"/>
        </w:rPr>
        <w:t>4</w:t>
      </w:r>
      <w:r>
        <w:rPr>
          <w:color w:val="000000" w:themeColor="text1"/>
          <w:highlight w:val="none"/>
        </w:rPr>
        <w:t>。</w:t>
      </w:r>
    </w:p>
    <w:p>
      <w:pPr>
        <w:pStyle w:val="67"/>
        <w:rPr>
          <w:color w:val="000000" w:themeColor="text1"/>
          <w:highlight w:val="none"/>
        </w:rPr>
      </w:pPr>
      <w:r>
        <w:rPr>
          <w:color w:val="000000" w:themeColor="text1"/>
          <w:highlight w:val="none"/>
        </w:rPr>
        <w:t>表4-</w:t>
      </w:r>
      <w:bookmarkStart w:id="175" w:name="_Ref394475078"/>
      <w:r>
        <w:rPr>
          <w:rFonts w:hint="eastAsia"/>
          <w:color w:val="000000" w:themeColor="text1"/>
          <w:highlight w:val="none"/>
        </w:rPr>
        <w:t xml:space="preserve">4  </w:t>
      </w:r>
      <w:r>
        <w:rPr>
          <w:color w:val="000000" w:themeColor="text1"/>
          <w:highlight w:val="none"/>
        </w:rPr>
        <w:t>复垦土地主要限制因素的农林牧业等级标准</w:t>
      </w:r>
      <w:bookmarkEnd w:id="175"/>
    </w:p>
    <w:tbl>
      <w:tblPr>
        <w:tblStyle w:val="3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707"/>
        <w:gridCol w:w="3544"/>
        <w:gridCol w:w="1181"/>
        <w:gridCol w:w="1496"/>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Align w:val="center"/>
          </w:tcPr>
          <w:p>
            <w:pPr>
              <w:pStyle w:val="63"/>
              <w:rPr>
                <w:color w:val="000000" w:themeColor="text1"/>
                <w:highlight w:val="none"/>
              </w:rPr>
            </w:pPr>
            <w:r>
              <w:rPr>
                <w:color w:val="000000" w:themeColor="text1"/>
                <w:highlight w:val="none"/>
              </w:rPr>
              <w:t>序号</w:t>
            </w:r>
          </w:p>
        </w:tc>
        <w:tc>
          <w:tcPr>
            <w:tcW w:w="4251" w:type="dxa"/>
            <w:gridSpan w:val="2"/>
            <w:vAlign w:val="center"/>
          </w:tcPr>
          <w:p>
            <w:pPr>
              <w:pStyle w:val="63"/>
              <w:rPr>
                <w:color w:val="000000" w:themeColor="text1"/>
                <w:highlight w:val="none"/>
              </w:rPr>
            </w:pPr>
            <w:r>
              <w:rPr>
                <w:color w:val="000000" w:themeColor="text1"/>
                <w:highlight w:val="none"/>
              </w:rPr>
              <w:t>限制因素及分级指标</w:t>
            </w:r>
          </w:p>
        </w:tc>
        <w:tc>
          <w:tcPr>
            <w:tcW w:w="1181" w:type="dxa"/>
            <w:vAlign w:val="center"/>
          </w:tcPr>
          <w:p>
            <w:pPr>
              <w:pStyle w:val="63"/>
              <w:rPr>
                <w:color w:val="000000" w:themeColor="text1"/>
                <w:highlight w:val="none"/>
              </w:rPr>
            </w:pPr>
            <w:r>
              <w:rPr>
                <w:color w:val="000000" w:themeColor="text1"/>
                <w:highlight w:val="none"/>
              </w:rPr>
              <w:t>耕地评价</w:t>
            </w:r>
          </w:p>
        </w:tc>
        <w:tc>
          <w:tcPr>
            <w:tcW w:w="1496" w:type="dxa"/>
            <w:vAlign w:val="center"/>
          </w:tcPr>
          <w:p>
            <w:pPr>
              <w:pStyle w:val="63"/>
              <w:rPr>
                <w:color w:val="000000" w:themeColor="text1"/>
                <w:highlight w:val="none"/>
              </w:rPr>
            </w:pPr>
            <w:r>
              <w:rPr>
                <w:color w:val="000000" w:themeColor="text1"/>
                <w:highlight w:val="none"/>
              </w:rPr>
              <w:t>林地评价</w:t>
            </w:r>
          </w:p>
        </w:tc>
        <w:tc>
          <w:tcPr>
            <w:tcW w:w="1296" w:type="dxa"/>
            <w:vAlign w:val="center"/>
          </w:tcPr>
          <w:p>
            <w:pPr>
              <w:pStyle w:val="63"/>
              <w:rPr>
                <w:color w:val="000000" w:themeColor="text1"/>
                <w:highlight w:val="none"/>
              </w:rPr>
            </w:pPr>
            <w:r>
              <w:rPr>
                <w:color w:val="000000" w:themeColor="text1"/>
                <w:highlight w:val="none"/>
              </w:rPr>
              <w:t>草地评价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restart"/>
            <w:vAlign w:val="center"/>
          </w:tcPr>
          <w:p>
            <w:pPr>
              <w:pStyle w:val="63"/>
              <w:rPr>
                <w:color w:val="000000" w:themeColor="text1"/>
                <w:highlight w:val="none"/>
              </w:rPr>
            </w:pPr>
            <w:r>
              <w:rPr>
                <w:color w:val="000000" w:themeColor="text1"/>
                <w:highlight w:val="none"/>
              </w:rPr>
              <w:t>1</w:t>
            </w:r>
          </w:p>
        </w:tc>
        <w:tc>
          <w:tcPr>
            <w:tcW w:w="707" w:type="dxa"/>
            <w:vMerge w:val="restart"/>
            <w:vAlign w:val="center"/>
          </w:tcPr>
          <w:p>
            <w:pPr>
              <w:pStyle w:val="63"/>
              <w:rPr>
                <w:color w:val="000000" w:themeColor="text1"/>
                <w:highlight w:val="none"/>
              </w:rPr>
            </w:pPr>
            <w:r>
              <w:rPr>
                <w:color w:val="000000" w:themeColor="text1"/>
                <w:highlight w:val="none"/>
              </w:rPr>
              <w:t>地表物质组成</w:t>
            </w:r>
          </w:p>
        </w:tc>
        <w:tc>
          <w:tcPr>
            <w:tcW w:w="3544" w:type="dxa"/>
            <w:vAlign w:val="center"/>
          </w:tcPr>
          <w:p>
            <w:pPr>
              <w:pStyle w:val="63"/>
              <w:rPr>
                <w:color w:val="000000" w:themeColor="text1"/>
                <w:highlight w:val="none"/>
              </w:rPr>
            </w:pPr>
            <w:r>
              <w:rPr>
                <w:color w:val="000000" w:themeColor="text1"/>
                <w:highlight w:val="none"/>
              </w:rPr>
              <w:t>壤土、砂壤土</w:t>
            </w:r>
          </w:p>
        </w:tc>
        <w:tc>
          <w:tcPr>
            <w:tcW w:w="1181" w:type="dxa"/>
            <w:vAlign w:val="center"/>
          </w:tcPr>
          <w:p>
            <w:pPr>
              <w:pStyle w:val="63"/>
              <w:rPr>
                <w:color w:val="000000" w:themeColor="text1"/>
                <w:highlight w:val="none"/>
              </w:rPr>
            </w:pPr>
            <w:r>
              <w:rPr>
                <w:color w:val="000000" w:themeColor="text1"/>
                <w:highlight w:val="none"/>
              </w:rPr>
              <w:t>1等</w:t>
            </w:r>
          </w:p>
        </w:tc>
        <w:tc>
          <w:tcPr>
            <w:tcW w:w="1496" w:type="dxa"/>
            <w:vAlign w:val="center"/>
          </w:tcPr>
          <w:p>
            <w:pPr>
              <w:pStyle w:val="63"/>
              <w:rPr>
                <w:color w:val="000000" w:themeColor="text1"/>
                <w:highlight w:val="none"/>
              </w:rPr>
            </w:pPr>
            <w:r>
              <w:rPr>
                <w:color w:val="000000" w:themeColor="text1"/>
                <w:highlight w:val="none"/>
              </w:rPr>
              <w:t>1等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岩土混合物</w:t>
            </w:r>
          </w:p>
        </w:tc>
        <w:tc>
          <w:tcPr>
            <w:tcW w:w="1181" w:type="dxa"/>
            <w:vAlign w:val="center"/>
          </w:tcPr>
          <w:p>
            <w:pPr>
              <w:pStyle w:val="63"/>
              <w:rPr>
                <w:color w:val="000000" w:themeColor="text1"/>
                <w:highlight w:val="none"/>
              </w:rPr>
            </w:pPr>
            <w:r>
              <w:rPr>
                <w:color w:val="000000" w:themeColor="text1"/>
                <w:highlight w:val="none"/>
              </w:rPr>
              <w:t>3等</w:t>
            </w:r>
          </w:p>
        </w:tc>
        <w:tc>
          <w:tcPr>
            <w:tcW w:w="1496" w:type="dxa"/>
            <w:vAlign w:val="center"/>
          </w:tcPr>
          <w:p>
            <w:pPr>
              <w:pStyle w:val="63"/>
              <w:rPr>
                <w:color w:val="000000" w:themeColor="text1"/>
                <w:highlight w:val="none"/>
              </w:rPr>
            </w:pPr>
            <w:r>
              <w:rPr>
                <w:color w:val="000000" w:themeColor="text1"/>
                <w:highlight w:val="none"/>
              </w:rPr>
              <w:t>2等</w:t>
            </w:r>
          </w:p>
        </w:tc>
        <w:tc>
          <w:tcPr>
            <w:tcW w:w="1296" w:type="dxa"/>
            <w:vAlign w:val="center"/>
          </w:tcPr>
          <w:p>
            <w:pPr>
              <w:pStyle w:val="63"/>
              <w:rPr>
                <w:color w:val="000000" w:themeColor="text1"/>
                <w:highlight w:val="none"/>
              </w:rPr>
            </w:pPr>
            <w:r>
              <w:rPr>
                <w:color w:val="000000" w:themeColor="text1"/>
                <w:highlight w:val="none"/>
              </w:rPr>
              <w:t>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砂土</w:t>
            </w:r>
          </w:p>
        </w:tc>
        <w:tc>
          <w:tcPr>
            <w:tcW w:w="1181" w:type="dxa"/>
            <w:vAlign w:val="center"/>
          </w:tcPr>
          <w:p>
            <w:pPr>
              <w:pStyle w:val="63"/>
              <w:rPr>
                <w:color w:val="000000" w:themeColor="text1"/>
                <w:highlight w:val="none"/>
              </w:rPr>
            </w:pPr>
            <w:r>
              <w:rPr>
                <w:color w:val="000000" w:themeColor="text1"/>
                <w:highlight w:val="none"/>
              </w:rPr>
              <w:t>3等</w:t>
            </w:r>
          </w:p>
        </w:tc>
        <w:tc>
          <w:tcPr>
            <w:tcW w:w="1496" w:type="dxa"/>
            <w:vAlign w:val="center"/>
          </w:tcPr>
          <w:p>
            <w:pPr>
              <w:pStyle w:val="63"/>
              <w:rPr>
                <w:color w:val="000000" w:themeColor="text1"/>
                <w:highlight w:val="none"/>
              </w:rPr>
            </w:pPr>
            <w:r>
              <w:rPr>
                <w:color w:val="000000" w:themeColor="text1"/>
                <w:highlight w:val="none"/>
              </w:rPr>
              <w:t>3等</w:t>
            </w:r>
          </w:p>
        </w:tc>
        <w:tc>
          <w:tcPr>
            <w:tcW w:w="1296" w:type="dxa"/>
            <w:vAlign w:val="center"/>
          </w:tcPr>
          <w:p>
            <w:pPr>
              <w:pStyle w:val="63"/>
              <w:rPr>
                <w:color w:val="000000" w:themeColor="text1"/>
                <w:highlight w:val="none"/>
              </w:rPr>
            </w:pPr>
            <w:r>
              <w:rPr>
                <w:color w:val="000000" w:themeColor="text1"/>
                <w:highlight w:val="none"/>
              </w:rPr>
              <w:t>3等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砾质</w:t>
            </w:r>
          </w:p>
        </w:tc>
        <w:tc>
          <w:tcPr>
            <w:tcW w:w="1181" w:type="dxa"/>
            <w:vAlign w:val="center"/>
          </w:tcPr>
          <w:p>
            <w:pPr>
              <w:pStyle w:val="63"/>
              <w:rPr>
                <w:color w:val="000000" w:themeColor="text1"/>
                <w:highlight w:val="none"/>
              </w:rPr>
            </w:pPr>
            <w:r>
              <w:rPr>
                <w:color w:val="000000" w:themeColor="text1"/>
                <w:highlight w:val="none"/>
              </w:rPr>
              <w:t>N</w:t>
            </w:r>
          </w:p>
        </w:tc>
        <w:tc>
          <w:tcPr>
            <w:tcW w:w="1496" w:type="dxa"/>
            <w:vAlign w:val="center"/>
          </w:tcPr>
          <w:p>
            <w:pPr>
              <w:pStyle w:val="63"/>
              <w:rPr>
                <w:color w:val="000000" w:themeColor="text1"/>
                <w:highlight w:val="none"/>
              </w:rPr>
            </w:pPr>
            <w:r>
              <w:rPr>
                <w:color w:val="000000" w:themeColor="text1"/>
                <w:highlight w:val="none"/>
              </w:rPr>
              <w:t>3等或N</w:t>
            </w:r>
          </w:p>
        </w:tc>
        <w:tc>
          <w:tcPr>
            <w:tcW w:w="1296" w:type="dxa"/>
            <w:vAlign w:val="center"/>
          </w:tcPr>
          <w:p>
            <w:pPr>
              <w:pStyle w:val="63"/>
              <w:rPr>
                <w:color w:val="000000" w:themeColor="text1"/>
                <w:highlight w:val="none"/>
              </w:rPr>
            </w:pPr>
            <w:r>
              <w:rPr>
                <w:color w:val="000000" w:themeColor="text1"/>
                <w:highlight w:val="none"/>
              </w:rPr>
              <w:t>3等或N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restart"/>
            <w:vAlign w:val="center"/>
          </w:tcPr>
          <w:p>
            <w:pPr>
              <w:pStyle w:val="63"/>
              <w:rPr>
                <w:color w:val="000000" w:themeColor="text1"/>
                <w:highlight w:val="none"/>
              </w:rPr>
            </w:pPr>
            <w:r>
              <w:rPr>
                <w:color w:val="000000" w:themeColor="text1"/>
                <w:highlight w:val="none"/>
              </w:rPr>
              <w:t>2</w:t>
            </w:r>
          </w:p>
        </w:tc>
        <w:tc>
          <w:tcPr>
            <w:tcW w:w="707" w:type="dxa"/>
            <w:vMerge w:val="restart"/>
            <w:vAlign w:val="center"/>
          </w:tcPr>
          <w:p>
            <w:pPr>
              <w:pStyle w:val="63"/>
              <w:rPr>
                <w:color w:val="000000" w:themeColor="text1"/>
                <w:highlight w:val="none"/>
              </w:rPr>
            </w:pPr>
            <w:r>
              <w:rPr>
                <w:color w:val="000000" w:themeColor="text1"/>
                <w:highlight w:val="none"/>
              </w:rPr>
              <w:t>灌溉条件</w:t>
            </w:r>
          </w:p>
        </w:tc>
        <w:tc>
          <w:tcPr>
            <w:tcW w:w="3544" w:type="dxa"/>
            <w:vAlign w:val="center"/>
          </w:tcPr>
          <w:p>
            <w:pPr>
              <w:pStyle w:val="63"/>
              <w:rPr>
                <w:color w:val="000000" w:themeColor="text1"/>
                <w:highlight w:val="none"/>
              </w:rPr>
            </w:pPr>
            <w:r>
              <w:rPr>
                <w:color w:val="000000" w:themeColor="text1"/>
                <w:highlight w:val="none"/>
              </w:rPr>
              <w:t>有稳定灌溉条件的干旱、半干旱土地</w:t>
            </w:r>
          </w:p>
        </w:tc>
        <w:tc>
          <w:tcPr>
            <w:tcW w:w="1181" w:type="dxa"/>
            <w:vAlign w:val="center"/>
          </w:tcPr>
          <w:p>
            <w:pPr>
              <w:pStyle w:val="63"/>
              <w:rPr>
                <w:color w:val="000000" w:themeColor="text1"/>
                <w:highlight w:val="none"/>
              </w:rPr>
            </w:pPr>
            <w:r>
              <w:rPr>
                <w:color w:val="000000" w:themeColor="text1"/>
                <w:highlight w:val="none"/>
              </w:rPr>
              <w:t>1等</w:t>
            </w:r>
          </w:p>
        </w:tc>
        <w:tc>
          <w:tcPr>
            <w:tcW w:w="1496" w:type="dxa"/>
            <w:vAlign w:val="center"/>
          </w:tcPr>
          <w:p>
            <w:pPr>
              <w:pStyle w:val="63"/>
              <w:rPr>
                <w:color w:val="000000" w:themeColor="text1"/>
                <w:highlight w:val="none"/>
              </w:rPr>
            </w:pPr>
            <w:r>
              <w:rPr>
                <w:color w:val="000000" w:themeColor="text1"/>
                <w:highlight w:val="none"/>
              </w:rPr>
              <w:t>1等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灌溉条件、水源保证差的干旱、半干旱土地</w:t>
            </w:r>
          </w:p>
        </w:tc>
        <w:tc>
          <w:tcPr>
            <w:tcW w:w="1181" w:type="dxa"/>
            <w:vAlign w:val="center"/>
          </w:tcPr>
          <w:p>
            <w:pPr>
              <w:pStyle w:val="63"/>
              <w:rPr>
                <w:color w:val="000000" w:themeColor="text1"/>
                <w:highlight w:val="none"/>
              </w:rPr>
            </w:pPr>
            <w:r>
              <w:rPr>
                <w:color w:val="000000" w:themeColor="text1"/>
                <w:highlight w:val="none"/>
              </w:rPr>
              <w:t>2等</w:t>
            </w:r>
          </w:p>
        </w:tc>
        <w:tc>
          <w:tcPr>
            <w:tcW w:w="1496" w:type="dxa"/>
            <w:vAlign w:val="center"/>
          </w:tcPr>
          <w:p>
            <w:pPr>
              <w:pStyle w:val="63"/>
              <w:rPr>
                <w:color w:val="000000" w:themeColor="text1"/>
                <w:highlight w:val="none"/>
              </w:rPr>
            </w:pPr>
            <w:r>
              <w:rPr>
                <w:color w:val="000000" w:themeColor="text1"/>
                <w:highlight w:val="none"/>
              </w:rPr>
              <w:t>1等或2等</w:t>
            </w:r>
          </w:p>
        </w:tc>
        <w:tc>
          <w:tcPr>
            <w:tcW w:w="1296" w:type="dxa"/>
            <w:vAlign w:val="center"/>
          </w:tcPr>
          <w:p>
            <w:pPr>
              <w:pStyle w:val="63"/>
              <w:rPr>
                <w:color w:val="000000" w:themeColor="text1"/>
                <w:highlight w:val="none"/>
              </w:rPr>
            </w:pPr>
            <w:r>
              <w:rPr>
                <w:color w:val="000000" w:themeColor="text1"/>
                <w:highlight w:val="none"/>
              </w:rPr>
              <w:t>1等或2等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无灌溉水源保证干旱、半干旱土地</w:t>
            </w:r>
          </w:p>
        </w:tc>
        <w:tc>
          <w:tcPr>
            <w:tcW w:w="1181" w:type="dxa"/>
            <w:vAlign w:val="center"/>
          </w:tcPr>
          <w:p>
            <w:pPr>
              <w:pStyle w:val="63"/>
              <w:rPr>
                <w:color w:val="000000" w:themeColor="text1"/>
                <w:highlight w:val="none"/>
              </w:rPr>
            </w:pPr>
            <w:r>
              <w:rPr>
                <w:color w:val="000000" w:themeColor="text1"/>
                <w:highlight w:val="none"/>
              </w:rPr>
              <w:t>N</w:t>
            </w:r>
          </w:p>
        </w:tc>
        <w:tc>
          <w:tcPr>
            <w:tcW w:w="1496" w:type="dxa"/>
            <w:vAlign w:val="center"/>
          </w:tcPr>
          <w:p>
            <w:pPr>
              <w:pStyle w:val="63"/>
              <w:rPr>
                <w:color w:val="000000" w:themeColor="text1"/>
                <w:highlight w:val="none"/>
              </w:rPr>
            </w:pPr>
            <w:r>
              <w:rPr>
                <w:color w:val="000000" w:themeColor="text1"/>
                <w:highlight w:val="none"/>
              </w:rPr>
              <w:t>3等</w:t>
            </w:r>
          </w:p>
        </w:tc>
        <w:tc>
          <w:tcPr>
            <w:tcW w:w="1296" w:type="dxa"/>
            <w:vAlign w:val="center"/>
          </w:tcPr>
          <w:p>
            <w:pPr>
              <w:pStyle w:val="63"/>
              <w:rPr>
                <w:color w:val="000000" w:themeColor="text1"/>
                <w:highlight w:val="none"/>
              </w:rPr>
            </w:pPr>
            <w:r>
              <w:rPr>
                <w:color w:val="000000" w:themeColor="text1"/>
                <w:highlight w:val="none"/>
              </w:rPr>
              <w:t>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restart"/>
            <w:vAlign w:val="center"/>
          </w:tcPr>
          <w:p>
            <w:pPr>
              <w:pStyle w:val="63"/>
              <w:rPr>
                <w:color w:val="000000" w:themeColor="text1"/>
                <w:highlight w:val="none"/>
              </w:rPr>
            </w:pPr>
            <w:r>
              <w:rPr>
                <w:color w:val="000000" w:themeColor="text1"/>
                <w:highlight w:val="none"/>
              </w:rPr>
              <w:t>3</w:t>
            </w:r>
          </w:p>
        </w:tc>
        <w:tc>
          <w:tcPr>
            <w:tcW w:w="707" w:type="dxa"/>
            <w:vMerge w:val="restart"/>
            <w:vAlign w:val="center"/>
          </w:tcPr>
          <w:p>
            <w:pPr>
              <w:pStyle w:val="63"/>
              <w:rPr>
                <w:color w:val="000000" w:themeColor="text1"/>
                <w:highlight w:val="none"/>
              </w:rPr>
            </w:pPr>
            <w:r>
              <w:rPr>
                <w:color w:val="000000" w:themeColor="text1"/>
                <w:highlight w:val="none"/>
              </w:rPr>
              <w:t>地面坡度/°</w:t>
            </w:r>
          </w:p>
        </w:tc>
        <w:tc>
          <w:tcPr>
            <w:tcW w:w="3544" w:type="dxa"/>
            <w:vAlign w:val="center"/>
          </w:tcPr>
          <w:p>
            <w:pPr>
              <w:pStyle w:val="63"/>
              <w:rPr>
                <w:color w:val="000000" w:themeColor="text1"/>
                <w:highlight w:val="none"/>
              </w:rPr>
            </w:pPr>
            <w:r>
              <w:rPr>
                <w:color w:val="000000" w:themeColor="text1"/>
                <w:highlight w:val="none"/>
              </w:rPr>
              <w:t>＜5</w:t>
            </w:r>
          </w:p>
        </w:tc>
        <w:tc>
          <w:tcPr>
            <w:tcW w:w="1181" w:type="dxa"/>
            <w:vAlign w:val="center"/>
          </w:tcPr>
          <w:p>
            <w:pPr>
              <w:pStyle w:val="63"/>
              <w:rPr>
                <w:color w:val="000000" w:themeColor="text1"/>
                <w:highlight w:val="none"/>
              </w:rPr>
            </w:pPr>
            <w:r>
              <w:rPr>
                <w:color w:val="000000" w:themeColor="text1"/>
                <w:highlight w:val="none"/>
              </w:rPr>
              <w:t>1等</w:t>
            </w:r>
          </w:p>
        </w:tc>
        <w:tc>
          <w:tcPr>
            <w:tcW w:w="1496" w:type="dxa"/>
            <w:vAlign w:val="center"/>
          </w:tcPr>
          <w:p>
            <w:pPr>
              <w:pStyle w:val="63"/>
              <w:rPr>
                <w:color w:val="000000" w:themeColor="text1"/>
                <w:highlight w:val="none"/>
              </w:rPr>
            </w:pPr>
            <w:r>
              <w:rPr>
                <w:color w:val="000000" w:themeColor="text1"/>
                <w:highlight w:val="none"/>
              </w:rPr>
              <w:t>1等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5~25</w:t>
            </w:r>
          </w:p>
        </w:tc>
        <w:tc>
          <w:tcPr>
            <w:tcW w:w="1181" w:type="dxa"/>
            <w:vAlign w:val="center"/>
          </w:tcPr>
          <w:p>
            <w:pPr>
              <w:pStyle w:val="63"/>
              <w:rPr>
                <w:color w:val="000000" w:themeColor="text1"/>
                <w:highlight w:val="none"/>
              </w:rPr>
            </w:pPr>
            <w:r>
              <w:rPr>
                <w:color w:val="000000" w:themeColor="text1"/>
                <w:highlight w:val="none"/>
              </w:rPr>
              <w:t>2等</w:t>
            </w:r>
          </w:p>
        </w:tc>
        <w:tc>
          <w:tcPr>
            <w:tcW w:w="1496" w:type="dxa"/>
            <w:vAlign w:val="center"/>
          </w:tcPr>
          <w:p>
            <w:pPr>
              <w:pStyle w:val="63"/>
              <w:rPr>
                <w:color w:val="000000" w:themeColor="text1"/>
                <w:highlight w:val="none"/>
              </w:rPr>
            </w:pPr>
            <w:r>
              <w:rPr>
                <w:color w:val="000000" w:themeColor="text1"/>
                <w:highlight w:val="none"/>
              </w:rPr>
              <w:t>1等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25~45</w:t>
            </w:r>
          </w:p>
        </w:tc>
        <w:tc>
          <w:tcPr>
            <w:tcW w:w="1181" w:type="dxa"/>
            <w:vAlign w:val="center"/>
          </w:tcPr>
          <w:p>
            <w:pPr>
              <w:pStyle w:val="63"/>
              <w:rPr>
                <w:color w:val="000000" w:themeColor="text1"/>
                <w:highlight w:val="none"/>
              </w:rPr>
            </w:pPr>
            <w:r>
              <w:rPr>
                <w:color w:val="000000" w:themeColor="text1"/>
                <w:highlight w:val="none"/>
              </w:rPr>
              <w:t>N</w:t>
            </w:r>
          </w:p>
        </w:tc>
        <w:tc>
          <w:tcPr>
            <w:tcW w:w="1496" w:type="dxa"/>
            <w:vAlign w:val="center"/>
          </w:tcPr>
          <w:p>
            <w:pPr>
              <w:pStyle w:val="63"/>
              <w:rPr>
                <w:color w:val="000000" w:themeColor="text1"/>
                <w:highlight w:val="none"/>
              </w:rPr>
            </w:pPr>
            <w:r>
              <w:rPr>
                <w:color w:val="000000" w:themeColor="text1"/>
                <w:highlight w:val="none"/>
              </w:rPr>
              <w:t>2等或3等</w:t>
            </w:r>
          </w:p>
        </w:tc>
        <w:tc>
          <w:tcPr>
            <w:tcW w:w="1296" w:type="dxa"/>
            <w:vAlign w:val="center"/>
          </w:tcPr>
          <w:p>
            <w:pPr>
              <w:pStyle w:val="63"/>
              <w:rPr>
                <w:color w:val="000000" w:themeColor="text1"/>
                <w:highlight w:val="none"/>
              </w:rPr>
            </w:pPr>
            <w:r>
              <w:rPr>
                <w:color w:val="000000" w:themeColor="text1"/>
                <w:highlight w:val="none"/>
              </w:rPr>
              <w:t>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＞45</w:t>
            </w:r>
          </w:p>
        </w:tc>
        <w:tc>
          <w:tcPr>
            <w:tcW w:w="1181" w:type="dxa"/>
            <w:vAlign w:val="center"/>
          </w:tcPr>
          <w:p>
            <w:pPr>
              <w:pStyle w:val="63"/>
              <w:rPr>
                <w:color w:val="000000" w:themeColor="text1"/>
                <w:highlight w:val="none"/>
              </w:rPr>
            </w:pPr>
            <w:r>
              <w:rPr>
                <w:color w:val="000000" w:themeColor="text1"/>
                <w:highlight w:val="none"/>
              </w:rPr>
              <w:t>N</w:t>
            </w:r>
          </w:p>
        </w:tc>
        <w:tc>
          <w:tcPr>
            <w:tcW w:w="1496" w:type="dxa"/>
            <w:vAlign w:val="center"/>
          </w:tcPr>
          <w:p>
            <w:pPr>
              <w:pStyle w:val="63"/>
              <w:rPr>
                <w:color w:val="000000" w:themeColor="text1"/>
                <w:highlight w:val="none"/>
              </w:rPr>
            </w:pPr>
            <w:r>
              <w:rPr>
                <w:color w:val="000000" w:themeColor="text1"/>
                <w:highlight w:val="none"/>
              </w:rPr>
              <w:t>3等或N</w:t>
            </w:r>
          </w:p>
        </w:tc>
        <w:tc>
          <w:tcPr>
            <w:tcW w:w="1296" w:type="dxa"/>
            <w:vAlign w:val="center"/>
          </w:tcPr>
          <w:p>
            <w:pPr>
              <w:pStyle w:val="63"/>
              <w:rPr>
                <w:color w:val="000000" w:themeColor="text1"/>
                <w:highlight w:val="none"/>
              </w:rPr>
            </w:pPr>
            <w:r>
              <w:rPr>
                <w:color w:val="000000" w:themeColor="text1"/>
                <w:highlight w:val="none"/>
              </w:rPr>
              <w:t>3等或N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restart"/>
            <w:vAlign w:val="center"/>
          </w:tcPr>
          <w:p>
            <w:pPr>
              <w:pStyle w:val="63"/>
              <w:rPr>
                <w:color w:val="000000" w:themeColor="text1"/>
                <w:highlight w:val="none"/>
              </w:rPr>
            </w:pPr>
            <w:r>
              <w:rPr>
                <w:color w:val="000000" w:themeColor="text1"/>
                <w:highlight w:val="none"/>
              </w:rPr>
              <w:t>4</w:t>
            </w:r>
          </w:p>
        </w:tc>
        <w:tc>
          <w:tcPr>
            <w:tcW w:w="707" w:type="dxa"/>
            <w:vMerge w:val="restart"/>
            <w:vAlign w:val="center"/>
          </w:tcPr>
          <w:p>
            <w:pPr>
              <w:pStyle w:val="63"/>
              <w:rPr>
                <w:color w:val="000000" w:themeColor="text1"/>
                <w:highlight w:val="none"/>
              </w:rPr>
            </w:pPr>
            <w:r>
              <w:rPr>
                <w:color w:val="000000" w:themeColor="text1"/>
                <w:highlight w:val="none"/>
              </w:rPr>
              <w:t>土源保证率（%）</w:t>
            </w:r>
          </w:p>
        </w:tc>
        <w:tc>
          <w:tcPr>
            <w:tcW w:w="3544" w:type="dxa"/>
            <w:vAlign w:val="center"/>
          </w:tcPr>
          <w:p>
            <w:pPr>
              <w:pStyle w:val="63"/>
              <w:rPr>
                <w:color w:val="000000" w:themeColor="text1"/>
                <w:highlight w:val="none"/>
              </w:rPr>
            </w:pPr>
            <w:r>
              <w:rPr>
                <w:color w:val="000000" w:themeColor="text1"/>
                <w:highlight w:val="none"/>
              </w:rPr>
              <w:t>80~100</w:t>
            </w:r>
          </w:p>
        </w:tc>
        <w:tc>
          <w:tcPr>
            <w:tcW w:w="1181" w:type="dxa"/>
            <w:vAlign w:val="center"/>
          </w:tcPr>
          <w:p>
            <w:pPr>
              <w:pStyle w:val="63"/>
              <w:rPr>
                <w:color w:val="000000" w:themeColor="text1"/>
                <w:highlight w:val="none"/>
              </w:rPr>
            </w:pPr>
            <w:r>
              <w:rPr>
                <w:color w:val="000000" w:themeColor="text1"/>
                <w:highlight w:val="none"/>
              </w:rPr>
              <w:t>1等</w:t>
            </w:r>
          </w:p>
        </w:tc>
        <w:tc>
          <w:tcPr>
            <w:tcW w:w="1496" w:type="dxa"/>
            <w:vAlign w:val="center"/>
          </w:tcPr>
          <w:p>
            <w:pPr>
              <w:pStyle w:val="63"/>
              <w:rPr>
                <w:color w:val="000000" w:themeColor="text1"/>
                <w:highlight w:val="none"/>
              </w:rPr>
            </w:pPr>
            <w:r>
              <w:rPr>
                <w:color w:val="000000" w:themeColor="text1"/>
                <w:highlight w:val="none"/>
              </w:rPr>
              <w:t>1等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60~80</w:t>
            </w:r>
          </w:p>
        </w:tc>
        <w:tc>
          <w:tcPr>
            <w:tcW w:w="1181" w:type="dxa"/>
            <w:vAlign w:val="center"/>
          </w:tcPr>
          <w:p>
            <w:pPr>
              <w:pStyle w:val="63"/>
              <w:rPr>
                <w:color w:val="000000" w:themeColor="text1"/>
                <w:highlight w:val="none"/>
              </w:rPr>
            </w:pPr>
            <w:r>
              <w:rPr>
                <w:color w:val="000000" w:themeColor="text1"/>
                <w:highlight w:val="none"/>
              </w:rPr>
              <w:t>2等</w:t>
            </w:r>
          </w:p>
        </w:tc>
        <w:tc>
          <w:tcPr>
            <w:tcW w:w="1496" w:type="dxa"/>
            <w:vAlign w:val="center"/>
          </w:tcPr>
          <w:p>
            <w:pPr>
              <w:pStyle w:val="63"/>
              <w:rPr>
                <w:color w:val="000000" w:themeColor="text1"/>
                <w:highlight w:val="none"/>
              </w:rPr>
            </w:pPr>
            <w:r>
              <w:rPr>
                <w:color w:val="000000" w:themeColor="text1"/>
                <w:highlight w:val="none"/>
              </w:rPr>
              <w:t>2等</w:t>
            </w:r>
          </w:p>
        </w:tc>
        <w:tc>
          <w:tcPr>
            <w:tcW w:w="1296" w:type="dxa"/>
            <w:vAlign w:val="center"/>
          </w:tcPr>
          <w:p>
            <w:pPr>
              <w:pStyle w:val="63"/>
              <w:rPr>
                <w:color w:val="000000" w:themeColor="text1"/>
                <w:highlight w:val="none"/>
              </w:rPr>
            </w:pPr>
            <w:r>
              <w:rPr>
                <w:color w:val="000000" w:themeColor="text1"/>
                <w:highlight w:val="none"/>
              </w:rPr>
              <w:t>1等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40~60</w:t>
            </w:r>
          </w:p>
        </w:tc>
        <w:tc>
          <w:tcPr>
            <w:tcW w:w="1181" w:type="dxa"/>
            <w:vAlign w:val="center"/>
          </w:tcPr>
          <w:p>
            <w:pPr>
              <w:pStyle w:val="63"/>
              <w:rPr>
                <w:color w:val="000000" w:themeColor="text1"/>
                <w:highlight w:val="none"/>
              </w:rPr>
            </w:pPr>
            <w:r>
              <w:rPr>
                <w:color w:val="000000" w:themeColor="text1"/>
                <w:highlight w:val="none"/>
              </w:rPr>
              <w:t>3等</w:t>
            </w:r>
          </w:p>
        </w:tc>
        <w:tc>
          <w:tcPr>
            <w:tcW w:w="1496" w:type="dxa"/>
            <w:vAlign w:val="center"/>
          </w:tcPr>
          <w:p>
            <w:pPr>
              <w:pStyle w:val="63"/>
              <w:rPr>
                <w:color w:val="000000" w:themeColor="text1"/>
                <w:highlight w:val="none"/>
              </w:rPr>
            </w:pPr>
            <w:r>
              <w:rPr>
                <w:color w:val="000000" w:themeColor="text1"/>
                <w:highlight w:val="none"/>
              </w:rPr>
              <w:t>2等或3等</w:t>
            </w:r>
          </w:p>
        </w:tc>
        <w:tc>
          <w:tcPr>
            <w:tcW w:w="1296" w:type="dxa"/>
            <w:vAlign w:val="center"/>
          </w:tcPr>
          <w:p>
            <w:pPr>
              <w:pStyle w:val="63"/>
              <w:rPr>
                <w:color w:val="000000" w:themeColor="text1"/>
                <w:highlight w:val="none"/>
              </w:rPr>
            </w:pPr>
            <w:r>
              <w:rPr>
                <w:color w:val="000000" w:themeColor="text1"/>
                <w:highlight w:val="none"/>
              </w:rPr>
              <w:t>2等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vMerge w:val="continue"/>
            <w:vAlign w:val="center"/>
          </w:tcPr>
          <w:p>
            <w:pPr>
              <w:pStyle w:val="63"/>
              <w:rPr>
                <w:color w:val="000000" w:themeColor="text1"/>
                <w:highlight w:val="none"/>
              </w:rPr>
            </w:pPr>
          </w:p>
        </w:tc>
        <w:tc>
          <w:tcPr>
            <w:tcW w:w="707" w:type="dxa"/>
            <w:vMerge w:val="continue"/>
            <w:vAlign w:val="center"/>
          </w:tcPr>
          <w:p>
            <w:pPr>
              <w:pStyle w:val="63"/>
              <w:rPr>
                <w:color w:val="000000" w:themeColor="text1"/>
                <w:highlight w:val="none"/>
              </w:rPr>
            </w:pPr>
          </w:p>
        </w:tc>
        <w:tc>
          <w:tcPr>
            <w:tcW w:w="3544" w:type="dxa"/>
            <w:vAlign w:val="center"/>
          </w:tcPr>
          <w:p>
            <w:pPr>
              <w:pStyle w:val="63"/>
              <w:rPr>
                <w:color w:val="000000" w:themeColor="text1"/>
                <w:highlight w:val="none"/>
              </w:rPr>
            </w:pPr>
            <w:r>
              <w:rPr>
                <w:color w:val="000000" w:themeColor="text1"/>
                <w:highlight w:val="none"/>
              </w:rPr>
              <w:t>＜40</w:t>
            </w:r>
          </w:p>
        </w:tc>
        <w:tc>
          <w:tcPr>
            <w:tcW w:w="1181" w:type="dxa"/>
            <w:vAlign w:val="center"/>
          </w:tcPr>
          <w:p>
            <w:pPr>
              <w:pStyle w:val="63"/>
              <w:rPr>
                <w:color w:val="000000" w:themeColor="text1"/>
                <w:highlight w:val="none"/>
              </w:rPr>
            </w:pPr>
            <w:r>
              <w:rPr>
                <w:color w:val="000000" w:themeColor="text1"/>
                <w:highlight w:val="none"/>
              </w:rPr>
              <w:t>N</w:t>
            </w:r>
          </w:p>
        </w:tc>
        <w:tc>
          <w:tcPr>
            <w:tcW w:w="1496" w:type="dxa"/>
            <w:vAlign w:val="center"/>
          </w:tcPr>
          <w:p>
            <w:pPr>
              <w:pStyle w:val="63"/>
              <w:rPr>
                <w:color w:val="000000" w:themeColor="text1"/>
                <w:highlight w:val="none"/>
              </w:rPr>
            </w:pPr>
            <w:r>
              <w:rPr>
                <w:color w:val="000000" w:themeColor="text1"/>
                <w:highlight w:val="none"/>
              </w:rPr>
              <w:t>N</w:t>
            </w:r>
          </w:p>
        </w:tc>
        <w:tc>
          <w:tcPr>
            <w:tcW w:w="1296" w:type="dxa"/>
            <w:vAlign w:val="center"/>
          </w:tcPr>
          <w:p>
            <w:pPr>
              <w:pStyle w:val="63"/>
              <w:rPr>
                <w:color w:val="000000" w:themeColor="text1"/>
                <w:highlight w:val="none"/>
              </w:rPr>
            </w:pPr>
            <w:r>
              <w:rPr>
                <w:color w:val="000000" w:themeColor="text1"/>
                <w:highlight w:val="none"/>
              </w:rPr>
              <w:t>3等或N</w:t>
            </w:r>
          </w:p>
        </w:tc>
      </w:tr>
    </w:tbl>
    <w:p>
      <w:pPr>
        <w:pStyle w:val="9"/>
        <w:rPr>
          <w:color w:val="000000" w:themeColor="text1"/>
          <w:highlight w:val="none"/>
        </w:rPr>
      </w:pPr>
      <w:r>
        <w:rPr>
          <w:color w:val="000000" w:themeColor="text1"/>
          <w:highlight w:val="none"/>
        </w:rPr>
        <w:t>注：“1”为非常适宜，“2”为较适宜，“3”为一般适宜，“N”为不适宜。</w:t>
      </w:r>
    </w:p>
    <w:p>
      <w:pPr>
        <w:rPr>
          <w:color w:val="000000" w:themeColor="text1"/>
          <w:highlight w:val="none"/>
        </w:rPr>
      </w:pPr>
      <w:r>
        <w:rPr>
          <w:color w:val="000000" w:themeColor="text1"/>
          <w:highlight w:val="none"/>
        </w:rPr>
        <w:t>（4）</w:t>
      </w:r>
      <w:r>
        <w:rPr>
          <w:color w:val="000000" w:themeColor="text1"/>
          <w:highlight w:val="none"/>
          <w:lang w:val="en-GB"/>
        </w:rPr>
        <w:t>各评价单元土地质量状况及等级评定结果</w:t>
      </w:r>
      <w:r>
        <w:rPr>
          <w:color w:val="000000" w:themeColor="text1"/>
          <w:highlight w:val="none"/>
        </w:rPr>
        <w:t>。</w:t>
      </w:r>
    </w:p>
    <w:p>
      <w:pPr>
        <w:rPr>
          <w:color w:val="000000" w:themeColor="text1"/>
          <w:highlight w:val="none"/>
        </w:rPr>
      </w:pPr>
      <w:r>
        <w:rPr>
          <w:color w:val="000000" w:themeColor="text1"/>
          <w:highlight w:val="none"/>
        </w:rPr>
        <w:t>在对项目土地质量调查的基础上，将参评单元的土地质量分别与复垦土地主要限制因素的农林牧业评价等级标准对比，限制最大、适宜性等级最低的土地质量参评项目决定该单元土地适宜等级，详见结果表4-</w:t>
      </w:r>
      <w:r>
        <w:rPr>
          <w:rFonts w:hint="eastAsia"/>
          <w:color w:val="000000" w:themeColor="text1"/>
          <w:highlight w:val="none"/>
        </w:rPr>
        <w:t>5</w:t>
      </w:r>
      <w:r>
        <w:rPr>
          <w:color w:val="000000" w:themeColor="text1"/>
          <w:highlight w:val="none"/>
        </w:rPr>
        <w:t>~4-</w:t>
      </w:r>
      <w:r>
        <w:rPr>
          <w:rFonts w:hint="eastAsia"/>
          <w:color w:val="000000" w:themeColor="text1"/>
          <w:highlight w:val="none"/>
          <w:lang w:val="en-US" w:eastAsia="zh-CN"/>
        </w:rPr>
        <w:t>7</w:t>
      </w:r>
      <w:r>
        <w:rPr>
          <w:color w:val="000000" w:themeColor="text1"/>
          <w:highlight w:val="none"/>
        </w:rPr>
        <w:t>所示。</w:t>
      </w:r>
    </w:p>
    <w:p>
      <w:pPr>
        <w:pStyle w:val="67"/>
        <w:rPr>
          <w:color w:val="000000" w:themeColor="text1"/>
          <w:highlight w:val="none"/>
        </w:rPr>
      </w:pPr>
      <w:r>
        <w:rPr>
          <w:color w:val="000000" w:themeColor="text1"/>
          <w:highlight w:val="none"/>
        </w:rPr>
        <w:t>表4-</w:t>
      </w:r>
      <w:r>
        <w:rPr>
          <w:rFonts w:hint="eastAsia"/>
          <w:color w:val="000000" w:themeColor="text1"/>
          <w:highlight w:val="none"/>
        </w:rPr>
        <w:t xml:space="preserve">5  </w:t>
      </w:r>
      <w:r>
        <w:rPr>
          <w:color w:val="000000" w:themeColor="text1"/>
          <w:highlight w:val="none"/>
        </w:rPr>
        <w:t>露天采场</w:t>
      </w:r>
      <w:r>
        <w:rPr>
          <w:rFonts w:hint="eastAsia"/>
          <w:color w:val="000000" w:themeColor="text1"/>
          <w:highlight w:val="none"/>
        </w:rPr>
        <w:t>平台</w:t>
      </w:r>
      <w:r>
        <w:rPr>
          <w:color w:val="000000" w:themeColor="text1"/>
          <w:highlight w:val="none"/>
        </w:rPr>
        <w:t>（P1评价单元）适宜性评价结果表</w:t>
      </w:r>
    </w:p>
    <w:tbl>
      <w:tblPr>
        <w:tblStyle w:val="3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120"/>
        <w:gridCol w:w="1276"/>
        <w:gridCol w:w="2268"/>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Align w:val="center"/>
          </w:tcPr>
          <w:p>
            <w:pPr>
              <w:pStyle w:val="63"/>
              <w:rPr>
                <w:color w:val="000000" w:themeColor="text1"/>
                <w:highlight w:val="none"/>
              </w:rPr>
            </w:pPr>
            <w:r>
              <w:rPr>
                <w:color w:val="000000" w:themeColor="text1"/>
                <w:highlight w:val="none"/>
              </w:rPr>
              <w:t>土地质量状况</w:t>
            </w:r>
          </w:p>
        </w:tc>
        <w:tc>
          <w:tcPr>
            <w:tcW w:w="1120" w:type="dxa"/>
            <w:vAlign w:val="center"/>
          </w:tcPr>
          <w:p>
            <w:pPr>
              <w:pStyle w:val="63"/>
              <w:rPr>
                <w:color w:val="000000" w:themeColor="text1"/>
                <w:highlight w:val="none"/>
              </w:rPr>
            </w:pPr>
            <w:r>
              <w:rPr>
                <w:color w:val="000000" w:themeColor="text1"/>
                <w:highlight w:val="none"/>
              </w:rPr>
              <w:t>评价类型</w:t>
            </w:r>
          </w:p>
        </w:tc>
        <w:tc>
          <w:tcPr>
            <w:tcW w:w="1276" w:type="dxa"/>
            <w:vAlign w:val="center"/>
          </w:tcPr>
          <w:p>
            <w:pPr>
              <w:pStyle w:val="63"/>
              <w:rPr>
                <w:color w:val="000000" w:themeColor="text1"/>
                <w:highlight w:val="none"/>
              </w:rPr>
            </w:pPr>
            <w:r>
              <w:rPr>
                <w:color w:val="000000" w:themeColor="text1"/>
                <w:highlight w:val="none"/>
              </w:rPr>
              <w:t>适宜性</w:t>
            </w:r>
          </w:p>
        </w:tc>
        <w:tc>
          <w:tcPr>
            <w:tcW w:w="2268" w:type="dxa"/>
            <w:vAlign w:val="center"/>
          </w:tcPr>
          <w:p>
            <w:pPr>
              <w:pStyle w:val="63"/>
              <w:rPr>
                <w:color w:val="000000" w:themeColor="text1"/>
                <w:highlight w:val="none"/>
              </w:rPr>
            </w:pPr>
            <w:r>
              <w:rPr>
                <w:color w:val="000000" w:themeColor="text1"/>
                <w:highlight w:val="none"/>
              </w:rPr>
              <w:t>主要限制因子</w:t>
            </w:r>
          </w:p>
        </w:tc>
        <w:tc>
          <w:tcPr>
            <w:tcW w:w="1705" w:type="dxa"/>
            <w:vAlign w:val="center"/>
          </w:tcPr>
          <w:p>
            <w:pPr>
              <w:pStyle w:val="63"/>
              <w:rPr>
                <w:color w:val="000000" w:themeColor="text1"/>
                <w:highlight w:val="none"/>
              </w:rPr>
            </w:pPr>
            <w:r>
              <w:rPr>
                <w:color w:val="000000" w:themeColor="text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restart"/>
            <w:vAlign w:val="center"/>
          </w:tcPr>
          <w:p>
            <w:pPr>
              <w:pStyle w:val="63"/>
              <w:rPr>
                <w:color w:val="000000" w:themeColor="text1"/>
                <w:highlight w:val="none"/>
              </w:rPr>
            </w:pPr>
            <w:r>
              <w:rPr>
                <w:color w:val="000000" w:themeColor="text1"/>
                <w:highlight w:val="none"/>
              </w:rPr>
              <w:t>地面坡度＜5°；地表组成物质为</w:t>
            </w:r>
            <w:r>
              <w:rPr>
                <w:rFonts w:hint="eastAsia"/>
                <w:color w:val="000000" w:themeColor="text1"/>
                <w:highlight w:val="none"/>
              </w:rPr>
              <w:t>砾质</w:t>
            </w:r>
            <w:r>
              <w:rPr>
                <w:color w:val="000000" w:themeColor="text1"/>
                <w:highlight w:val="none"/>
              </w:rPr>
              <w:t>；灌溉条件、水源保证差的干旱、半干旱土地</w:t>
            </w:r>
            <w:r>
              <w:rPr>
                <w:rFonts w:hint="eastAsia"/>
                <w:color w:val="000000" w:themeColor="text1"/>
                <w:highlight w:val="none"/>
              </w:rPr>
              <w:t>；土源保证率</w:t>
            </w:r>
            <w:r>
              <w:rPr>
                <w:color w:val="000000" w:themeColor="text1"/>
                <w:highlight w:val="none"/>
              </w:rPr>
              <w:t>100</w:t>
            </w:r>
            <w:r>
              <w:rPr>
                <w:rFonts w:hint="eastAsia"/>
                <w:color w:val="000000" w:themeColor="text1"/>
                <w:highlight w:val="none"/>
              </w:rPr>
              <w:t>%</w:t>
            </w:r>
          </w:p>
        </w:tc>
        <w:tc>
          <w:tcPr>
            <w:tcW w:w="1120" w:type="dxa"/>
            <w:vAlign w:val="center"/>
          </w:tcPr>
          <w:p>
            <w:pPr>
              <w:pStyle w:val="63"/>
              <w:rPr>
                <w:color w:val="000000" w:themeColor="text1"/>
                <w:highlight w:val="none"/>
              </w:rPr>
            </w:pPr>
            <w:r>
              <w:rPr>
                <w:color w:val="000000" w:themeColor="text1"/>
                <w:highlight w:val="none"/>
              </w:rPr>
              <w:t>耕地评价</w:t>
            </w:r>
          </w:p>
        </w:tc>
        <w:tc>
          <w:tcPr>
            <w:tcW w:w="1276" w:type="dxa"/>
            <w:vAlign w:val="center"/>
          </w:tcPr>
          <w:p>
            <w:pPr>
              <w:pStyle w:val="63"/>
              <w:rPr>
                <w:color w:val="000000" w:themeColor="text1"/>
                <w:highlight w:val="none"/>
              </w:rPr>
            </w:pPr>
            <w:r>
              <w:rPr>
                <w:rFonts w:hint="eastAsia"/>
                <w:color w:val="000000" w:themeColor="text1"/>
                <w:highlight w:val="none"/>
              </w:rPr>
              <w:t>2</w:t>
            </w:r>
          </w:p>
        </w:tc>
        <w:tc>
          <w:tcPr>
            <w:tcW w:w="226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05" w:type="dxa"/>
            <w:vAlign w:val="center"/>
          </w:tcPr>
          <w:p>
            <w:pPr>
              <w:pStyle w:val="63"/>
              <w:rPr>
                <w:color w:val="000000" w:themeColor="text1"/>
                <w:highlight w:val="none"/>
              </w:rPr>
            </w:pPr>
            <w:r>
              <w:rPr>
                <w:color w:val="000000" w:themeColor="text1"/>
                <w:highlight w:val="none"/>
              </w:rPr>
              <w:t>覆土后</w:t>
            </w:r>
            <w:r>
              <w:rPr>
                <w:rFonts w:hint="eastAsia"/>
                <w:color w:val="000000" w:themeColor="text1"/>
                <w:highlight w:val="none"/>
              </w:rPr>
              <w:t>可复垦为旱地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评价</w:t>
            </w:r>
          </w:p>
        </w:tc>
        <w:tc>
          <w:tcPr>
            <w:tcW w:w="1276" w:type="dxa"/>
            <w:vAlign w:val="center"/>
          </w:tcPr>
          <w:p>
            <w:pPr>
              <w:pStyle w:val="63"/>
              <w:rPr>
                <w:color w:val="000000" w:themeColor="text1"/>
                <w:highlight w:val="none"/>
              </w:rPr>
            </w:pPr>
            <w:r>
              <w:rPr>
                <w:color w:val="000000" w:themeColor="text1"/>
                <w:highlight w:val="none"/>
              </w:rPr>
              <w:t>1等或2等</w:t>
            </w:r>
          </w:p>
        </w:tc>
        <w:tc>
          <w:tcPr>
            <w:tcW w:w="226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05" w:type="dxa"/>
            <w:vAlign w:val="center"/>
          </w:tcPr>
          <w:p>
            <w:pPr>
              <w:pStyle w:val="63"/>
              <w:rPr>
                <w:color w:val="000000" w:themeColor="text1"/>
                <w:highlight w:val="none"/>
              </w:rPr>
            </w:pPr>
            <w:r>
              <w:rPr>
                <w:color w:val="000000" w:themeColor="text1"/>
                <w:highlight w:val="none"/>
              </w:rPr>
              <w:t>覆土后可复垦为</w:t>
            </w:r>
            <w:r>
              <w:rPr>
                <w:rFonts w:hint="eastAsia"/>
                <w:color w:val="000000" w:themeColor="text1"/>
                <w:highlight w:val="none"/>
              </w:rPr>
              <w:t>林</w:t>
            </w:r>
            <w:r>
              <w:rPr>
                <w:color w:val="000000" w:themeColor="text1"/>
                <w:highlight w:val="none"/>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color w:val="000000" w:themeColor="text1"/>
                <w:highlight w:val="none"/>
              </w:rPr>
              <w:t>草地评价</w:t>
            </w:r>
          </w:p>
        </w:tc>
        <w:tc>
          <w:tcPr>
            <w:tcW w:w="1276" w:type="dxa"/>
            <w:vAlign w:val="center"/>
          </w:tcPr>
          <w:p>
            <w:pPr>
              <w:pStyle w:val="63"/>
              <w:rPr>
                <w:color w:val="000000" w:themeColor="text1"/>
                <w:highlight w:val="none"/>
              </w:rPr>
            </w:pPr>
            <w:r>
              <w:rPr>
                <w:color w:val="000000" w:themeColor="text1"/>
                <w:highlight w:val="none"/>
              </w:rPr>
              <w:t>1等或2等</w:t>
            </w:r>
          </w:p>
        </w:tc>
        <w:tc>
          <w:tcPr>
            <w:tcW w:w="226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05" w:type="dxa"/>
            <w:vAlign w:val="center"/>
          </w:tcPr>
          <w:p>
            <w:pPr>
              <w:pStyle w:val="63"/>
              <w:rPr>
                <w:color w:val="000000" w:themeColor="text1"/>
                <w:highlight w:val="none"/>
              </w:rPr>
            </w:pPr>
            <w:r>
              <w:rPr>
                <w:color w:val="000000" w:themeColor="text1"/>
                <w:highlight w:val="none"/>
              </w:rPr>
              <w:t>覆土后可复垦为草地</w:t>
            </w:r>
          </w:p>
        </w:tc>
      </w:tr>
    </w:tbl>
    <w:p>
      <w:pPr>
        <w:pStyle w:val="67"/>
        <w:rPr>
          <w:color w:val="000000" w:themeColor="text1"/>
          <w:highlight w:val="none"/>
        </w:rPr>
      </w:pPr>
    </w:p>
    <w:p>
      <w:pPr>
        <w:pStyle w:val="67"/>
        <w:rPr>
          <w:color w:val="000000" w:themeColor="text1"/>
          <w:highlight w:val="none"/>
        </w:rPr>
      </w:pPr>
      <w:r>
        <w:rPr>
          <w:color w:val="000000" w:themeColor="text1"/>
          <w:highlight w:val="none"/>
        </w:rPr>
        <w:t>表4-</w:t>
      </w:r>
      <w:r>
        <w:rPr>
          <w:rFonts w:hint="eastAsia"/>
          <w:color w:val="000000" w:themeColor="text1"/>
          <w:highlight w:val="none"/>
        </w:rPr>
        <w:t xml:space="preserve">6  </w:t>
      </w:r>
      <w:r>
        <w:rPr>
          <w:color w:val="000000" w:themeColor="text1"/>
          <w:highlight w:val="none"/>
        </w:rPr>
        <w:t>露天采场</w:t>
      </w:r>
      <w:r>
        <w:rPr>
          <w:rFonts w:hint="eastAsia"/>
          <w:color w:val="000000" w:themeColor="text1"/>
          <w:highlight w:val="none"/>
        </w:rPr>
        <w:t>边坡</w:t>
      </w:r>
      <w:r>
        <w:rPr>
          <w:color w:val="000000" w:themeColor="text1"/>
          <w:highlight w:val="none"/>
        </w:rPr>
        <w:t>（P2评价单元）适宜性评价结果表</w:t>
      </w:r>
    </w:p>
    <w:tbl>
      <w:tblPr>
        <w:tblStyle w:val="3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120"/>
        <w:gridCol w:w="1319"/>
        <w:gridCol w:w="2216"/>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Align w:val="center"/>
          </w:tcPr>
          <w:p>
            <w:pPr>
              <w:pStyle w:val="63"/>
              <w:rPr>
                <w:color w:val="000000" w:themeColor="text1"/>
                <w:highlight w:val="none"/>
              </w:rPr>
            </w:pPr>
            <w:r>
              <w:rPr>
                <w:color w:val="000000" w:themeColor="text1"/>
                <w:highlight w:val="none"/>
              </w:rPr>
              <w:t>土地质量状况</w:t>
            </w:r>
          </w:p>
        </w:tc>
        <w:tc>
          <w:tcPr>
            <w:tcW w:w="1120" w:type="dxa"/>
            <w:vAlign w:val="center"/>
          </w:tcPr>
          <w:p>
            <w:pPr>
              <w:pStyle w:val="63"/>
              <w:rPr>
                <w:color w:val="000000" w:themeColor="text1"/>
                <w:highlight w:val="none"/>
              </w:rPr>
            </w:pPr>
            <w:r>
              <w:rPr>
                <w:color w:val="000000" w:themeColor="text1"/>
                <w:highlight w:val="none"/>
              </w:rPr>
              <w:t>评价类型</w:t>
            </w:r>
          </w:p>
        </w:tc>
        <w:tc>
          <w:tcPr>
            <w:tcW w:w="1319" w:type="dxa"/>
            <w:vAlign w:val="center"/>
          </w:tcPr>
          <w:p>
            <w:pPr>
              <w:pStyle w:val="63"/>
              <w:rPr>
                <w:color w:val="000000" w:themeColor="text1"/>
                <w:highlight w:val="none"/>
              </w:rPr>
            </w:pPr>
            <w:r>
              <w:rPr>
                <w:color w:val="000000" w:themeColor="text1"/>
                <w:highlight w:val="none"/>
              </w:rPr>
              <w:t>适宜性</w:t>
            </w:r>
          </w:p>
        </w:tc>
        <w:tc>
          <w:tcPr>
            <w:tcW w:w="2216" w:type="dxa"/>
            <w:vAlign w:val="center"/>
          </w:tcPr>
          <w:p>
            <w:pPr>
              <w:pStyle w:val="63"/>
              <w:rPr>
                <w:color w:val="000000" w:themeColor="text1"/>
                <w:highlight w:val="none"/>
              </w:rPr>
            </w:pPr>
            <w:r>
              <w:rPr>
                <w:color w:val="000000" w:themeColor="text1"/>
                <w:highlight w:val="none"/>
              </w:rPr>
              <w:t>主要限制因子</w:t>
            </w:r>
          </w:p>
        </w:tc>
        <w:tc>
          <w:tcPr>
            <w:tcW w:w="1714" w:type="dxa"/>
            <w:vAlign w:val="center"/>
          </w:tcPr>
          <w:p>
            <w:pPr>
              <w:pStyle w:val="63"/>
              <w:rPr>
                <w:color w:val="000000" w:themeColor="text1"/>
                <w:highlight w:val="none"/>
              </w:rPr>
            </w:pPr>
            <w:r>
              <w:rPr>
                <w:color w:val="000000" w:themeColor="text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restart"/>
            <w:vAlign w:val="center"/>
          </w:tcPr>
          <w:p>
            <w:pPr>
              <w:pStyle w:val="63"/>
              <w:rPr>
                <w:color w:val="000000" w:themeColor="text1"/>
                <w:highlight w:val="none"/>
              </w:rPr>
            </w:pPr>
            <w:r>
              <w:rPr>
                <w:color w:val="000000" w:themeColor="text1"/>
                <w:highlight w:val="none"/>
              </w:rPr>
              <w:t>地面坡度</w:t>
            </w:r>
            <w:r>
              <w:rPr>
                <w:rFonts w:hint="eastAsia"/>
                <w:color w:val="000000" w:themeColor="text1"/>
                <w:highlight w:val="none"/>
              </w:rPr>
              <w:t>&gt;4</w:t>
            </w:r>
            <w:r>
              <w:rPr>
                <w:color w:val="000000" w:themeColor="text1"/>
                <w:highlight w:val="none"/>
              </w:rPr>
              <w:t>5°；地表组成物质为</w:t>
            </w:r>
            <w:r>
              <w:rPr>
                <w:rFonts w:hint="eastAsia"/>
                <w:color w:val="000000" w:themeColor="text1"/>
                <w:highlight w:val="none"/>
              </w:rPr>
              <w:t>砾质</w:t>
            </w:r>
            <w:r>
              <w:rPr>
                <w:color w:val="000000" w:themeColor="text1"/>
                <w:highlight w:val="none"/>
              </w:rPr>
              <w:t>；灌溉条件、水源保证差的干旱、半干旱土地</w:t>
            </w:r>
            <w:r>
              <w:rPr>
                <w:rFonts w:hint="eastAsia"/>
                <w:color w:val="000000" w:themeColor="text1"/>
                <w:highlight w:val="none"/>
              </w:rPr>
              <w:t>；土源保证率</w:t>
            </w:r>
            <w:r>
              <w:rPr>
                <w:color w:val="000000" w:themeColor="text1"/>
                <w:highlight w:val="none"/>
              </w:rPr>
              <w:t>100</w:t>
            </w:r>
            <w:r>
              <w:rPr>
                <w:rFonts w:hint="eastAsia"/>
                <w:color w:val="000000" w:themeColor="text1"/>
                <w:highlight w:val="none"/>
              </w:rPr>
              <w:t>%</w:t>
            </w:r>
          </w:p>
        </w:tc>
        <w:tc>
          <w:tcPr>
            <w:tcW w:w="1120" w:type="dxa"/>
            <w:vAlign w:val="center"/>
          </w:tcPr>
          <w:p>
            <w:pPr>
              <w:pStyle w:val="63"/>
              <w:rPr>
                <w:color w:val="000000" w:themeColor="text1"/>
                <w:highlight w:val="none"/>
              </w:rPr>
            </w:pPr>
            <w:r>
              <w:rPr>
                <w:color w:val="000000" w:themeColor="text1"/>
                <w:highlight w:val="none"/>
              </w:rPr>
              <w:t>耕地评价</w:t>
            </w:r>
          </w:p>
        </w:tc>
        <w:tc>
          <w:tcPr>
            <w:tcW w:w="1319" w:type="dxa"/>
            <w:vAlign w:val="center"/>
          </w:tcPr>
          <w:p>
            <w:pPr>
              <w:pStyle w:val="63"/>
              <w:rPr>
                <w:color w:val="000000" w:themeColor="text1"/>
                <w:highlight w:val="none"/>
              </w:rPr>
            </w:pPr>
            <w:r>
              <w:rPr>
                <w:rFonts w:hint="eastAsia"/>
                <w:color w:val="000000" w:themeColor="text1"/>
                <w:highlight w:val="none"/>
              </w:rPr>
              <w:t>N</w:t>
            </w:r>
          </w:p>
        </w:tc>
        <w:tc>
          <w:tcPr>
            <w:tcW w:w="2216" w:type="dxa"/>
            <w:vAlign w:val="center"/>
          </w:tcPr>
          <w:p>
            <w:pPr>
              <w:pStyle w:val="63"/>
              <w:rPr>
                <w:color w:val="000000" w:themeColor="text1"/>
                <w:highlight w:val="none"/>
              </w:rPr>
            </w:pPr>
            <w:r>
              <w:rPr>
                <w:rFonts w:hint="eastAsia"/>
                <w:color w:val="000000" w:themeColor="text1"/>
                <w:highlight w:val="none"/>
              </w:rPr>
              <w:t>坡度、</w:t>
            </w: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14" w:type="dxa"/>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评价</w:t>
            </w:r>
          </w:p>
        </w:tc>
        <w:tc>
          <w:tcPr>
            <w:tcW w:w="1319" w:type="dxa"/>
            <w:vAlign w:val="center"/>
          </w:tcPr>
          <w:p>
            <w:pPr>
              <w:pStyle w:val="63"/>
              <w:rPr>
                <w:color w:val="000000" w:themeColor="text1"/>
                <w:highlight w:val="none"/>
              </w:rPr>
            </w:pPr>
            <w:r>
              <w:rPr>
                <w:rFonts w:hint="eastAsia"/>
                <w:color w:val="000000" w:themeColor="text1"/>
                <w:highlight w:val="none"/>
              </w:rPr>
              <w:t>3或N</w:t>
            </w:r>
          </w:p>
        </w:tc>
        <w:tc>
          <w:tcPr>
            <w:tcW w:w="2216" w:type="dxa"/>
            <w:vAlign w:val="center"/>
          </w:tcPr>
          <w:p>
            <w:pPr>
              <w:pStyle w:val="63"/>
              <w:rPr>
                <w:color w:val="000000" w:themeColor="text1"/>
                <w:highlight w:val="none"/>
              </w:rPr>
            </w:pPr>
            <w:r>
              <w:rPr>
                <w:rFonts w:hint="eastAsia"/>
                <w:color w:val="000000" w:themeColor="text1"/>
                <w:highlight w:val="none"/>
              </w:rPr>
              <w:t>坡度、</w:t>
            </w: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14" w:type="dxa"/>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color w:val="000000" w:themeColor="text1"/>
                <w:highlight w:val="none"/>
              </w:rPr>
              <w:t>草地评价</w:t>
            </w:r>
          </w:p>
        </w:tc>
        <w:tc>
          <w:tcPr>
            <w:tcW w:w="1319" w:type="dxa"/>
            <w:vAlign w:val="center"/>
          </w:tcPr>
          <w:p>
            <w:pPr>
              <w:pStyle w:val="63"/>
              <w:rPr>
                <w:color w:val="000000" w:themeColor="text1"/>
                <w:highlight w:val="none"/>
              </w:rPr>
            </w:pPr>
            <w:r>
              <w:rPr>
                <w:rFonts w:hint="eastAsia"/>
                <w:color w:val="000000" w:themeColor="text1"/>
                <w:highlight w:val="none"/>
              </w:rPr>
              <w:t>3或N</w:t>
            </w:r>
          </w:p>
        </w:tc>
        <w:tc>
          <w:tcPr>
            <w:tcW w:w="2216" w:type="dxa"/>
            <w:vAlign w:val="center"/>
          </w:tcPr>
          <w:p>
            <w:pPr>
              <w:pStyle w:val="63"/>
              <w:rPr>
                <w:color w:val="000000" w:themeColor="text1"/>
                <w:highlight w:val="none"/>
              </w:rPr>
            </w:pPr>
            <w:r>
              <w:rPr>
                <w:rFonts w:hint="eastAsia"/>
                <w:color w:val="000000" w:themeColor="text1"/>
                <w:highlight w:val="none"/>
              </w:rPr>
              <w:t>坡度、</w:t>
            </w: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714" w:type="dxa"/>
            <w:vAlign w:val="center"/>
          </w:tcPr>
          <w:p>
            <w:pPr>
              <w:pStyle w:val="63"/>
              <w:rPr>
                <w:color w:val="000000" w:themeColor="text1"/>
                <w:highlight w:val="none"/>
              </w:rPr>
            </w:pPr>
            <w:r>
              <w:rPr>
                <w:color w:val="000000" w:themeColor="text1"/>
                <w:highlight w:val="none"/>
              </w:rPr>
              <w:t>覆土后可复垦为草地</w:t>
            </w:r>
          </w:p>
        </w:tc>
      </w:tr>
    </w:tbl>
    <w:p>
      <w:pPr>
        <w:pStyle w:val="67"/>
        <w:rPr>
          <w:color w:val="000000" w:themeColor="text1"/>
          <w:highlight w:val="none"/>
        </w:rPr>
      </w:pPr>
    </w:p>
    <w:p>
      <w:pPr>
        <w:pStyle w:val="67"/>
        <w:rPr>
          <w:color w:val="000000" w:themeColor="text1"/>
          <w:highlight w:val="none"/>
        </w:rPr>
      </w:pPr>
      <w:r>
        <w:rPr>
          <w:color w:val="000000" w:themeColor="text1"/>
          <w:highlight w:val="none"/>
        </w:rPr>
        <w:t>表4-</w:t>
      </w:r>
      <w:r>
        <w:rPr>
          <w:rFonts w:hint="eastAsia"/>
          <w:color w:val="000000" w:themeColor="text1"/>
          <w:highlight w:val="none"/>
          <w:lang w:val="en-US" w:eastAsia="zh-CN"/>
        </w:rPr>
        <w:t>7</w:t>
      </w:r>
      <w:r>
        <w:rPr>
          <w:rFonts w:hint="eastAsia"/>
          <w:color w:val="000000" w:themeColor="text1"/>
          <w:highlight w:val="none"/>
        </w:rPr>
        <w:t xml:space="preserve">  </w:t>
      </w:r>
      <w:r>
        <w:rPr>
          <w:rFonts w:hint="eastAsia"/>
          <w:color w:val="000000" w:themeColor="text1"/>
          <w:highlight w:val="none"/>
          <w:lang w:eastAsia="zh-CN"/>
        </w:rPr>
        <w:t>矿山公路</w:t>
      </w:r>
      <w:r>
        <w:rPr>
          <w:color w:val="000000" w:themeColor="text1"/>
          <w:highlight w:val="none"/>
        </w:rPr>
        <w:t>（P</w:t>
      </w:r>
      <w:r>
        <w:rPr>
          <w:rFonts w:hint="eastAsia"/>
          <w:color w:val="000000" w:themeColor="text1"/>
          <w:highlight w:val="none"/>
          <w:lang w:val="en-US" w:eastAsia="zh-CN"/>
        </w:rPr>
        <w:t>3</w:t>
      </w:r>
      <w:r>
        <w:rPr>
          <w:color w:val="000000" w:themeColor="text1"/>
          <w:highlight w:val="none"/>
        </w:rPr>
        <w:t>评价单元）适宜性评价结果表</w:t>
      </w:r>
    </w:p>
    <w:tbl>
      <w:tblPr>
        <w:tblStyle w:val="3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1120"/>
        <w:gridCol w:w="1308"/>
        <w:gridCol w:w="2088"/>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Align w:val="center"/>
          </w:tcPr>
          <w:p>
            <w:pPr>
              <w:pStyle w:val="63"/>
              <w:rPr>
                <w:color w:val="000000" w:themeColor="text1"/>
                <w:highlight w:val="none"/>
              </w:rPr>
            </w:pPr>
            <w:r>
              <w:rPr>
                <w:color w:val="000000" w:themeColor="text1"/>
                <w:highlight w:val="none"/>
              </w:rPr>
              <w:t>土地质量状况</w:t>
            </w:r>
          </w:p>
        </w:tc>
        <w:tc>
          <w:tcPr>
            <w:tcW w:w="1120" w:type="dxa"/>
            <w:vAlign w:val="center"/>
          </w:tcPr>
          <w:p>
            <w:pPr>
              <w:pStyle w:val="63"/>
              <w:rPr>
                <w:color w:val="000000" w:themeColor="text1"/>
                <w:highlight w:val="none"/>
              </w:rPr>
            </w:pPr>
            <w:r>
              <w:rPr>
                <w:color w:val="000000" w:themeColor="text1"/>
                <w:highlight w:val="none"/>
              </w:rPr>
              <w:t>评价类型</w:t>
            </w:r>
          </w:p>
        </w:tc>
        <w:tc>
          <w:tcPr>
            <w:tcW w:w="1308" w:type="dxa"/>
            <w:vAlign w:val="center"/>
          </w:tcPr>
          <w:p>
            <w:pPr>
              <w:pStyle w:val="63"/>
              <w:rPr>
                <w:color w:val="000000" w:themeColor="text1"/>
                <w:highlight w:val="none"/>
              </w:rPr>
            </w:pPr>
            <w:r>
              <w:rPr>
                <w:color w:val="000000" w:themeColor="text1"/>
                <w:highlight w:val="none"/>
              </w:rPr>
              <w:t>适宜性</w:t>
            </w:r>
          </w:p>
        </w:tc>
        <w:tc>
          <w:tcPr>
            <w:tcW w:w="2088" w:type="dxa"/>
            <w:vAlign w:val="center"/>
          </w:tcPr>
          <w:p>
            <w:pPr>
              <w:pStyle w:val="63"/>
              <w:rPr>
                <w:color w:val="000000" w:themeColor="text1"/>
                <w:highlight w:val="none"/>
              </w:rPr>
            </w:pPr>
            <w:r>
              <w:rPr>
                <w:color w:val="000000" w:themeColor="text1"/>
                <w:highlight w:val="none"/>
              </w:rPr>
              <w:t>主要限制因子</w:t>
            </w:r>
          </w:p>
        </w:tc>
        <w:tc>
          <w:tcPr>
            <w:tcW w:w="1853" w:type="dxa"/>
            <w:vAlign w:val="center"/>
          </w:tcPr>
          <w:p>
            <w:pPr>
              <w:pStyle w:val="63"/>
              <w:rPr>
                <w:color w:val="000000" w:themeColor="text1"/>
                <w:highlight w:val="none"/>
              </w:rPr>
            </w:pPr>
            <w:r>
              <w:rPr>
                <w:color w:val="000000" w:themeColor="text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restart"/>
            <w:vAlign w:val="center"/>
          </w:tcPr>
          <w:p>
            <w:pPr>
              <w:pStyle w:val="63"/>
              <w:rPr>
                <w:color w:val="000000" w:themeColor="text1"/>
                <w:highlight w:val="none"/>
              </w:rPr>
            </w:pPr>
            <w:r>
              <w:rPr>
                <w:color w:val="000000" w:themeColor="text1"/>
                <w:highlight w:val="none"/>
              </w:rPr>
              <w:t>地面坡度＜</w:t>
            </w:r>
            <w:r>
              <w:rPr>
                <w:rFonts w:hint="eastAsia"/>
                <w:color w:val="000000" w:themeColor="text1"/>
                <w:highlight w:val="none"/>
                <w:lang w:val="en-US" w:eastAsia="zh-CN"/>
              </w:rPr>
              <w:t>10</w:t>
            </w:r>
            <w:r>
              <w:rPr>
                <w:color w:val="000000" w:themeColor="text1"/>
                <w:highlight w:val="none"/>
              </w:rPr>
              <w:t>°；地表组成物质为岩土混合物；灌溉条件、水源保证差的干旱、半干旱土地</w:t>
            </w:r>
            <w:r>
              <w:rPr>
                <w:rFonts w:hint="eastAsia"/>
                <w:color w:val="000000" w:themeColor="text1"/>
                <w:highlight w:val="none"/>
              </w:rPr>
              <w:t>；土源保证率</w:t>
            </w:r>
            <w:r>
              <w:rPr>
                <w:color w:val="000000" w:themeColor="text1"/>
                <w:highlight w:val="none"/>
              </w:rPr>
              <w:t>100</w:t>
            </w:r>
            <w:r>
              <w:rPr>
                <w:rFonts w:hint="eastAsia"/>
                <w:color w:val="000000" w:themeColor="text1"/>
                <w:highlight w:val="none"/>
              </w:rPr>
              <w:t>%</w:t>
            </w:r>
          </w:p>
        </w:tc>
        <w:tc>
          <w:tcPr>
            <w:tcW w:w="1120" w:type="dxa"/>
            <w:vAlign w:val="center"/>
          </w:tcPr>
          <w:p>
            <w:pPr>
              <w:pStyle w:val="63"/>
              <w:rPr>
                <w:color w:val="000000" w:themeColor="text1"/>
                <w:highlight w:val="none"/>
              </w:rPr>
            </w:pPr>
            <w:r>
              <w:rPr>
                <w:color w:val="000000" w:themeColor="text1"/>
                <w:highlight w:val="none"/>
              </w:rPr>
              <w:t>耕地评价</w:t>
            </w:r>
          </w:p>
        </w:tc>
        <w:tc>
          <w:tcPr>
            <w:tcW w:w="1308" w:type="dxa"/>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rPr>
              <w:t>2</w:t>
            </w:r>
          </w:p>
        </w:tc>
        <w:tc>
          <w:tcPr>
            <w:tcW w:w="208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853" w:type="dxa"/>
            <w:vAlign w:val="center"/>
          </w:tcPr>
          <w:p>
            <w:pPr>
              <w:pStyle w:val="63"/>
              <w:rPr>
                <w:color w:val="000000" w:themeColor="text1"/>
                <w:highlight w:val="none"/>
              </w:rPr>
            </w:pPr>
            <w:r>
              <w:rPr>
                <w:color w:val="000000" w:themeColor="text1"/>
                <w:highlight w:val="none"/>
              </w:rPr>
              <w:t>覆土后</w:t>
            </w:r>
            <w:r>
              <w:rPr>
                <w:rFonts w:hint="eastAsia"/>
                <w:color w:val="000000" w:themeColor="text1"/>
                <w:highlight w:val="none"/>
              </w:rPr>
              <w:t>可复垦为旱地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rFonts w:hint="eastAsia"/>
                <w:color w:val="000000" w:themeColor="text1"/>
                <w:highlight w:val="none"/>
              </w:rPr>
              <w:t>林地</w:t>
            </w:r>
            <w:r>
              <w:rPr>
                <w:color w:val="000000" w:themeColor="text1"/>
                <w:highlight w:val="none"/>
              </w:rPr>
              <w:t>评价</w:t>
            </w:r>
          </w:p>
        </w:tc>
        <w:tc>
          <w:tcPr>
            <w:tcW w:w="1308" w:type="dxa"/>
            <w:vAlign w:val="center"/>
          </w:tcPr>
          <w:p>
            <w:pPr>
              <w:pStyle w:val="63"/>
              <w:ind w:firstLine="0" w:firstLineChars="0"/>
              <w:rPr>
                <w:rFonts w:hint="eastAsia" w:eastAsia="宋体"/>
                <w:color w:val="000000" w:themeColor="text1"/>
                <w:highlight w:val="none"/>
                <w:lang w:eastAsia="zh-CN"/>
              </w:rPr>
            </w:pPr>
            <w:r>
              <w:rPr>
                <w:color w:val="000000" w:themeColor="text1"/>
                <w:highlight w:val="none"/>
              </w:rPr>
              <w:t>1等或2等</w:t>
            </w:r>
          </w:p>
        </w:tc>
        <w:tc>
          <w:tcPr>
            <w:tcW w:w="208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853" w:type="dxa"/>
            <w:vAlign w:val="center"/>
          </w:tcPr>
          <w:p>
            <w:pPr>
              <w:pStyle w:val="63"/>
              <w:rPr>
                <w:color w:val="000000" w:themeColor="text1"/>
                <w:highlight w:val="none"/>
              </w:rPr>
            </w:pPr>
            <w:r>
              <w:rPr>
                <w:color w:val="000000" w:themeColor="text1"/>
                <w:highlight w:val="none"/>
              </w:rPr>
              <w:t>覆土后可复垦为</w:t>
            </w:r>
            <w:r>
              <w:rPr>
                <w:rFonts w:hint="eastAsia"/>
                <w:color w:val="000000" w:themeColor="text1"/>
                <w:highlight w:val="none"/>
              </w:rPr>
              <w:t>林</w:t>
            </w:r>
            <w:r>
              <w:rPr>
                <w:color w:val="000000" w:themeColor="text1"/>
                <w:highlight w:val="none"/>
              </w:rPr>
              <w:t>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34" w:type="dxa"/>
            <w:vMerge w:val="continue"/>
            <w:vAlign w:val="center"/>
          </w:tcPr>
          <w:p>
            <w:pPr>
              <w:pStyle w:val="63"/>
              <w:rPr>
                <w:color w:val="000000" w:themeColor="text1"/>
                <w:highlight w:val="none"/>
              </w:rPr>
            </w:pPr>
          </w:p>
        </w:tc>
        <w:tc>
          <w:tcPr>
            <w:tcW w:w="1120" w:type="dxa"/>
            <w:vAlign w:val="center"/>
          </w:tcPr>
          <w:p>
            <w:pPr>
              <w:pStyle w:val="63"/>
              <w:rPr>
                <w:color w:val="000000" w:themeColor="text1"/>
                <w:highlight w:val="none"/>
              </w:rPr>
            </w:pPr>
            <w:r>
              <w:rPr>
                <w:color w:val="000000" w:themeColor="text1"/>
                <w:highlight w:val="none"/>
              </w:rPr>
              <w:t>草地评价</w:t>
            </w:r>
          </w:p>
        </w:tc>
        <w:tc>
          <w:tcPr>
            <w:tcW w:w="1308" w:type="dxa"/>
            <w:vAlign w:val="center"/>
          </w:tcPr>
          <w:p>
            <w:pPr>
              <w:pStyle w:val="63"/>
              <w:ind w:firstLine="0" w:firstLineChars="0"/>
              <w:rPr>
                <w:rFonts w:hint="eastAsia" w:eastAsia="宋体"/>
                <w:color w:val="000000" w:themeColor="text1"/>
                <w:highlight w:val="none"/>
                <w:lang w:eastAsia="zh-CN"/>
              </w:rPr>
            </w:pPr>
            <w:r>
              <w:rPr>
                <w:color w:val="000000" w:themeColor="text1"/>
                <w:highlight w:val="none"/>
              </w:rPr>
              <w:t>1等或2等</w:t>
            </w:r>
          </w:p>
        </w:tc>
        <w:tc>
          <w:tcPr>
            <w:tcW w:w="2088" w:type="dxa"/>
            <w:vAlign w:val="center"/>
          </w:tcPr>
          <w:p>
            <w:pPr>
              <w:pStyle w:val="63"/>
              <w:rPr>
                <w:color w:val="000000" w:themeColor="text1"/>
                <w:highlight w:val="none"/>
              </w:rPr>
            </w:pPr>
            <w:r>
              <w:rPr>
                <w:color w:val="000000" w:themeColor="text1"/>
                <w:highlight w:val="none"/>
              </w:rPr>
              <w:t>地表组成物</w:t>
            </w:r>
            <w:r>
              <w:rPr>
                <w:rFonts w:hint="eastAsia"/>
                <w:color w:val="000000" w:themeColor="text1"/>
                <w:highlight w:val="none"/>
              </w:rPr>
              <w:t>、</w:t>
            </w:r>
            <w:r>
              <w:rPr>
                <w:color w:val="000000" w:themeColor="text1"/>
                <w:highlight w:val="none"/>
              </w:rPr>
              <w:t>灌溉条件</w:t>
            </w:r>
          </w:p>
        </w:tc>
        <w:tc>
          <w:tcPr>
            <w:tcW w:w="1853" w:type="dxa"/>
            <w:vAlign w:val="center"/>
          </w:tcPr>
          <w:p>
            <w:pPr>
              <w:pStyle w:val="63"/>
              <w:rPr>
                <w:color w:val="000000" w:themeColor="text1"/>
                <w:highlight w:val="none"/>
              </w:rPr>
            </w:pPr>
            <w:r>
              <w:rPr>
                <w:color w:val="000000" w:themeColor="text1"/>
                <w:highlight w:val="none"/>
              </w:rPr>
              <w:t>覆土后可复垦为草地</w:t>
            </w:r>
          </w:p>
        </w:tc>
      </w:tr>
    </w:tbl>
    <w:p>
      <w:pPr>
        <w:rPr>
          <w:color w:val="000000" w:themeColor="text1"/>
          <w:highlight w:val="none"/>
        </w:rPr>
      </w:pPr>
      <w:r>
        <w:rPr>
          <w:color w:val="000000" w:themeColor="text1"/>
          <w:highlight w:val="none"/>
        </w:rPr>
        <w:t>（5）土地复垦适宜性评价结果分析</w:t>
      </w:r>
    </w:p>
    <w:p>
      <w:pPr>
        <w:rPr>
          <w:color w:val="000000" w:themeColor="text1"/>
          <w:highlight w:val="none"/>
        </w:rPr>
      </w:pPr>
      <w:r>
        <w:rPr>
          <w:color w:val="000000" w:themeColor="text1"/>
          <w:highlight w:val="none"/>
        </w:rPr>
        <w:t>由评价过程可以看出，整个复垦区待复垦土地存在一定的多宜性，最终的复垦利用方向需要综合考虑多方面的因素。本方案的土地复垦适宜性评价共划分6个单元，针对不同评价单元的特征，分别采用不同的评价方法对涉及到的评价单元进行适宜性等级评定。结果如下表4-</w:t>
      </w:r>
      <w:r>
        <w:rPr>
          <w:rFonts w:hint="eastAsia"/>
          <w:color w:val="000000" w:themeColor="text1"/>
          <w:highlight w:val="none"/>
          <w:lang w:val="en-US" w:eastAsia="zh-CN"/>
        </w:rPr>
        <w:t>8</w:t>
      </w:r>
      <w:r>
        <w:rPr>
          <w:color w:val="000000" w:themeColor="text1"/>
          <w:highlight w:val="none"/>
        </w:rPr>
        <w:t>。</w:t>
      </w:r>
    </w:p>
    <w:p>
      <w:pPr>
        <w:pStyle w:val="67"/>
        <w:rPr>
          <w:color w:val="000000" w:themeColor="text1"/>
          <w:highlight w:val="none"/>
        </w:rPr>
      </w:pPr>
      <w:r>
        <w:rPr>
          <w:color w:val="000000" w:themeColor="text1"/>
          <w:highlight w:val="none"/>
        </w:rPr>
        <w:t>表4-</w:t>
      </w:r>
      <w:r>
        <w:rPr>
          <w:rFonts w:hint="eastAsia"/>
          <w:color w:val="000000" w:themeColor="text1"/>
          <w:highlight w:val="none"/>
          <w:lang w:val="en-US" w:eastAsia="zh-CN"/>
        </w:rPr>
        <w:t>8</w:t>
      </w:r>
      <w:r>
        <w:rPr>
          <w:rFonts w:hint="eastAsia"/>
          <w:color w:val="000000" w:themeColor="text1"/>
          <w:highlight w:val="none"/>
        </w:rPr>
        <w:t xml:space="preserve">  </w:t>
      </w:r>
      <w:r>
        <w:rPr>
          <w:rFonts w:hint="eastAsia"/>
          <w:color w:val="000000" w:themeColor="text1"/>
          <w:highlight w:val="none"/>
          <w:lang w:eastAsia="zh-CN"/>
        </w:rPr>
        <w:t>三江镇战旗石灰石矿</w:t>
      </w:r>
      <w:r>
        <w:rPr>
          <w:color w:val="000000" w:themeColor="text1"/>
          <w:highlight w:val="none"/>
        </w:rPr>
        <w:t>土地复垦适宜性评价等级结果表</w:t>
      </w:r>
    </w:p>
    <w:tbl>
      <w:tblPr>
        <w:tblStyle w:val="31"/>
        <w:tblW w:w="4935" w:type="pct"/>
        <w:jc w:val="center"/>
        <w:tblLayout w:type="fixed"/>
        <w:tblCellMar>
          <w:top w:w="0" w:type="dxa"/>
          <w:left w:w="108" w:type="dxa"/>
          <w:bottom w:w="0" w:type="dxa"/>
          <w:right w:w="108" w:type="dxa"/>
        </w:tblCellMar>
      </w:tblPr>
      <w:tblGrid>
        <w:gridCol w:w="611"/>
        <w:gridCol w:w="1550"/>
        <w:gridCol w:w="969"/>
        <w:gridCol w:w="780"/>
        <w:gridCol w:w="1211"/>
        <w:gridCol w:w="1150"/>
        <w:gridCol w:w="2134"/>
      </w:tblGrid>
      <w:tr>
        <w:tblPrEx>
          <w:tblCellMar>
            <w:top w:w="0" w:type="dxa"/>
            <w:left w:w="108" w:type="dxa"/>
            <w:bottom w:w="0" w:type="dxa"/>
            <w:right w:w="108" w:type="dxa"/>
          </w:tblCellMar>
        </w:tblPrEx>
        <w:trPr>
          <w:trHeight w:val="454" w:hRule="atLeast"/>
          <w:jc w:val="center"/>
        </w:trPr>
        <w:tc>
          <w:tcPr>
            <w:tcW w:w="186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评价单元</w:t>
            </w:r>
          </w:p>
        </w:tc>
        <w:tc>
          <w:tcPr>
            <w:tcW w:w="1868" w:type="pct"/>
            <w:gridSpan w:val="3"/>
            <w:tcBorders>
              <w:top w:val="single" w:color="auto" w:sz="4" w:space="0"/>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适宜性等级</w:t>
            </w:r>
          </w:p>
        </w:tc>
        <w:tc>
          <w:tcPr>
            <w:tcW w:w="1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限制因子</w:t>
            </w:r>
            <w:r>
              <w:rPr>
                <w:color w:val="000000" w:themeColor="text1"/>
                <w:highlight w:val="none"/>
              </w:rPr>
              <w:t>/</w:t>
            </w:r>
            <w:r>
              <w:rPr>
                <w:rFonts w:hint="eastAsia"/>
                <w:color w:val="000000" w:themeColor="text1"/>
                <w:highlight w:val="none"/>
              </w:rPr>
              <w:t>备注</w:t>
            </w:r>
          </w:p>
        </w:tc>
      </w:tr>
      <w:tr>
        <w:tblPrEx>
          <w:tblCellMar>
            <w:top w:w="0" w:type="dxa"/>
            <w:left w:w="108" w:type="dxa"/>
            <w:bottom w:w="0" w:type="dxa"/>
            <w:right w:w="108" w:type="dxa"/>
          </w:tblCellMar>
        </w:tblPrEx>
        <w:trPr>
          <w:trHeight w:val="454" w:hRule="atLeast"/>
          <w:jc w:val="center"/>
        </w:trPr>
        <w:tc>
          <w:tcPr>
            <w:tcW w:w="363" w:type="pct"/>
            <w:tcBorders>
              <w:top w:val="nil"/>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编号</w:t>
            </w:r>
          </w:p>
        </w:tc>
        <w:tc>
          <w:tcPr>
            <w:tcW w:w="921"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名称</w:t>
            </w:r>
          </w:p>
        </w:tc>
        <w:tc>
          <w:tcPr>
            <w:tcW w:w="576"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c>
          <w:tcPr>
            <w:tcW w:w="463"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耕</w:t>
            </w:r>
          </w:p>
        </w:tc>
        <w:tc>
          <w:tcPr>
            <w:tcW w:w="720"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林</w:t>
            </w:r>
          </w:p>
        </w:tc>
        <w:tc>
          <w:tcPr>
            <w:tcW w:w="684"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草</w:t>
            </w:r>
          </w:p>
        </w:tc>
        <w:tc>
          <w:tcPr>
            <w:tcW w:w="1269" w:type="pct"/>
            <w:vMerge w:val="continue"/>
            <w:tcBorders>
              <w:top w:val="single" w:color="auto" w:sz="4" w:space="0"/>
              <w:left w:val="single" w:color="auto" w:sz="4" w:space="0"/>
              <w:bottom w:val="single" w:color="auto" w:sz="4" w:space="0"/>
              <w:right w:val="single" w:color="auto" w:sz="4" w:space="0"/>
            </w:tcBorders>
            <w:vAlign w:val="center"/>
          </w:tcPr>
          <w:p>
            <w:pPr>
              <w:pStyle w:val="63"/>
              <w:ind w:left="0" w:leftChars="0" w:right="0" w:rightChars="0" w:firstLine="0" w:firstLineChars="0"/>
              <w:jc w:val="center"/>
              <w:rPr>
                <w:color w:val="000000" w:themeColor="text1"/>
                <w:highlight w:val="none"/>
              </w:rPr>
            </w:pPr>
          </w:p>
        </w:tc>
      </w:tr>
      <w:tr>
        <w:tblPrEx>
          <w:tblCellMar>
            <w:top w:w="0" w:type="dxa"/>
            <w:left w:w="108" w:type="dxa"/>
            <w:bottom w:w="0" w:type="dxa"/>
            <w:right w:w="108" w:type="dxa"/>
          </w:tblCellMar>
        </w:tblPrEx>
        <w:trPr>
          <w:trHeight w:val="454" w:hRule="atLeast"/>
          <w:jc w:val="center"/>
        </w:trPr>
        <w:tc>
          <w:tcPr>
            <w:tcW w:w="363" w:type="pct"/>
            <w:tcBorders>
              <w:top w:val="nil"/>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P1</w:t>
            </w:r>
          </w:p>
        </w:tc>
        <w:tc>
          <w:tcPr>
            <w:tcW w:w="921"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露天采场平台</w:t>
            </w:r>
          </w:p>
        </w:tc>
        <w:tc>
          <w:tcPr>
            <w:tcW w:w="576"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7.6345</w:t>
            </w:r>
          </w:p>
        </w:tc>
        <w:tc>
          <w:tcPr>
            <w:tcW w:w="463"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lang w:val="en-US" w:eastAsia="zh-CN"/>
              </w:rPr>
              <w:t>2</w:t>
            </w:r>
            <w:r>
              <w:rPr>
                <w:rFonts w:hint="eastAsia"/>
                <w:color w:val="000000" w:themeColor="text1"/>
                <w:highlight w:val="none"/>
              </w:rPr>
              <w:t>等</w:t>
            </w:r>
          </w:p>
        </w:tc>
        <w:tc>
          <w:tcPr>
            <w:tcW w:w="720"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1等或2等</w:t>
            </w:r>
          </w:p>
        </w:tc>
        <w:tc>
          <w:tcPr>
            <w:tcW w:w="684"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1等或2等</w:t>
            </w:r>
          </w:p>
        </w:tc>
        <w:tc>
          <w:tcPr>
            <w:tcW w:w="1269" w:type="pct"/>
            <w:tcBorders>
              <w:top w:val="nil"/>
              <w:left w:val="nil"/>
              <w:bottom w:val="single" w:color="auto" w:sz="4" w:space="0"/>
              <w:right w:val="single" w:color="auto" w:sz="4" w:space="0"/>
            </w:tcBorders>
            <w:shd w:val="clear" w:color="auto" w:fill="auto"/>
            <w:noWrap/>
            <w:vAlign w:val="center"/>
          </w:tcPr>
          <w:p>
            <w:pPr>
              <w:pStyle w:val="63"/>
              <w:ind w:left="0" w:leftChars="0" w:right="0" w:rightChars="0" w:firstLine="0" w:firstLineChars="0"/>
              <w:jc w:val="center"/>
              <w:rPr>
                <w:rFonts w:hint="eastAsia" w:eastAsia="宋体"/>
                <w:color w:val="000000" w:themeColor="text1"/>
                <w:highlight w:val="none"/>
                <w:lang w:eastAsia="zh-CN"/>
              </w:rPr>
            </w:pPr>
            <w:r>
              <w:rPr>
                <w:rFonts w:hint="eastAsia"/>
                <w:color w:val="000000" w:themeColor="text1"/>
                <w:highlight w:val="none"/>
              </w:rPr>
              <w:t>地表物质组成、灌溉条件</w:t>
            </w:r>
            <w:r>
              <w:rPr>
                <w:rFonts w:hint="eastAsia"/>
                <w:color w:val="000000" w:themeColor="text1"/>
                <w:highlight w:val="none"/>
                <w:lang w:eastAsia="zh-CN"/>
              </w:rPr>
              <w:t>，覆土后可复垦为旱地</w:t>
            </w:r>
          </w:p>
        </w:tc>
      </w:tr>
      <w:tr>
        <w:tblPrEx>
          <w:tblCellMar>
            <w:top w:w="0" w:type="dxa"/>
            <w:left w:w="108" w:type="dxa"/>
            <w:bottom w:w="0" w:type="dxa"/>
            <w:right w:w="108" w:type="dxa"/>
          </w:tblCellMar>
        </w:tblPrEx>
        <w:trPr>
          <w:trHeight w:val="454" w:hRule="atLeast"/>
          <w:jc w:val="center"/>
        </w:trPr>
        <w:tc>
          <w:tcPr>
            <w:tcW w:w="363" w:type="pct"/>
            <w:tcBorders>
              <w:top w:val="nil"/>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P2</w:t>
            </w:r>
          </w:p>
        </w:tc>
        <w:tc>
          <w:tcPr>
            <w:tcW w:w="921"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露天采场边坡</w:t>
            </w:r>
          </w:p>
        </w:tc>
        <w:tc>
          <w:tcPr>
            <w:tcW w:w="576"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1.3434</w:t>
            </w:r>
          </w:p>
        </w:tc>
        <w:tc>
          <w:tcPr>
            <w:tcW w:w="463"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N</w:t>
            </w:r>
            <w:r>
              <w:rPr>
                <w:rFonts w:hint="eastAsia"/>
                <w:color w:val="000000" w:themeColor="text1"/>
                <w:highlight w:val="none"/>
              </w:rPr>
              <w:t>等</w:t>
            </w:r>
          </w:p>
        </w:tc>
        <w:tc>
          <w:tcPr>
            <w:tcW w:w="720"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3</w:t>
            </w:r>
            <w:r>
              <w:rPr>
                <w:rFonts w:hint="eastAsia"/>
                <w:color w:val="000000" w:themeColor="text1"/>
                <w:highlight w:val="none"/>
              </w:rPr>
              <w:t>或</w:t>
            </w:r>
            <w:r>
              <w:rPr>
                <w:color w:val="000000" w:themeColor="text1"/>
                <w:highlight w:val="none"/>
              </w:rPr>
              <w:t>N</w:t>
            </w:r>
            <w:r>
              <w:rPr>
                <w:rFonts w:hint="eastAsia"/>
                <w:color w:val="000000" w:themeColor="text1"/>
                <w:highlight w:val="none"/>
              </w:rPr>
              <w:t>等</w:t>
            </w:r>
          </w:p>
        </w:tc>
        <w:tc>
          <w:tcPr>
            <w:tcW w:w="684"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3</w:t>
            </w:r>
            <w:r>
              <w:rPr>
                <w:rFonts w:hint="eastAsia"/>
                <w:color w:val="000000" w:themeColor="text1"/>
                <w:highlight w:val="none"/>
              </w:rPr>
              <w:t>或</w:t>
            </w:r>
            <w:r>
              <w:rPr>
                <w:color w:val="000000" w:themeColor="text1"/>
                <w:highlight w:val="none"/>
              </w:rPr>
              <w:t>N</w:t>
            </w:r>
            <w:r>
              <w:rPr>
                <w:rFonts w:hint="eastAsia"/>
                <w:color w:val="000000" w:themeColor="text1"/>
                <w:highlight w:val="none"/>
              </w:rPr>
              <w:t>等</w:t>
            </w:r>
          </w:p>
        </w:tc>
        <w:tc>
          <w:tcPr>
            <w:tcW w:w="1269"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坡度、地表物质组成、灌溉条件</w:t>
            </w:r>
          </w:p>
        </w:tc>
      </w:tr>
      <w:tr>
        <w:tblPrEx>
          <w:tblCellMar>
            <w:top w:w="0" w:type="dxa"/>
            <w:left w:w="108" w:type="dxa"/>
            <w:bottom w:w="0" w:type="dxa"/>
            <w:right w:w="108" w:type="dxa"/>
          </w:tblCellMar>
        </w:tblPrEx>
        <w:trPr>
          <w:trHeight w:val="454" w:hRule="atLeast"/>
          <w:jc w:val="center"/>
        </w:trPr>
        <w:tc>
          <w:tcPr>
            <w:tcW w:w="363" w:type="pct"/>
            <w:tcBorders>
              <w:top w:val="nil"/>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P3</w:t>
            </w:r>
          </w:p>
        </w:tc>
        <w:tc>
          <w:tcPr>
            <w:tcW w:w="921"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矿山公路</w:t>
            </w:r>
          </w:p>
        </w:tc>
        <w:tc>
          <w:tcPr>
            <w:tcW w:w="576"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rFonts w:hint="default" w:eastAsia="宋体"/>
                <w:color w:val="000000" w:themeColor="text1"/>
                <w:highlight w:val="none"/>
                <w:lang w:val="en-US" w:eastAsia="zh-CN"/>
              </w:rPr>
            </w:pPr>
            <w:r>
              <w:rPr>
                <w:rFonts w:hint="eastAsia"/>
                <w:color w:val="000000" w:themeColor="text1"/>
                <w:highlight w:val="none"/>
                <w:lang w:val="en-US" w:eastAsia="zh-CN"/>
              </w:rPr>
              <w:t>0.5465</w:t>
            </w:r>
          </w:p>
        </w:tc>
        <w:tc>
          <w:tcPr>
            <w:tcW w:w="463"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lang w:val="en-US" w:eastAsia="zh-CN"/>
              </w:rPr>
              <w:t>2</w:t>
            </w:r>
            <w:r>
              <w:rPr>
                <w:rFonts w:hint="eastAsia"/>
                <w:color w:val="000000" w:themeColor="text1"/>
                <w:highlight w:val="none"/>
              </w:rPr>
              <w:t>等</w:t>
            </w:r>
          </w:p>
        </w:tc>
        <w:tc>
          <w:tcPr>
            <w:tcW w:w="720"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1等或2等</w:t>
            </w:r>
          </w:p>
        </w:tc>
        <w:tc>
          <w:tcPr>
            <w:tcW w:w="684"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color w:val="000000" w:themeColor="text1"/>
                <w:highlight w:val="none"/>
              </w:rPr>
              <w:t>1等或2等</w:t>
            </w:r>
          </w:p>
        </w:tc>
        <w:tc>
          <w:tcPr>
            <w:tcW w:w="1269" w:type="pct"/>
            <w:tcBorders>
              <w:top w:val="nil"/>
              <w:left w:val="nil"/>
              <w:bottom w:val="single" w:color="auto" w:sz="4" w:space="0"/>
              <w:right w:val="single" w:color="auto" w:sz="4" w:space="0"/>
            </w:tcBorders>
            <w:shd w:val="clear" w:color="auto" w:fill="auto"/>
            <w:noWrap/>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地表物质组成、灌溉条件</w:t>
            </w:r>
            <w:r>
              <w:rPr>
                <w:rFonts w:hint="eastAsia"/>
                <w:color w:val="000000" w:themeColor="text1"/>
                <w:highlight w:val="none"/>
                <w:lang w:eastAsia="zh-CN"/>
              </w:rPr>
              <w:t>，覆土后可复垦为旱地</w:t>
            </w:r>
          </w:p>
        </w:tc>
      </w:tr>
      <w:tr>
        <w:tblPrEx>
          <w:tblCellMar>
            <w:top w:w="0" w:type="dxa"/>
            <w:left w:w="108" w:type="dxa"/>
            <w:bottom w:w="0" w:type="dxa"/>
            <w:right w:w="108" w:type="dxa"/>
          </w:tblCellMar>
        </w:tblPrEx>
        <w:trPr>
          <w:trHeight w:val="454" w:hRule="atLeast"/>
          <w:jc w:val="center"/>
        </w:trPr>
        <w:tc>
          <w:tcPr>
            <w:tcW w:w="363" w:type="pct"/>
            <w:tcBorders>
              <w:top w:val="nil"/>
              <w:left w:val="single" w:color="auto" w:sz="4" w:space="0"/>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r>
              <w:rPr>
                <w:rFonts w:hint="eastAsia"/>
                <w:color w:val="000000" w:themeColor="text1"/>
                <w:highlight w:val="none"/>
              </w:rPr>
              <w:t>合计</w:t>
            </w:r>
          </w:p>
        </w:tc>
        <w:tc>
          <w:tcPr>
            <w:tcW w:w="921"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p>
        </w:tc>
        <w:tc>
          <w:tcPr>
            <w:tcW w:w="576"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rFonts w:hint="eastAsia" w:eastAsia="宋体"/>
                <w:color w:val="000000" w:themeColor="text1"/>
                <w:highlight w:val="none"/>
                <w:lang w:eastAsia="zh-CN"/>
              </w:rPr>
            </w:pPr>
            <w:r>
              <w:rPr>
                <w:rFonts w:hint="eastAsia"/>
                <w:color w:val="000000" w:themeColor="text1"/>
                <w:highlight w:val="none"/>
                <w:lang w:eastAsia="zh-CN"/>
              </w:rPr>
              <w:t>9.5224</w:t>
            </w:r>
          </w:p>
        </w:tc>
        <w:tc>
          <w:tcPr>
            <w:tcW w:w="463"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p>
        </w:tc>
        <w:tc>
          <w:tcPr>
            <w:tcW w:w="720"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p>
        </w:tc>
        <w:tc>
          <w:tcPr>
            <w:tcW w:w="684"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p>
        </w:tc>
        <w:tc>
          <w:tcPr>
            <w:tcW w:w="1269" w:type="pct"/>
            <w:tcBorders>
              <w:top w:val="nil"/>
              <w:left w:val="nil"/>
              <w:bottom w:val="single" w:color="auto" w:sz="4" w:space="0"/>
              <w:right w:val="single" w:color="auto" w:sz="4" w:space="0"/>
            </w:tcBorders>
            <w:shd w:val="clear" w:color="auto" w:fill="auto"/>
            <w:vAlign w:val="center"/>
          </w:tcPr>
          <w:p>
            <w:pPr>
              <w:pStyle w:val="63"/>
              <w:ind w:left="0" w:leftChars="0" w:right="0" w:rightChars="0" w:firstLine="0" w:firstLineChars="0"/>
              <w:jc w:val="center"/>
              <w:rPr>
                <w:color w:val="000000" w:themeColor="text1"/>
                <w:highlight w:val="none"/>
              </w:rPr>
            </w:pPr>
          </w:p>
        </w:tc>
      </w:tr>
    </w:tbl>
    <w:p>
      <w:pPr>
        <w:rPr>
          <w:color w:val="000000" w:themeColor="text1"/>
          <w:highlight w:val="none"/>
        </w:rPr>
      </w:pPr>
      <w:r>
        <w:rPr>
          <w:color w:val="000000" w:themeColor="text1"/>
          <w:highlight w:val="none"/>
        </w:rPr>
        <w:t>6、复垦方向的最终确定</w:t>
      </w:r>
    </w:p>
    <w:p>
      <w:pPr>
        <w:rPr>
          <w:color w:val="000000" w:themeColor="text1"/>
          <w:highlight w:val="none"/>
          <w:lang w:val="en-GB"/>
        </w:rPr>
      </w:pPr>
      <w:r>
        <w:rPr>
          <w:color w:val="000000" w:themeColor="text1"/>
          <w:highlight w:val="none"/>
        </w:rPr>
        <w:t>（1）</w:t>
      </w:r>
      <w:r>
        <w:rPr>
          <w:color w:val="000000" w:themeColor="text1"/>
          <w:highlight w:val="none"/>
          <w:lang w:val="en-GB"/>
        </w:rPr>
        <w:t>复垦方向的最终确定</w:t>
      </w:r>
    </w:p>
    <w:p>
      <w:pPr>
        <w:rPr>
          <w:color w:val="000000" w:themeColor="text1"/>
          <w:highlight w:val="none"/>
        </w:rPr>
      </w:pPr>
      <w:r>
        <w:rPr>
          <w:color w:val="000000" w:themeColor="text1"/>
          <w:highlight w:val="none"/>
        </w:rPr>
        <w:t>综合考虑当地植被生长条件，以及项目区自然条件情况，同时参考当地政策因素、土地权利人的建议和其他相关规划确定复垦的最终方向。具体各评价单元复垦方向见表4-</w:t>
      </w:r>
      <w:r>
        <w:rPr>
          <w:rFonts w:hint="eastAsia"/>
          <w:color w:val="000000" w:themeColor="text1"/>
          <w:highlight w:val="none"/>
          <w:lang w:val="en-US" w:eastAsia="zh-CN"/>
        </w:rPr>
        <w:t>9</w:t>
      </w:r>
      <w:r>
        <w:rPr>
          <w:color w:val="000000" w:themeColor="text1"/>
          <w:highlight w:val="none"/>
        </w:rPr>
        <w:t>：</w:t>
      </w:r>
    </w:p>
    <w:p>
      <w:pPr>
        <w:pStyle w:val="67"/>
        <w:rPr>
          <w:color w:val="000000" w:themeColor="text1"/>
          <w:highlight w:val="none"/>
        </w:rPr>
      </w:pPr>
      <w:r>
        <w:rPr>
          <w:color w:val="000000" w:themeColor="text1"/>
          <w:highlight w:val="none"/>
        </w:rPr>
        <w:t>表4-</w:t>
      </w:r>
      <w:bookmarkStart w:id="176" w:name="_Ref394475443"/>
      <w:r>
        <w:rPr>
          <w:rFonts w:hint="eastAsia"/>
          <w:color w:val="000000" w:themeColor="text1"/>
          <w:highlight w:val="none"/>
          <w:lang w:val="en-US" w:eastAsia="zh-CN"/>
        </w:rPr>
        <w:t>9</w:t>
      </w:r>
      <w:r>
        <w:rPr>
          <w:rFonts w:hint="eastAsia"/>
          <w:color w:val="000000" w:themeColor="text1"/>
          <w:highlight w:val="none"/>
        </w:rPr>
        <w:t xml:space="preserve">  </w:t>
      </w:r>
      <w:r>
        <w:rPr>
          <w:color w:val="000000" w:themeColor="text1"/>
          <w:highlight w:val="none"/>
        </w:rPr>
        <w:t>评价单</w:t>
      </w:r>
      <w:bookmarkEnd w:id="176"/>
      <w:r>
        <w:rPr>
          <w:color w:val="000000" w:themeColor="text1"/>
          <w:highlight w:val="none"/>
        </w:rPr>
        <w:t>元土地复垦方向分析结果</w:t>
      </w:r>
    </w:p>
    <w:tbl>
      <w:tblPr>
        <w:tblStyle w:val="31"/>
        <w:tblW w:w="51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0"/>
        <w:gridCol w:w="1275"/>
        <w:gridCol w:w="425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 w:type="pct"/>
            <w:shd w:val="clear" w:color="auto" w:fill="auto"/>
            <w:vAlign w:val="center"/>
          </w:tcPr>
          <w:p>
            <w:pPr>
              <w:pStyle w:val="63"/>
              <w:rPr>
                <w:color w:val="000000" w:themeColor="text1"/>
                <w:highlight w:val="none"/>
              </w:rPr>
            </w:pPr>
            <w:r>
              <w:rPr>
                <w:rFonts w:hint="eastAsia"/>
                <w:color w:val="000000" w:themeColor="text1"/>
                <w:highlight w:val="none"/>
              </w:rPr>
              <w:t>适宜性评价单元</w:t>
            </w:r>
          </w:p>
        </w:tc>
        <w:tc>
          <w:tcPr>
            <w:tcW w:w="728" w:type="pct"/>
            <w:shd w:val="clear" w:color="auto" w:fill="auto"/>
            <w:vAlign w:val="center"/>
          </w:tcPr>
          <w:p>
            <w:pPr>
              <w:pStyle w:val="63"/>
              <w:rPr>
                <w:color w:val="000000" w:themeColor="text1"/>
                <w:highlight w:val="none"/>
              </w:rPr>
            </w:pPr>
            <w:r>
              <w:rPr>
                <w:rFonts w:hint="eastAsia"/>
                <w:color w:val="000000" w:themeColor="text1"/>
                <w:highlight w:val="none"/>
              </w:rPr>
              <w:t>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c>
          <w:tcPr>
            <w:tcW w:w="2427" w:type="pct"/>
            <w:shd w:val="clear" w:color="auto" w:fill="auto"/>
            <w:vAlign w:val="center"/>
          </w:tcPr>
          <w:p>
            <w:pPr>
              <w:pStyle w:val="63"/>
              <w:rPr>
                <w:color w:val="000000" w:themeColor="text1"/>
                <w:highlight w:val="none"/>
              </w:rPr>
            </w:pPr>
            <w:r>
              <w:rPr>
                <w:rFonts w:hint="eastAsia"/>
                <w:color w:val="000000" w:themeColor="text1"/>
                <w:highlight w:val="none"/>
              </w:rPr>
              <w:t>资源配置</w:t>
            </w:r>
          </w:p>
        </w:tc>
        <w:tc>
          <w:tcPr>
            <w:tcW w:w="809" w:type="pct"/>
            <w:shd w:val="clear" w:color="auto" w:fill="auto"/>
            <w:vAlign w:val="center"/>
          </w:tcPr>
          <w:p>
            <w:pPr>
              <w:pStyle w:val="63"/>
              <w:rPr>
                <w:color w:val="000000" w:themeColor="text1"/>
                <w:highlight w:val="none"/>
              </w:rPr>
            </w:pPr>
            <w:r>
              <w:rPr>
                <w:rFonts w:hint="eastAsia"/>
                <w:color w:val="000000" w:themeColor="text1"/>
                <w:highlight w:val="none"/>
              </w:rPr>
              <w:t>复垦方向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 w:type="pct"/>
            <w:shd w:val="clear" w:color="auto" w:fill="auto"/>
            <w:vAlign w:val="center"/>
          </w:tcPr>
          <w:p>
            <w:pPr>
              <w:pStyle w:val="63"/>
              <w:rPr>
                <w:color w:val="000000" w:themeColor="text1"/>
                <w:highlight w:val="none"/>
              </w:rPr>
            </w:pPr>
            <w:r>
              <w:rPr>
                <w:rFonts w:hint="eastAsia"/>
                <w:color w:val="000000" w:themeColor="text1"/>
                <w:highlight w:val="none"/>
              </w:rPr>
              <w:t>露天采场平台</w:t>
            </w:r>
          </w:p>
        </w:tc>
        <w:tc>
          <w:tcPr>
            <w:tcW w:w="728"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7.6345</w:t>
            </w:r>
          </w:p>
        </w:tc>
        <w:tc>
          <w:tcPr>
            <w:tcW w:w="2427"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rPr>
              <w:t>地表清理、覆土平整、</w:t>
            </w:r>
            <w:r>
              <w:rPr>
                <w:rFonts w:hint="eastAsia"/>
                <w:color w:val="000000" w:themeColor="text1"/>
                <w:highlight w:val="none"/>
                <w:lang w:eastAsia="zh-CN"/>
              </w:rPr>
              <w:t>表土回覆</w:t>
            </w:r>
            <w:r>
              <w:rPr>
                <w:rFonts w:hint="eastAsia"/>
                <w:color w:val="000000" w:themeColor="text1"/>
                <w:highlight w:val="none"/>
              </w:rPr>
              <w:t>、</w:t>
            </w:r>
            <w:r>
              <w:rPr>
                <w:rFonts w:hint="eastAsia"/>
                <w:color w:val="000000" w:themeColor="text1"/>
                <w:highlight w:val="none"/>
                <w:lang w:eastAsia="zh-CN"/>
              </w:rPr>
              <w:t>种植乔木（如马尾松）</w:t>
            </w:r>
          </w:p>
        </w:tc>
        <w:tc>
          <w:tcPr>
            <w:tcW w:w="809"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乔木林地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 w:type="pct"/>
            <w:shd w:val="clear" w:color="auto" w:fill="auto"/>
            <w:vAlign w:val="center"/>
          </w:tcPr>
          <w:p>
            <w:pPr>
              <w:pStyle w:val="63"/>
              <w:rPr>
                <w:color w:val="000000" w:themeColor="text1"/>
                <w:highlight w:val="none"/>
              </w:rPr>
            </w:pPr>
            <w:r>
              <w:rPr>
                <w:rFonts w:hint="eastAsia"/>
                <w:color w:val="000000" w:themeColor="text1"/>
                <w:highlight w:val="none"/>
              </w:rPr>
              <w:t>露天采场边坡</w:t>
            </w:r>
          </w:p>
        </w:tc>
        <w:tc>
          <w:tcPr>
            <w:tcW w:w="728"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1.3434</w:t>
            </w:r>
          </w:p>
        </w:tc>
        <w:tc>
          <w:tcPr>
            <w:tcW w:w="2427"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rPr>
              <w:t>地表清理、覆土平整、土壤培肥、种植</w:t>
            </w:r>
            <w:r>
              <w:rPr>
                <w:rFonts w:hint="eastAsia"/>
                <w:color w:val="000000" w:themeColor="text1"/>
                <w:highlight w:val="none"/>
                <w:lang w:eastAsia="zh-CN"/>
              </w:rPr>
              <w:t>藤类植物（如蔷薇、爬山虎）</w:t>
            </w:r>
          </w:p>
        </w:tc>
        <w:tc>
          <w:tcPr>
            <w:tcW w:w="809" w:type="pct"/>
            <w:shd w:val="clear" w:color="auto" w:fill="auto"/>
            <w:vAlign w:val="center"/>
          </w:tcPr>
          <w:p>
            <w:pPr>
              <w:pStyle w:val="63"/>
              <w:rPr>
                <w:rFonts w:hint="eastAsia" w:ascii="宋体" w:hAnsi="宋体" w:eastAsia="宋体" w:cs="宋体"/>
                <w:color w:val="000000" w:themeColor="text1"/>
                <w:highlight w:val="none"/>
                <w:lang w:eastAsia="zh-CN"/>
              </w:rPr>
            </w:pPr>
            <w:r>
              <w:rPr>
                <w:rFonts w:hint="eastAsia"/>
                <w:color w:val="000000" w:themeColor="text1"/>
                <w:highlight w:val="none"/>
                <w:lang w:eastAsia="zh-CN"/>
              </w:rPr>
              <w:t>其他草地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 w:type="pct"/>
            <w:shd w:val="clear" w:color="auto" w:fill="auto"/>
            <w:vAlign w:val="center"/>
          </w:tcPr>
          <w:p>
            <w:pPr>
              <w:pStyle w:val="63"/>
              <w:rPr>
                <w:color w:val="000000" w:themeColor="text1"/>
                <w:highlight w:val="none"/>
              </w:rPr>
            </w:pPr>
            <w:r>
              <w:rPr>
                <w:rFonts w:hint="eastAsia"/>
                <w:color w:val="000000" w:themeColor="text1"/>
                <w:highlight w:val="none"/>
              </w:rPr>
              <w:t>矿山公路</w:t>
            </w:r>
          </w:p>
        </w:tc>
        <w:tc>
          <w:tcPr>
            <w:tcW w:w="728"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c>
          <w:tcPr>
            <w:tcW w:w="2427" w:type="pct"/>
            <w:shd w:val="clear" w:color="auto" w:fill="auto"/>
            <w:vAlign w:val="center"/>
          </w:tcPr>
          <w:p>
            <w:pPr>
              <w:pStyle w:val="63"/>
              <w:rPr>
                <w:rFonts w:hint="eastAsia"/>
                <w:color w:val="000000" w:themeColor="text1"/>
                <w:highlight w:val="none"/>
              </w:rPr>
            </w:pPr>
            <w:r>
              <w:rPr>
                <w:rFonts w:hint="eastAsia"/>
                <w:color w:val="000000" w:themeColor="text1"/>
                <w:highlight w:val="none"/>
              </w:rPr>
              <w:t>路面平整，清理碎石覆土平整、</w:t>
            </w:r>
            <w:r>
              <w:rPr>
                <w:rFonts w:hint="eastAsia"/>
                <w:color w:val="000000" w:themeColor="text1"/>
                <w:highlight w:val="none"/>
                <w:lang w:eastAsia="zh-CN"/>
              </w:rPr>
              <w:t>表土回覆</w:t>
            </w:r>
            <w:r>
              <w:rPr>
                <w:rFonts w:hint="eastAsia"/>
                <w:color w:val="000000" w:themeColor="text1"/>
                <w:highlight w:val="none"/>
              </w:rPr>
              <w:t>、</w:t>
            </w:r>
            <w:r>
              <w:rPr>
                <w:rFonts w:hint="eastAsia"/>
                <w:color w:val="000000" w:themeColor="text1"/>
                <w:highlight w:val="none"/>
                <w:lang w:eastAsia="zh-CN"/>
              </w:rPr>
              <w:t>种植乔木（如马尾松）</w:t>
            </w:r>
          </w:p>
        </w:tc>
        <w:tc>
          <w:tcPr>
            <w:tcW w:w="809" w:type="pct"/>
            <w:shd w:val="clear" w:color="auto" w:fill="auto"/>
            <w:vAlign w:val="center"/>
          </w:tcPr>
          <w:p>
            <w:pPr>
              <w:pStyle w:val="63"/>
              <w:rPr>
                <w:color w:val="000000" w:themeColor="text1"/>
                <w:highlight w:val="none"/>
              </w:rPr>
            </w:pPr>
            <w:r>
              <w:rPr>
                <w:rFonts w:hint="eastAsia"/>
                <w:color w:val="000000" w:themeColor="text1"/>
                <w:highlight w:val="none"/>
                <w:lang w:eastAsia="zh-CN"/>
              </w:rPr>
              <w:t>乔木林地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34" w:type="pct"/>
            <w:shd w:val="clear" w:color="auto" w:fill="auto"/>
            <w:vAlign w:val="center"/>
          </w:tcPr>
          <w:p>
            <w:pPr>
              <w:pStyle w:val="63"/>
              <w:rPr>
                <w:color w:val="000000" w:themeColor="text1"/>
                <w:highlight w:val="none"/>
              </w:rPr>
            </w:pPr>
            <w:r>
              <w:rPr>
                <w:rFonts w:hint="eastAsia"/>
                <w:color w:val="000000" w:themeColor="text1"/>
                <w:highlight w:val="none"/>
              </w:rPr>
              <w:t>合计</w:t>
            </w:r>
          </w:p>
        </w:tc>
        <w:tc>
          <w:tcPr>
            <w:tcW w:w="728"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9.5224</w:t>
            </w:r>
          </w:p>
        </w:tc>
        <w:tc>
          <w:tcPr>
            <w:tcW w:w="2427" w:type="pct"/>
            <w:shd w:val="clear" w:color="auto" w:fill="auto"/>
            <w:vAlign w:val="center"/>
          </w:tcPr>
          <w:p>
            <w:pPr>
              <w:pStyle w:val="63"/>
              <w:rPr>
                <w:color w:val="000000" w:themeColor="text1"/>
                <w:highlight w:val="none"/>
              </w:rPr>
            </w:pPr>
            <w:r>
              <w:rPr>
                <w:color w:val="000000" w:themeColor="text1"/>
                <w:highlight w:val="none"/>
              </w:rPr>
              <w:t>　</w:t>
            </w:r>
          </w:p>
        </w:tc>
        <w:tc>
          <w:tcPr>
            <w:tcW w:w="809" w:type="pct"/>
            <w:shd w:val="clear" w:color="auto" w:fill="auto"/>
            <w:vAlign w:val="center"/>
          </w:tcPr>
          <w:p>
            <w:pPr>
              <w:pStyle w:val="63"/>
              <w:rPr>
                <w:color w:val="000000" w:themeColor="text1"/>
                <w:highlight w:val="none"/>
              </w:rPr>
            </w:pPr>
            <w:r>
              <w:rPr>
                <w:color w:val="000000" w:themeColor="text1"/>
                <w:highlight w:val="none"/>
              </w:rPr>
              <w:t>　</w:t>
            </w:r>
          </w:p>
        </w:tc>
      </w:tr>
    </w:tbl>
    <w:p>
      <w:pPr>
        <w:rPr>
          <w:color w:val="000000" w:themeColor="text1"/>
          <w:highlight w:val="none"/>
        </w:rPr>
      </w:pPr>
      <w:r>
        <w:rPr>
          <w:color w:val="000000" w:themeColor="text1"/>
          <w:highlight w:val="none"/>
        </w:rPr>
        <w:t>（2）</w:t>
      </w:r>
      <w:r>
        <w:rPr>
          <w:color w:val="000000" w:themeColor="text1"/>
          <w:highlight w:val="none"/>
          <w:lang w:val="en-GB"/>
        </w:rPr>
        <w:t>复垦单元的划定</w:t>
      </w:r>
    </w:p>
    <w:p>
      <w:pPr>
        <w:rPr>
          <w:color w:val="000000" w:themeColor="text1"/>
          <w:highlight w:val="none"/>
        </w:rPr>
      </w:pPr>
      <w:r>
        <w:rPr>
          <w:color w:val="000000" w:themeColor="text1"/>
          <w:highlight w:val="none"/>
        </w:rPr>
        <w:t>复垦单元根据适宜性评价单元的划分情况，共划分为</w:t>
      </w:r>
      <w:r>
        <w:rPr>
          <w:rFonts w:hint="eastAsia"/>
          <w:color w:val="000000" w:themeColor="text1"/>
          <w:highlight w:val="none"/>
          <w:lang w:val="en-US" w:eastAsia="zh-CN"/>
        </w:rPr>
        <w:t>3</w:t>
      </w:r>
      <w:r>
        <w:rPr>
          <w:color w:val="000000" w:themeColor="text1"/>
          <w:highlight w:val="none"/>
        </w:rPr>
        <w:t>个复垦单元（表4-1</w:t>
      </w:r>
      <w:r>
        <w:rPr>
          <w:rFonts w:hint="eastAsia"/>
          <w:color w:val="000000" w:themeColor="text1"/>
          <w:highlight w:val="none"/>
          <w:lang w:val="en-US" w:eastAsia="zh-CN"/>
        </w:rPr>
        <w:t>0</w:t>
      </w:r>
      <w:r>
        <w:rPr>
          <w:color w:val="000000" w:themeColor="text1"/>
          <w:highlight w:val="none"/>
        </w:rPr>
        <w:t>）。</w:t>
      </w:r>
    </w:p>
    <w:p>
      <w:pPr>
        <w:pStyle w:val="67"/>
        <w:rPr>
          <w:color w:val="000000" w:themeColor="text1"/>
          <w:highlight w:val="none"/>
        </w:rPr>
      </w:pPr>
      <w:r>
        <w:rPr>
          <w:color w:val="000000" w:themeColor="text1"/>
          <w:highlight w:val="none"/>
        </w:rPr>
        <w:t>表4-1</w:t>
      </w:r>
      <w:r>
        <w:rPr>
          <w:rFonts w:hint="eastAsia"/>
          <w:color w:val="000000" w:themeColor="text1"/>
          <w:highlight w:val="none"/>
          <w:lang w:val="en-US" w:eastAsia="zh-CN"/>
        </w:rPr>
        <w:t>0</w:t>
      </w:r>
      <w:r>
        <w:rPr>
          <w:rFonts w:hint="eastAsia"/>
          <w:color w:val="000000" w:themeColor="text1"/>
          <w:highlight w:val="none"/>
        </w:rPr>
        <w:t xml:space="preserve">  </w:t>
      </w:r>
      <w:r>
        <w:rPr>
          <w:color w:val="000000" w:themeColor="text1"/>
          <w:highlight w:val="none"/>
        </w:rPr>
        <w:t>复垦单元表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2412"/>
        <w:gridCol w:w="1944"/>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81" w:type="dxa"/>
            <w:shd w:val="clear" w:color="auto" w:fill="auto"/>
            <w:vAlign w:val="center"/>
          </w:tcPr>
          <w:p>
            <w:pPr>
              <w:pStyle w:val="63"/>
              <w:rPr>
                <w:color w:val="000000" w:themeColor="text1"/>
                <w:highlight w:val="none"/>
              </w:rPr>
            </w:pPr>
            <w:r>
              <w:rPr>
                <w:rFonts w:hint="eastAsia"/>
                <w:color w:val="000000" w:themeColor="text1"/>
                <w:highlight w:val="none"/>
              </w:rPr>
              <w:t>对象</w:t>
            </w:r>
          </w:p>
        </w:tc>
        <w:tc>
          <w:tcPr>
            <w:tcW w:w="2412" w:type="dxa"/>
            <w:shd w:val="clear" w:color="auto" w:fill="auto"/>
            <w:vAlign w:val="center"/>
          </w:tcPr>
          <w:p>
            <w:pPr>
              <w:pStyle w:val="63"/>
              <w:rPr>
                <w:color w:val="000000" w:themeColor="text1"/>
                <w:highlight w:val="none"/>
              </w:rPr>
            </w:pPr>
            <w:r>
              <w:rPr>
                <w:rFonts w:hint="eastAsia"/>
                <w:color w:val="000000" w:themeColor="text1"/>
                <w:highlight w:val="none"/>
              </w:rPr>
              <w:t>复垦单元</w:t>
            </w:r>
          </w:p>
        </w:tc>
        <w:tc>
          <w:tcPr>
            <w:tcW w:w="1944" w:type="dxa"/>
            <w:shd w:val="clear" w:color="auto" w:fill="auto"/>
            <w:vAlign w:val="center"/>
          </w:tcPr>
          <w:p>
            <w:pPr>
              <w:pStyle w:val="63"/>
              <w:rPr>
                <w:color w:val="000000" w:themeColor="text1"/>
                <w:highlight w:val="none"/>
              </w:rPr>
            </w:pPr>
            <w:r>
              <w:rPr>
                <w:rFonts w:hint="eastAsia"/>
                <w:color w:val="000000" w:themeColor="text1"/>
                <w:highlight w:val="none"/>
              </w:rPr>
              <w:t>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c>
          <w:tcPr>
            <w:tcW w:w="2178" w:type="dxa"/>
            <w:shd w:val="clear" w:color="auto" w:fill="auto"/>
            <w:vAlign w:val="center"/>
          </w:tcPr>
          <w:p>
            <w:pPr>
              <w:pStyle w:val="63"/>
              <w:rPr>
                <w:color w:val="000000" w:themeColor="text1"/>
                <w:highlight w:val="none"/>
              </w:rPr>
            </w:pPr>
            <w:r>
              <w:rPr>
                <w:rFonts w:hint="eastAsia"/>
                <w:color w:val="000000" w:themeColor="text1"/>
                <w:highlight w:val="none"/>
              </w:rPr>
              <w:t>复垦方向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81" w:type="dxa"/>
            <w:shd w:val="clear" w:color="auto" w:fill="auto"/>
            <w:vAlign w:val="center"/>
          </w:tcPr>
          <w:p>
            <w:pPr>
              <w:pStyle w:val="63"/>
              <w:rPr>
                <w:color w:val="000000" w:themeColor="text1"/>
                <w:highlight w:val="none"/>
              </w:rPr>
            </w:pPr>
            <w:r>
              <w:rPr>
                <w:color w:val="000000" w:themeColor="text1"/>
                <w:highlight w:val="none"/>
              </w:rPr>
              <w:t>P1</w:t>
            </w:r>
          </w:p>
        </w:tc>
        <w:tc>
          <w:tcPr>
            <w:tcW w:w="2412"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rPr>
              <w:t>露天采场平台</w:t>
            </w:r>
            <w:r>
              <w:rPr>
                <w:rFonts w:hint="eastAsia"/>
                <w:color w:val="000000" w:themeColor="text1"/>
                <w:highlight w:val="none"/>
                <w:lang w:eastAsia="zh-CN"/>
              </w:rPr>
              <w:t>（台阶）</w:t>
            </w:r>
          </w:p>
        </w:tc>
        <w:tc>
          <w:tcPr>
            <w:tcW w:w="1944"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7.6345</w:t>
            </w:r>
          </w:p>
        </w:tc>
        <w:tc>
          <w:tcPr>
            <w:tcW w:w="2178"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乔木林地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81" w:type="dxa"/>
            <w:shd w:val="clear" w:color="auto" w:fill="auto"/>
            <w:vAlign w:val="center"/>
          </w:tcPr>
          <w:p>
            <w:pPr>
              <w:pStyle w:val="63"/>
              <w:rPr>
                <w:color w:val="000000" w:themeColor="text1"/>
                <w:highlight w:val="none"/>
              </w:rPr>
            </w:pPr>
            <w:r>
              <w:rPr>
                <w:color w:val="000000" w:themeColor="text1"/>
                <w:highlight w:val="none"/>
              </w:rPr>
              <w:t>P2</w:t>
            </w:r>
          </w:p>
        </w:tc>
        <w:tc>
          <w:tcPr>
            <w:tcW w:w="2412" w:type="dxa"/>
            <w:shd w:val="clear" w:color="auto" w:fill="auto"/>
            <w:vAlign w:val="center"/>
          </w:tcPr>
          <w:p>
            <w:pPr>
              <w:pStyle w:val="63"/>
              <w:rPr>
                <w:color w:val="000000" w:themeColor="text1"/>
                <w:highlight w:val="none"/>
              </w:rPr>
            </w:pPr>
            <w:r>
              <w:rPr>
                <w:rFonts w:hint="eastAsia"/>
                <w:color w:val="000000" w:themeColor="text1"/>
                <w:highlight w:val="none"/>
              </w:rPr>
              <w:t>露天采场底部平台</w:t>
            </w:r>
          </w:p>
        </w:tc>
        <w:tc>
          <w:tcPr>
            <w:tcW w:w="1944"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1.3434</w:t>
            </w:r>
          </w:p>
        </w:tc>
        <w:tc>
          <w:tcPr>
            <w:tcW w:w="2178"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lang w:eastAsia="zh-CN"/>
              </w:rPr>
              <w:t>其他草地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81" w:type="dxa"/>
            <w:shd w:val="clear" w:color="auto" w:fill="auto"/>
            <w:vAlign w:val="center"/>
          </w:tcPr>
          <w:p>
            <w:pPr>
              <w:pStyle w:val="63"/>
              <w:rPr>
                <w:rFonts w:hint="eastAsia" w:eastAsia="宋体"/>
                <w:color w:val="000000" w:themeColor="text1"/>
                <w:highlight w:val="none"/>
                <w:lang w:eastAsia="zh-CN"/>
              </w:rPr>
            </w:pPr>
            <w:r>
              <w:rPr>
                <w:color w:val="000000" w:themeColor="text1"/>
                <w:highlight w:val="none"/>
              </w:rPr>
              <w:t>P</w:t>
            </w:r>
            <w:r>
              <w:rPr>
                <w:rFonts w:hint="eastAsia"/>
                <w:color w:val="000000" w:themeColor="text1"/>
                <w:highlight w:val="none"/>
                <w:lang w:val="en-US" w:eastAsia="zh-CN"/>
              </w:rPr>
              <w:t>3</w:t>
            </w:r>
          </w:p>
        </w:tc>
        <w:tc>
          <w:tcPr>
            <w:tcW w:w="2412" w:type="dxa"/>
            <w:shd w:val="clear" w:color="auto" w:fill="auto"/>
            <w:vAlign w:val="center"/>
          </w:tcPr>
          <w:p>
            <w:pPr>
              <w:pStyle w:val="63"/>
              <w:rPr>
                <w:color w:val="000000" w:themeColor="text1"/>
                <w:highlight w:val="none"/>
              </w:rPr>
            </w:pPr>
            <w:r>
              <w:rPr>
                <w:rFonts w:hint="eastAsia"/>
                <w:color w:val="000000" w:themeColor="text1"/>
                <w:highlight w:val="none"/>
              </w:rPr>
              <w:t>矿山公路</w:t>
            </w:r>
          </w:p>
        </w:tc>
        <w:tc>
          <w:tcPr>
            <w:tcW w:w="1944"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c>
          <w:tcPr>
            <w:tcW w:w="2178"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lang w:eastAsia="zh-CN"/>
              </w:rPr>
              <w:t>乔木林地</w:t>
            </w:r>
          </w:p>
        </w:tc>
      </w:tr>
    </w:tbl>
    <w:p>
      <w:pPr>
        <w:rPr>
          <w:color w:val="000000" w:themeColor="text1"/>
          <w:highlight w:val="none"/>
        </w:rPr>
      </w:pPr>
      <w:r>
        <w:rPr>
          <w:color w:val="000000" w:themeColor="text1"/>
          <w:highlight w:val="none"/>
        </w:rPr>
        <w:t>（3）根据土地复垦适宜性评价结果</w:t>
      </w:r>
    </w:p>
    <w:p>
      <w:pPr>
        <w:rPr>
          <w:color w:val="000000" w:themeColor="text1"/>
          <w:highlight w:val="none"/>
        </w:rPr>
      </w:pPr>
      <w:r>
        <w:rPr>
          <w:color w:val="000000" w:themeColor="text1"/>
          <w:highlight w:val="none"/>
        </w:rPr>
        <w:t>结合复垦区实际情况，确定了复垦区各复垦单元的复垦方向。复垦责任范围</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，通过复垦工程实现全部复垦，复垦率</w:t>
      </w:r>
      <w:r>
        <w:rPr>
          <w:rFonts w:hint="eastAsia"/>
          <w:color w:val="000000" w:themeColor="text1"/>
          <w:highlight w:val="none"/>
        </w:rPr>
        <w:t>100</w:t>
      </w:r>
      <w:r>
        <w:rPr>
          <w:color w:val="000000" w:themeColor="text1"/>
          <w:highlight w:val="none"/>
        </w:rPr>
        <w:t>%，复垦前后面积、变幅见表4-1</w:t>
      </w:r>
      <w:r>
        <w:rPr>
          <w:rFonts w:hint="eastAsia"/>
          <w:color w:val="000000" w:themeColor="text1"/>
          <w:highlight w:val="none"/>
          <w:lang w:val="en-US" w:eastAsia="zh-CN"/>
        </w:rPr>
        <w:t>1</w:t>
      </w:r>
      <w:r>
        <w:rPr>
          <w:color w:val="000000" w:themeColor="text1"/>
          <w:highlight w:val="none"/>
        </w:rPr>
        <w:t>。</w:t>
      </w:r>
    </w:p>
    <w:p>
      <w:pPr>
        <w:pStyle w:val="67"/>
        <w:rPr>
          <w:color w:val="000000" w:themeColor="text1"/>
          <w:highlight w:val="none"/>
        </w:rPr>
      </w:pPr>
      <w:r>
        <w:rPr>
          <w:color w:val="000000" w:themeColor="text1"/>
          <w:highlight w:val="none"/>
        </w:rPr>
        <w:t>表4-1</w:t>
      </w:r>
      <w:r>
        <w:rPr>
          <w:rFonts w:hint="eastAsia"/>
          <w:color w:val="000000" w:themeColor="text1"/>
          <w:highlight w:val="none"/>
          <w:lang w:val="en-US" w:eastAsia="zh-CN"/>
        </w:rPr>
        <w:t>1</w:t>
      </w:r>
      <w:r>
        <w:rPr>
          <w:rFonts w:hint="eastAsia"/>
          <w:color w:val="000000" w:themeColor="text1"/>
          <w:highlight w:val="none"/>
        </w:rPr>
        <w:t xml:space="preserve">  </w:t>
      </w:r>
      <w:r>
        <w:rPr>
          <w:color w:val="000000" w:themeColor="text1"/>
          <w:highlight w:val="none"/>
        </w:rPr>
        <w:t>复垦前后土地利用结构调整表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72"/>
        <w:gridCol w:w="1403"/>
        <w:gridCol w:w="1320"/>
        <w:gridCol w:w="899"/>
        <w:gridCol w:w="899"/>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1" w:type="dxa"/>
            <w:gridSpan w:val="2"/>
            <w:vMerge w:val="restart"/>
            <w:shd w:val="clear" w:color="auto" w:fill="auto"/>
            <w:vAlign w:val="center"/>
          </w:tcPr>
          <w:p>
            <w:pPr>
              <w:pStyle w:val="63"/>
              <w:rPr>
                <w:color w:val="000000" w:themeColor="text1"/>
                <w:highlight w:val="none"/>
              </w:rPr>
            </w:pPr>
            <w:r>
              <w:rPr>
                <w:rFonts w:hint="eastAsia"/>
                <w:color w:val="000000" w:themeColor="text1"/>
                <w:highlight w:val="none"/>
              </w:rPr>
              <w:t>一级地类</w:t>
            </w:r>
          </w:p>
        </w:tc>
        <w:tc>
          <w:tcPr>
            <w:tcW w:w="2723" w:type="dxa"/>
            <w:gridSpan w:val="2"/>
            <w:vMerge w:val="restart"/>
            <w:shd w:val="clear" w:color="auto" w:fill="auto"/>
            <w:vAlign w:val="center"/>
          </w:tcPr>
          <w:p>
            <w:pPr>
              <w:pStyle w:val="63"/>
              <w:rPr>
                <w:color w:val="000000" w:themeColor="text1"/>
                <w:highlight w:val="none"/>
              </w:rPr>
            </w:pPr>
            <w:r>
              <w:rPr>
                <w:rFonts w:hint="eastAsia"/>
                <w:color w:val="000000" w:themeColor="text1"/>
                <w:highlight w:val="none"/>
              </w:rPr>
              <w:t>二级地类</w:t>
            </w:r>
          </w:p>
        </w:tc>
        <w:tc>
          <w:tcPr>
            <w:tcW w:w="1798" w:type="dxa"/>
            <w:gridSpan w:val="2"/>
            <w:shd w:val="clear" w:color="auto" w:fill="auto"/>
            <w:vAlign w:val="center"/>
          </w:tcPr>
          <w:p>
            <w:pPr>
              <w:pStyle w:val="63"/>
              <w:rPr>
                <w:color w:val="000000" w:themeColor="text1"/>
                <w:highlight w:val="none"/>
              </w:rPr>
            </w:pPr>
            <w:r>
              <w:rPr>
                <w:rFonts w:hint="eastAsia"/>
                <w:color w:val="000000" w:themeColor="text1"/>
                <w:highlight w:val="none"/>
              </w:rPr>
              <w:t>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c>
          <w:tcPr>
            <w:tcW w:w="1063" w:type="dxa"/>
            <w:vMerge w:val="restart"/>
            <w:shd w:val="clear" w:color="auto" w:fill="auto"/>
            <w:vAlign w:val="center"/>
          </w:tcPr>
          <w:p>
            <w:pPr>
              <w:pStyle w:val="63"/>
              <w:rPr>
                <w:color w:val="000000" w:themeColor="text1"/>
                <w:highlight w:val="none"/>
              </w:rPr>
            </w:pPr>
            <w:r>
              <w:rPr>
                <w:rFonts w:hint="eastAsia"/>
                <w:color w:val="000000" w:themeColor="text1"/>
                <w:highlight w:val="none"/>
              </w:rPr>
              <w:t>变幅</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1" w:type="dxa"/>
            <w:gridSpan w:val="2"/>
            <w:vMerge w:val="continue"/>
            <w:vAlign w:val="center"/>
          </w:tcPr>
          <w:p>
            <w:pPr>
              <w:pStyle w:val="63"/>
              <w:rPr>
                <w:color w:val="000000" w:themeColor="text1"/>
                <w:highlight w:val="none"/>
              </w:rPr>
            </w:pPr>
          </w:p>
        </w:tc>
        <w:tc>
          <w:tcPr>
            <w:tcW w:w="2723" w:type="dxa"/>
            <w:gridSpan w:val="2"/>
            <w:vMerge w:val="continue"/>
            <w:vAlign w:val="center"/>
          </w:tcPr>
          <w:p>
            <w:pPr>
              <w:pStyle w:val="63"/>
              <w:rPr>
                <w:color w:val="000000" w:themeColor="text1"/>
                <w:highlight w:val="none"/>
              </w:rPr>
            </w:pPr>
          </w:p>
        </w:tc>
        <w:tc>
          <w:tcPr>
            <w:tcW w:w="899" w:type="dxa"/>
            <w:shd w:val="clear" w:color="auto" w:fill="auto"/>
            <w:vAlign w:val="center"/>
          </w:tcPr>
          <w:p>
            <w:pPr>
              <w:pStyle w:val="63"/>
              <w:rPr>
                <w:color w:val="000000" w:themeColor="text1"/>
                <w:highlight w:val="none"/>
              </w:rPr>
            </w:pPr>
            <w:r>
              <w:rPr>
                <w:rFonts w:hint="eastAsia"/>
                <w:color w:val="000000" w:themeColor="text1"/>
                <w:highlight w:val="none"/>
              </w:rPr>
              <w:t>复垦前</w:t>
            </w:r>
          </w:p>
        </w:tc>
        <w:tc>
          <w:tcPr>
            <w:tcW w:w="899" w:type="dxa"/>
            <w:shd w:val="clear" w:color="auto" w:fill="auto"/>
            <w:vAlign w:val="center"/>
          </w:tcPr>
          <w:p>
            <w:pPr>
              <w:pStyle w:val="63"/>
              <w:rPr>
                <w:color w:val="000000" w:themeColor="text1"/>
                <w:highlight w:val="none"/>
              </w:rPr>
            </w:pPr>
            <w:r>
              <w:rPr>
                <w:rFonts w:hint="eastAsia"/>
                <w:color w:val="000000" w:themeColor="text1"/>
                <w:highlight w:val="none"/>
              </w:rPr>
              <w:t>复垦后</w:t>
            </w:r>
          </w:p>
        </w:tc>
        <w:tc>
          <w:tcPr>
            <w:tcW w:w="1063" w:type="dxa"/>
            <w:vMerge w:val="continue"/>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Merge w:val="restart"/>
            <w:shd w:val="clear" w:color="auto" w:fill="auto"/>
            <w:vAlign w:val="center"/>
          </w:tcPr>
          <w:p>
            <w:pPr>
              <w:pStyle w:val="63"/>
              <w:rPr>
                <w:color w:val="000000" w:themeColor="text1"/>
                <w:highlight w:val="none"/>
              </w:rPr>
            </w:pPr>
            <w:r>
              <w:rPr>
                <w:rFonts w:hint="eastAsia"/>
                <w:color w:val="000000" w:themeColor="text1"/>
                <w:highlight w:val="none"/>
              </w:rPr>
              <w:t>0</w:t>
            </w:r>
            <w:r>
              <w:rPr>
                <w:color w:val="000000" w:themeColor="text1"/>
                <w:highlight w:val="none"/>
              </w:rPr>
              <w:t>3</w:t>
            </w:r>
          </w:p>
        </w:tc>
        <w:tc>
          <w:tcPr>
            <w:tcW w:w="1972" w:type="dxa"/>
            <w:vMerge w:val="restart"/>
            <w:shd w:val="clear" w:color="auto" w:fill="auto"/>
            <w:vAlign w:val="center"/>
          </w:tcPr>
          <w:p>
            <w:pPr>
              <w:pStyle w:val="63"/>
              <w:rPr>
                <w:color w:val="000000" w:themeColor="text1"/>
                <w:highlight w:val="none"/>
              </w:rPr>
            </w:pPr>
            <w:r>
              <w:rPr>
                <w:rFonts w:hint="eastAsia"/>
                <w:color w:val="000000" w:themeColor="text1"/>
                <w:highlight w:val="none"/>
              </w:rPr>
              <w:t>林地</w:t>
            </w:r>
          </w:p>
        </w:tc>
        <w:tc>
          <w:tcPr>
            <w:tcW w:w="1403" w:type="dxa"/>
            <w:shd w:val="clear" w:color="auto" w:fill="auto"/>
            <w:vAlign w:val="center"/>
          </w:tcPr>
          <w:p>
            <w:pPr>
              <w:pStyle w:val="63"/>
              <w:rPr>
                <w:color w:val="000000" w:themeColor="text1"/>
                <w:highlight w:val="none"/>
              </w:rPr>
            </w:pPr>
            <w:r>
              <w:rPr>
                <w:rFonts w:hint="eastAsia"/>
                <w:color w:val="000000" w:themeColor="text1"/>
                <w:highlight w:val="none"/>
              </w:rPr>
              <w:t>0</w:t>
            </w:r>
            <w:r>
              <w:rPr>
                <w:color w:val="000000" w:themeColor="text1"/>
                <w:highlight w:val="none"/>
              </w:rPr>
              <w:t>3</w:t>
            </w:r>
            <w:r>
              <w:rPr>
                <w:rFonts w:hint="eastAsia"/>
                <w:color w:val="000000" w:themeColor="text1"/>
                <w:highlight w:val="none"/>
                <w:lang w:val="en-US" w:eastAsia="zh-CN"/>
              </w:rPr>
              <w:t>0</w:t>
            </w:r>
            <w:r>
              <w:rPr>
                <w:color w:val="000000" w:themeColor="text1"/>
                <w:highlight w:val="none"/>
              </w:rPr>
              <w:t>1</w:t>
            </w:r>
          </w:p>
        </w:tc>
        <w:tc>
          <w:tcPr>
            <w:tcW w:w="1320"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乔木林地</w:t>
            </w:r>
          </w:p>
        </w:tc>
        <w:tc>
          <w:tcPr>
            <w:tcW w:w="899" w:type="dxa"/>
            <w:shd w:val="clear" w:color="auto" w:fill="auto"/>
            <w:noWrap/>
            <w:vAlign w:val="center"/>
          </w:tcPr>
          <w:p>
            <w:pPr>
              <w:pStyle w:val="63"/>
              <w:rPr>
                <w:rFonts w:hint="eastAsia" w:eastAsia="宋体"/>
                <w:color w:val="000000" w:themeColor="text1"/>
                <w:highlight w:val="none"/>
                <w:lang w:eastAsia="zh-CN"/>
              </w:rPr>
            </w:pPr>
            <w:r>
              <w:rPr>
                <w:rFonts w:hint="eastAsia"/>
                <w:color w:val="000000" w:themeColor="text1"/>
                <w:kern w:val="0"/>
                <w:sz w:val="21"/>
                <w:szCs w:val="21"/>
                <w:highlight w:val="none"/>
                <w:lang w:val="en-US" w:eastAsia="zh-CN"/>
              </w:rPr>
              <w:t>5.3732</w:t>
            </w:r>
          </w:p>
        </w:tc>
        <w:tc>
          <w:tcPr>
            <w:tcW w:w="899"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8.179</w:t>
            </w:r>
          </w:p>
        </w:tc>
        <w:tc>
          <w:tcPr>
            <w:tcW w:w="1063"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Merge w:val="continue"/>
            <w:vAlign w:val="center"/>
          </w:tcPr>
          <w:p>
            <w:pPr>
              <w:pStyle w:val="63"/>
              <w:rPr>
                <w:color w:val="000000" w:themeColor="text1"/>
                <w:highlight w:val="none"/>
              </w:rPr>
            </w:pPr>
          </w:p>
        </w:tc>
        <w:tc>
          <w:tcPr>
            <w:tcW w:w="1972" w:type="dxa"/>
            <w:vMerge w:val="continue"/>
            <w:vAlign w:val="center"/>
          </w:tcPr>
          <w:p>
            <w:pPr>
              <w:pStyle w:val="63"/>
              <w:rPr>
                <w:color w:val="000000" w:themeColor="text1"/>
                <w:highlight w:val="none"/>
              </w:rPr>
            </w:pPr>
          </w:p>
        </w:tc>
        <w:tc>
          <w:tcPr>
            <w:tcW w:w="1403"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rPr>
              <w:t>0</w:t>
            </w:r>
            <w:r>
              <w:rPr>
                <w:color w:val="000000" w:themeColor="text1"/>
                <w:highlight w:val="none"/>
              </w:rPr>
              <w:t>3</w:t>
            </w:r>
            <w:r>
              <w:rPr>
                <w:rFonts w:hint="eastAsia"/>
                <w:color w:val="000000" w:themeColor="text1"/>
                <w:highlight w:val="none"/>
                <w:lang w:val="en-US" w:eastAsia="zh-CN"/>
              </w:rPr>
              <w:t>05</w:t>
            </w:r>
          </w:p>
        </w:tc>
        <w:tc>
          <w:tcPr>
            <w:tcW w:w="1320" w:type="dxa"/>
            <w:shd w:val="clear" w:color="auto" w:fill="auto"/>
            <w:vAlign w:val="center"/>
          </w:tcPr>
          <w:p>
            <w:pPr>
              <w:pStyle w:val="63"/>
              <w:rPr>
                <w:color w:val="000000" w:themeColor="text1"/>
                <w:highlight w:val="none"/>
              </w:rPr>
            </w:pPr>
            <w:r>
              <w:rPr>
                <w:rFonts w:hint="eastAsia"/>
                <w:color w:val="000000" w:themeColor="text1"/>
                <w:highlight w:val="none"/>
              </w:rPr>
              <w:t>灌木林地</w:t>
            </w:r>
          </w:p>
        </w:tc>
        <w:tc>
          <w:tcPr>
            <w:tcW w:w="899" w:type="dxa"/>
            <w:shd w:val="clear" w:color="auto" w:fill="auto"/>
            <w:noWrap/>
            <w:vAlign w:val="center"/>
          </w:tcPr>
          <w:p>
            <w:pPr>
              <w:pStyle w:val="63"/>
              <w:rPr>
                <w:rFonts w:hint="eastAsia" w:eastAsia="宋体"/>
                <w:color w:val="000000" w:themeColor="text1"/>
                <w:highlight w:val="none"/>
                <w:lang w:eastAsia="zh-CN"/>
              </w:rPr>
            </w:pPr>
            <w:r>
              <w:rPr>
                <w:rFonts w:hint="default"/>
                <w:color w:val="000000" w:themeColor="text1"/>
                <w:highlight w:val="none"/>
                <w:lang w:val="en-US" w:eastAsia="zh-CN"/>
              </w:rPr>
              <w:t>0.0328</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0</w:t>
            </w:r>
          </w:p>
        </w:tc>
        <w:tc>
          <w:tcPr>
            <w:tcW w:w="1063" w:type="dxa"/>
            <w:shd w:val="clear" w:color="auto" w:fill="auto"/>
            <w:noWrap/>
            <w:vAlign w:val="center"/>
          </w:tcPr>
          <w:p>
            <w:pPr>
              <w:pStyle w:val="63"/>
              <w:rPr>
                <w:rFonts w:hint="eastAsia"/>
                <w:color w:val="000000" w:themeColor="text1"/>
                <w:highlight w:val="none"/>
                <w:lang w:eastAsia="zh-CN"/>
              </w:rPr>
            </w:pPr>
            <w:r>
              <w:rPr>
                <w:color w:val="000000" w:themeColor="text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04</w:t>
            </w:r>
          </w:p>
        </w:tc>
        <w:tc>
          <w:tcPr>
            <w:tcW w:w="1972" w:type="dxa"/>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草地</w:t>
            </w:r>
          </w:p>
        </w:tc>
        <w:tc>
          <w:tcPr>
            <w:tcW w:w="1403"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0404</w:t>
            </w:r>
          </w:p>
        </w:tc>
        <w:tc>
          <w:tcPr>
            <w:tcW w:w="1320"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其他草地</w:t>
            </w:r>
          </w:p>
        </w:tc>
        <w:tc>
          <w:tcPr>
            <w:tcW w:w="899"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0</w:t>
            </w:r>
          </w:p>
        </w:tc>
        <w:tc>
          <w:tcPr>
            <w:tcW w:w="899" w:type="dxa"/>
            <w:shd w:val="clear" w:color="auto" w:fill="auto"/>
            <w:vAlign w:val="center"/>
          </w:tcPr>
          <w:p>
            <w:pPr>
              <w:pStyle w:val="63"/>
              <w:rPr>
                <w:rFonts w:hint="eastAsia"/>
                <w:color w:val="000000" w:themeColor="text1"/>
                <w:highlight w:val="none"/>
                <w:lang w:eastAsia="zh-CN"/>
              </w:rPr>
            </w:pPr>
            <w:r>
              <w:rPr>
                <w:rFonts w:hint="eastAsia"/>
                <w:color w:val="000000" w:themeColor="text1"/>
                <w:highlight w:val="none"/>
                <w:lang w:val="en-US" w:eastAsia="zh-CN"/>
              </w:rPr>
              <w:t>1.3434</w:t>
            </w:r>
          </w:p>
        </w:tc>
        <w:tc>
          <w:tcPr>
            <w:tcW w:w="1063"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06</w:t>
            </w:r>
          </w:p>
        </w:tc>
        <w:tc>
          <w:tcPr>
            <w:tcW w:w="1972" w:type="dxa"/>
            <w:shd w:val="clear" w:color="auto" w:fill="auto"/>
            <w:vAlign w:val="center"/>
          </w:tcPr>
          <w:p>
            <w:pPr>
              <w:pStyle w:val="63"/>
              <w:rPr>
                <w:color w:val="000000" w:themeColor="text1"/>
                <w:highlight w:val="none"/>
              </w:rPr>
            </w:pPr>
            <w:r>
              <w:rPr>
                <w:rFonts w:hint="eastAsia"/>
                <w:color w:val="000000" w:themeColor="text1"/>
                <w:highlight w:val="none"/>
              </w:rPr>
              <w:t>城镇村及工矿用地</w:t>
            </w:r>
          </w:p>
        </w:tc>
        <w:tc>
          <w:tcPr>
            <w:tcW w:w="1403"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lang w:val="en-US" w:eastAsia="zh-CN"/>
              </w:rPr>
              <w:t>0602</w:t>
            </w:r>
          </w:p>
        </w:tc>
        <w:tc>
          <w:tcPr>
            <w:tcW w:w="1320"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rPr>
              <w:t>采矿用地</w:t>
            </w:r>
          </w:p>
        </w:tc>
        <w:tc>
          <w:tcPr>
            <w:tcW w:w="899" w:type="dxa"/>
            <w:shd w:val="clear" w:color="auto" w:fill="auto"/>
            <w:noWrap/>
            <w:vAlign w:val="center"/>
          </w:tcPr>
          <w:p>
            <w:pPr>
              <w:pStyle w:val="63"/>
              <w:ind w:firstLine="0" w:firstLineChars="0"/>
              <w:rPr>
                <w:rFonts w:hint="eastAsia" w:eastAsia="宋体"/>
                <w:color w:val="000000" w:themeColor="text1"/>
                <w:highlight w:val="none"/>
                <w:lang w:eastAsia="zh-CN"/>
              </w:rPr>
            </w:pPr>
            <w:r>
              <w:rPr>
                <w:rFonts w:hint="default"/>
                <w:color w:val="000000" w:themeColor="text1"/>
                <w:highlight w:val="none"/>
                <w:lang w:val="en-US" w:eastAsia="zh-CN"/>
              </w:rPr>
              <w:t>4.1184</w:t>
            </w:r>
          </w:p>
        </w:tc>
        <w:tc>
          <w:tcPr>
            <w:tcW w:w="899" w:type="dxa"/>
            <w:shd w:val="clear" w:color="auto" w:fill="auto"/>
            <w:vAlign w:val="center"/>
          </w:tcPr>
          <w:p>
            <w:pPr>
              <w:pStyle w:val="63"/>
              <w:ind w:firstLine="0" w:firstLineChars="0"/>
              <w:rPr>
                <w:color w:val="000000" w:themeColor="text1"/>
                <w:highlight w:val="none"/>
              </w:rPr>
            </w:pPr>
            <w:r>
              <w:rPr>
                <w:color w:val="000000" w:themeColor="text1"/>
                <w:highlight w:val="none"/>
              </w:rPr>
              <w:t>0</w:t>
            </w:r>
          </w:p>
        </w:tc>
        <w:tc>
          <w:tcPr>
            <w:tcW w:w="1063" w:type="dxa"/>
            <w:shd w:val="clear" w:color="auto" w:fill="auto"/>
            <w:noWrap/>
            <w:vAlign w:val="center"/>
          </w:tcPr>
          <w:p>
            <w:pPr>
              <w:pStyle w:val="63"/>
              <w:ind w:firstLine="0" w:firstLineChars="0"/>
              <w:rPr>
                <w:color w:val="000000" w:themeColor="text1"/>
                <w:highlight w:val="none"/>
              </w:rPr>
            </w:pPr>
            <w:r>
              <w:rPr>
                <w:color w:val="000000" w:themeColor="text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4" w:type="dxa"/>
            <w:gridSpan w:val="4"/>
            <w:shd w:val="clear" w:color="auto" w:fill="auto"/>
            <w:vAlign w:val="center"/>
          </w:tcPr>
          <w:p>
            <w:pPr>
              <w:pStyle w:val="63"/>
              <w:rPr>
                <w:color w:val="000000" w:themeColor="text1"/>
                <w:highlight w:val="none"/>
              </w:rPr>
            </w:pPr>
            <w:r>
              <w:rPr>
                <w:rFonts w:hint="eastAsia"/>
                <w:color w:val="000000" w:themeColor="text1"/>
                <w:highlight w:val="none"/>
              </w:rPr>
              <w:t>总面积</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9.5224</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9.5224</w:t>
            </w:r>
          </w:p>
        </w:tc>
        <w:tc>
          <w:tcPr>
            <w:tcW w:w="1063" w:type="dxa"/>
            <w:shd w:val="clear" w:color="auto" w:fill="auto"/>
            <w:vAlign w:val="center"/>
          </w:tcPr>
          <w:p>
            <w:pPr>
              <w:pStyle w:val="63"/>
              <w:rPr>
                <w:color w:val="000000" w:themeColor="text1"/>
                <w:highlight w:val="none"/>
              </w:rPr>
            </w:pPr>
          </w:p>
        </w:tc>
      </w:tr>
    </w:tbl>
    <w:p>
      <w:pPr>
        <w:pStyle w:val="5"/>
        <w:spacing w:before="82" w:after="82"/>
        <w:rPr>
          <w:color w:val="000000" w:themeColor="text1"/>
          <w:highlight w:val="none"/>
        </w:rPr>
      </w:pPr>
      <w:bookmarkStart w:id="177" w:name="_Toc14518"/>
      <w:bookmarkStart w:id="178" w:name="_Toc14009"/>
      <w:r>
        <w:rPr>
          <w:color w:val="000000" w:themeColor="text1"/>
          <w:highlight w:val="none"/>
        </w:rPr>
        <w:t>4.2.3水土资源平衡分析</w:t>
      </w:r>
      <w:bookmarkEnd w:id="177"/>
      <w:bookmarkEnd w:id="178"/>
    </w:p>
    <w:p>
      <w:pPr>
        <w:rPr>
          <w:color w:val="000000" w:themeColor="text1"/>
          <w:highlight w:val="none"/>
        </w:rPr>
      </w:pPr>
      <w:r>
        <w:rPr>
          <w:color w:val="000000" w:themeColor="text1"/>
          <w:highlight w:val="none"/>
        </w:rPr>
        <w:t>1、土资源平衡分析</w:t>
      </w:r>
    </w:p>
    <w:p>
      <w:pPr>
        <w:rPr>
          <w:color w:val="000000" w:themeColor="text1"/>
          <w:highlight w:val="none"/>
        </w:rPr>
      </w:pPr>
      <w:bookmarkStart w:id="179" w:name="_Toc334877072"/>
      <w:bookmarkStart w:id="180" w:name="_Toc338790419"/>
      <w:bookmarkStart w:id="181" w:name="_Toc327207396"/>
      <w:bookmarkStart w:id="182" w:name="_Toc328738655"/>
      <w:bookmarkStart w:id="183" w:name="_Toc325127048"/>
      <w:r>
        <w:rPr>
          <w:color w:val="000000" w:themeColor="text1"/>
          <w:highlight w:val="none"/>
        </w:rPr>
        <w:t>（1）需土分析</w:t>
      </w:r>
      <w:bookmarkEnd w:id="179"/>
      <w:bookmarkEnd w:id="180"/>
      <w:bookmarkEnd w:id="181"/>
      <w:bookmarkEnd w:id="182"/>
      <w:bookmarkEnd w:id="183"/>
    </w:p>
    <w:p>
      <w:pPr>
        <w:rPr>
          <w:color w:val="000000" w:themeColor="text1"/>
          <w:highlight w:val="none"/>
        </w:rPr>
      </w:pPr>
      <w:r>
        <w:rPr>
          <w:color w:val="000000" w:themeColor="text1"/>
          <w:highlight w:val="none"/>
        </w:rPr>
        <w:t>根据《土地复垦质量控制标准》，西南地区复垦为</w:t>
      </w:r>
      <w:r>
        <w:rPr>
          <w:rFonts w:hint="eastAsia"/>
          <w:color w:val="000000" w:themeColor="text1"/>
          <w:highlight w:val="none"/>
        </w:rPr>
        <w:t>有旱地至少需覆土40cm，根据本项目实际情况，旱地覆土50</w:t>
      </w:r>
      <w:r>
        <w:rPr>
          <w:color w:val="000000" w:themeColor="text1"/>
          <w:highlight w:val="none"/>
        </w:rPr>
        <w:t>cm</w:t>
      </w:r>
      <w:r>
        <w:rPr>
          <w:rFonts w:hint="eastAsia"/>
          <w:color w:val="000000" w:themeColor="text1"/>
          <w:highlight w:val="none"/>
        </w:rPr>
        <w:t>（心土层30cm，耕作层20cm），</w:t>
      </w:r>
      <w:r>
        <w:rPr>
          <w:color w:val="000000" w:themeColor="text1"/>
          <w:highlight w:val="none"/>
        </w:rPr>
        <w:t>复垦为</w:t>
      </w:r>
      <w:r>
        <w:rPr>
          <w:rFonts w:hint="eastAsia"/>
          <w:color w:val="000000" w:themeColor="text1"/>
          <w:highlight w:val="none"/>
          <w:lang w:eastAsia="zh-CN"/>
        </w:rPr>
        <w:t>乔木林地</w:t>
      </w:r>
      <w:r>
        <w:rPr>
          <w:rFonts w:hint="eastAsia"/>
          <w:color w:val="000000" w:themeColor="text1"/>
          <w:highlight w:val="none"/>
        </w:rPr>
        <w:t>至少需覆土30</w:t>
      </w:r>
      <w:r>
        <w:rPr>
          <w:color w:val="000000" w:themeColor="text1"/>
          <w:highlight w:val="none"/>
        </w:rPr>
        <w:t>cm厚</w:t>
      </w:r>
      <w:r>
        <w:rPr>
          <w:rFonts w:hint="eastAsia"/>
          <w:color w:val="000000" w:themeColor="text1"/>
          <w:highlight w:val="none"/>
        </w:rPr>
        <w:t>，</w:t>
      </w:r>
      <w:r>
        <w:rPr>
          <w:color w:val="000000" w:themeColor="text1"/>
          <w:highlight w:val="none"/>
        </w:rPr>
        <w:t>复垦为</w:t>
      </w:r>
      <w:r>
        <w:rPr>
          <w:rFonts w:hint="eastAsia"/>
          <w:color w:val="000000" w:themeColor="text1"/>
          <w:highlight w:val="none"/>
          <w:lang w:eastAsia="zh-CN"/>
        </w:rPr>
        <w:t>其他草地</w:t>
      </w:r>
      <w:r>
        <w:rPr>
          <w:rFonts w:hint="eastAsia"/>
          <w:color w:val="000000" w:themeColor="text1"/>
          <w:highlight w:val="none"/>
        </w:rPr>
        <w:t>至少需覆土</w:t>
      </w:r>
      <w:r>
        <w:rPr>
          <w:rFonts w:hint="eastAsia"/>
          <w:color w:val="000000" w:themeColor="text1"/>
          <w:highlight w:val="none"/>
          <w:lang w:val="en-US" w:eastAsia="zh-CN"/>
        </w:rPr>
        <w:t>1</w:t>
      </w:r>
      <w:r>
        <w:rPr>
          <w:rFonts w:hint="eastAsia"/>
          <w:color w:val="000000" w:themeColor="text1"/>
          <w:highlight w:val="none"/>
        </w:rPr>
        <w:t>0</w:t>
      </w:r>
      <w:r>
        <w:rPr>
          <w:color w:val="000000" w:themeColor="text1"/>
          <w:highlight w:val="none"/>
        </w:rPr>
        <w:t>cm厚</w:t>
      </w:r>
      <w:r>
        <w:rPr>
          <w:rFonts w:hint="eastAsia"/>
          <w:color w:val="000000" w:themeColor="text1"/>
          <w:highlight w:val="none"/>
        </w:rPr>
        <w:t>，</w:t>
      </w:r>
      <w:r>
        <w:rPr>
          <w:color w:val="000000" w:themeColor="text1"/>
          <w:highlight w:val="none"/>
        </w:rPr>
        <w:t>按照覆土标准计算出方案的需土方量详见表4-1</w:t>
      </w:r>
      <w:r>
        <w:rPr>
          <w:rFonts w:hint="eastAsia"/>
          <w:color w:val="000000" w:themeColor="text1"/>
          <w:highlight w:val="none"/>
          <w:lang w:val="en-US" w:eastAsia="zh-CN"/>
        </w:rPr>
        <w:t>2</w:t>
      </w:r>
      <w:r>
        <w:rPr>
          <w:color w:val="000000" w:themeColor="text1"/>
          <w:highlight w:val="none"/>
        </w:rPr>
        <w:t>。</w:t>
      </w:r>
    </w:p>
    <w:p>
      <w:pPr>
        <w:pStyle w:val="67"/>
        <w:rPr>
          <w:color w:val="000000" w:themeColor="text1"/>
          <w:highlight w:val="none"/>
        </w:rPr>
      </w:pPr>
      <w:r>
        <w:rPr>
          <w:color w:val="000000" w:themeColor="text1"/>
          <w:highlight w:val="none"/>
        </w:rPr>
        <w:t>表4-1</w:t>
      </w:r>
      <w:r>
        <w:rPr>
          <w:rFonts w:hint="eastAsia"/>
          <w:color w:val="000000" w:themeColor="text1"/>
          <w:highlight w:val="none"/>
          <w:lang w:val="en-US" w:eastAsia="zh-CN"/>
        </w:rPr>
        <w:t>2</w:t>
      </w:r>
      <w:r>
        <w:rPr>
          <w:rFonts w:hint="eastAsia"/>
          <w:color w:val="000000" w:themeColor="text1"/>
          <w:highlight w:val="none"/>
        </w:rPr>
        <w:t xml:space="preserve">  </w:t>
      </w:r>
      <w:r>
        <w:rPr>
          <w:color w:val="000000" w:themeColor="text1"/>
          <w:highlight w:val="none"/>
        </w:rPr>
        <w:t>需土量分析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59"/>
        <w:gridCol w:w="1421"/>
        <w:gridCol w:w="1720"/>
        <w:gridCol w:w="1958"/>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trPr>
        <w:tc>
          <w:tcPr>
            <w:tcW w:w="936"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复垦单元</w:t>
            </w:r>
          </w:p>
        </w:tc>
        <w:tc>
          <w:tcPr>
            <w:tcW w:w="853"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复垦方向</w:t>
            </w:r>
          </w:p>
        </w:tc>
        <w:tc>
          <w:tcPr>
            <w:tcW w:w="1032"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复垦面积（</w:t>
            </w:r>
            <w:r>
              <w:rPr>
                <w:rFonts w:hint="default"/>
                <w:color w:val="000000" w:themeColor="text1"/>
                <w:highlight w:val="none"/>
                <w:lang w:val="en-US" w:eastAsia="zh-CN"/>
              </w:rPr>
              <w:t>hm</w:t>
            </w:r>
            <w:r>
              <w:rPr>
                <w:rFonts w:hint="default"/>
                <w:color w:val="000000" w:themeColor="text1"/>
                <w:highlight w:val="none"/>
                <w:vertAlign w:val="superscript"/>
                <w:lang w:val="en-US" w:eastAsia="zh-CN"/>
              </w:rPr>
              <w:t>2</w:t>
            </w:r>
            <w:r>
              <w:rPr>
                <w:rFonts w:hint="default"/>
                <w:color w:val="000000" w:themeColor="text1"/>
                <w:highlight w:val="none"/>
                <w:lang w:val="en-US" w:eastAsia="zh-CN"/>
              </w:rPr>
              <w:t>）</w:t>
            </w:r>
          </w:p>
        </w:tc>
        <w:tc>
          <w:tcPr>
            <w:tcW w:w="1175"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覆土厚度（</w:t>
            </w:r>
            <w:r>
              <w:rPr>
                <w:rFonts w:hint="default"/>
                <w:color w:val="000000" w:themeColor="text1"/>
                <w:highlight w:val="none"/>
                <w:lang w:val="en-US" w:eastAsia="zh-CN"/>
              </w:rPr>
              <w:t>m</w:t>
            </w:r>
            <w:r>
              <w:rPr>
                <w:rFonts w:hint="eastAsia"/>
                <w:color w:val="000000" w:themeColor="text1"/>
                <w:highlight w:val="none"/>
                <w:lang w:val="en-US" w:eastAsia="zh-CN"/>
              </w:rPr>
              <w:t>）</w:t>
            </w:r>
          </w:p>
        </w:tc>
        <w:tc>
          <w:tcPr>
            <w:tcW w:w="1001"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覆土方量（</w:t>
            </w:r>
            <w:r>
              <w:rPr>
                <w:rFonts w:hint="default"/>
                <w:color w:val="000000" w:themeColor="text1"/>
                <w:highlight w:val="none"/>
                <w:lang w:val="en-US" w:eastAsia="zh-CN"/>
              </w:rPr>
              <w:t>m</w:t>
            </w:r>
            <w:r>
              <w:rPr>
                <w:rFonts w:hint="default"/>
                <w:color w:val="000000" w:themeColor="text1"/>
                <w:highlight w:val="none"/>
                <w:vertAlign w:val="superscript"/>
                <w:lang w:val="en-US" w:eastAsia="zh-CN"/>
              </w:rPr>
              <w:t>3</w:t>
            </w:r>
            <w:r>
              <w:rPr>
                <w:rFonts w:hint="default"/>
                <w:color w:val="000000" w:themeColor="text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36"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露天采场平台</w:t>
            </w:r>
          </w:p>
        </w:tc>
        <w:tc>
          <w:tcPr>
            <w:tcW w:w="853"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乔木林地</w:t>
            </w:r>
          </w:p>
        </w:tc>
        <w:tc>
          <w:tcPr>
            <w:tcW w:w="1032"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7.6345</w:t>
            </w:r>
          </w:p>
        </w:tc>
        <w:tc>
          <w:tcPr>
            <w:tcW w:w="1175" w:type="pct"/>
            <w:shd w:val="clear" w:color="auto" w:fill="auto"/>
            <w:tcMar>
              <w:top w:w="15" w:type="dxa"/>
              <w:left w:w="15" w:type="dxa"/>
              <w:right w:w="15" w:type="dxa"/>
            </w:tcMar>
            <w:vAlign w:val="center"/>
          </w:tcPr>
          <w:p>
            <w:pPr>
              <w:pStyle w:val="63"/>
              <w:rPr>
                <w:rFonts w:hint="default"/>
                <w:color w:val="000000" w:themeColor="text1"/>
                <w:highlight w:val="none"/>
              </w:rPr>
            </w:pPr>
            <w:r>
              <w:rPr>
                <w:rFonts w:hint="default"/>
                <w:color w:val="000000" w:themeColor="text1"/>
                <w:highlight w:val="none"/>
                <w:lang w:val="en-US" w:eastAsia="zh-CN"/>
              </w:rPr>
              <w:t>0.3</w:t>
            </w:r>
          </w:p>
        </w:tc>
        <w:tc>
          <w:tcPr>
            <w:tcW w:w="1668" w:type="dxa"/>
            <w:shd w:val="clear" w:color="auto" w:fill="auto"/>
            <w:tcMar>
              <w:top w:w="15" w:type="dxa"/>
              <w:left w:w="15" w:type="dxa"/>
              <w:right w:w="15" w:type="dxa"/>
            </w:tcMar>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22903.5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36"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露天采场边坡</w:t>
            </w:r>
          </w:p>
        </w:tc>
        <w:tc>
          <w:tcPr>
            <w:tcW w:w="853"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其他草地</w:t>
            </w:r>
          </w:p>
        </w:tc>
        <w:tc>
          <w:tcPr>
            <w:tcW w:w="1032"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1.3434</w:t>
            </w:r>
          </w:p>
        </w:tc>
        <w:tc>
          <w:tcPr>
            <w:tcW w:w="1175" w:type="pct"/>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0</w:t>
            </w:r>
          </w:p>
        </w:tc>
        <w:tc>
          <w:tcPr>
            <w:tcW w:w="1668" w:type="dxa"/>
            <w:shd w:val="clear" w:color="auto" w:fill="auto"/>
            <w:tcMar>
              <w:top w:w="15" w:type="dxa"/>
              <w:left w:w="15" w:type="dxa"/>
              <w:right w:w="15" w:type="dxa"/>
            </w:tcMar>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36" w:type="pct"/>
            <w:shd w:val="clear" w:color="auto" w:fill="auto"/>
            <w:tcMar>
              <w:top w:w="15" w:type="dxa"/>
              <w:left w:w="15" w:type="dxa"/>
              <w:right w:w="15" w:type="dxa"/>
            </w:tcMar>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矿山公路</w:t>
            </w:r>
          </w:p>
        </w:tc>
        <w:tc>
          <w:tcPr>
            <w:tcW w:w="853" w:type="pct"/>
            <w:shd w:val="clear" w:color="auto" w:fill="auto"/>
            <w:tcMar>
              <w:top w:w="15" w:type="dxa"/>
              <w:left w:w="15" w:type="dxa"/>
              <w:right w:w="15" w:type="dxa"/>
            </w:tcMar>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乔木林地</w:t>
            </w:r>
          </w:p>
        </w:tc>
        <w:tc>
          <w:tcPr>
            <w:tcW w:w="1032" w:type="pct"/>
            <w:shd w:val="clear" w:color="auto" w:fill="auto"/>
            <w:tcMar>
              <w:top w:w="15" w:type="dxa"/>
              <w:left w:w="15" w:type="dxa"/>
              <w:right w:w="15" w:type="dxa"/>
            </w:tcMar>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0.5465</w:t>
            </w:r>
          </w:p>
        </w:tc>
        <w:tc>
          <w:tcPr>
            <w:tcW w:w="1175" w:type="pct"/>
            <w:shd w:val="clear" w:color="auto" w:fill="auto"/>
            <w:tcMar>
              <w:top w:w="15" w:type="dxa"/>
              <w:left w:w="15" w:type="dxa"/>
              <w:right w:w="15" w:type="dxa"/>
            </w:tcMar>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0.3</w:t>
            </w:r>
          </w:p>
        </w:tc>
        <w:tc>
          <w:tcPr>
            <w:tcW w:w="1668" w:type="dxa"/>
            <w:shd w:val="clear" w:color="auto" w:fill="auto"/>
            <w:tcMar>
              <w:top w:w="15" w:type="dxa"/>
              <w:left w:w="15" w:type="dxa"/>
              <w:right w:w="15" w:type="dxa"/>
            </w:tcMar>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1639.5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89" w:type="pct"/>
            <w:gridSpan w:val="2"/>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合计</w:t>
            </w:r>
          </w:p>
        </w:tc>
        <w:tc>
          <w:tcPr>
            <w:tcW w:w="1032" w:type="pct"/>
            <w:shd w:val="clear" w:color="auto" w:fill="auto"/>
            <w:tcMar>
              <w:top w:w="15" w:type="dxa"/>
              <w:left w:w="15" w:type="dxa"/>
              <w:right w:w="15" w:type="dxa"/>
            </w:tcMar>
            <w:vAlign w:val="center"/>
          </w:tcPr>
          <w:p>
            <w:pPr>
              <w:pStyle w:val="63"/>
              <w:rPr>
                <w:rFonts w:hint="default"/>
                <w:color w:val="000000" w:themeColor="text1"/>
                <w:highlight w:val="none"/>
                <w:lang w:val="en-US"/>
              </w:rPr>
            </w:pPr>
            <w:r>
              <w:rPr>
                <w:rFonts w:hint="eastAsia"/>
                <w:color w:val="000000" w:themeColor="text1"/>
                <w:highlight w:val="none"/>
                <w:lang w:val="en-US" w:eastAsia="zh-CN"/>
              </w:rPr>
              <w:t>9.5224</w:t>
            </w:r>
          </w:p>
        </w:tc>
        <w:tc>
          <w:tcPr>
            <w:tcW w:w="1175" w:type="pct"/>
            <w:shd w:val="clear" w:color="auto" w:fill="auto"/>
            <w:tcMar>
              <w:top w:w="15" w:type="dxa"/>
              <w:left w:w="15" w:type="dxa"/>
              <w:right w:w="15" w:type="dxa"/>
            </w:tcMar>
            <w:vAlign w:val="center"/>
          </w:tcPr>
          <w:p>
            <w:pPr>
              <w:pStyle w:val="63"/>
              <w:rPr>
                <w:rFonts w:hint="default"/>
                <w:color w:val="000000" w:themeColor="text1"/>
                <w:highlight w:val="none"/>
              </w:rPr>
            </w:pPr>
          </w:p>
        </w:tc>
        <w:tc>
          <w:tcPr>
            <w:tcW w:w="1668" w:type="dxa"/>
            <w:shd w:val="clear" w:color="auto" w:fill="auto"/>
            <w:tcMar>
              <w:top w:w="15" w:type="dxa"/>
              <w:left w:w="15" w:type="dxa"/>
              <w:right w:w="15" w:type="dxa"/>
            </w:tcMar>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24543</w:t>
            </w:r>
          </w:p>
        </w:tc>
      </w:tr>
    </w:tbl>
    <w:p>
      <w:pPr>
        <w:rPr>
          <w:color w:val="000000" w:themeColor="text1"/>
          <w:highlight w:val="none"/>
        </w:rPr>
      </w:pPr>
      <w:r>
        <w:rPr>
          <w:color w:val="000000" w:themeColor="text1"/>
          <w:highlight w:val="none"/>
        </w:rPr>
        <w:t>通过表4-1</w:t>
      </w:r>
      <w:r>
        <w:rPr>
          <w:rFonts w:hint="eastAsia"/>
          <w:color w:val="000000" w:themeColor="text1"/>
          <w:highlight w:val="none"/>
          <w:lang w:val="en-US" w:eastAsia="zh-CN"/>
        </w:rPr>
        <w:t>2</w:t>
      </w:r>
      <w:r>
        <w:rPr>
          <w:color w:val="000000" w:themeColor="text1"/>
          <w:highlight w:val="none"/>
        </w:rPr>
        <w:t>可知，本方案共需覆土量约</w:t>
      </w:r>
      <w:r>
        <w:rPr>
          <w:rFonts w:hint="eastAsia"/>
          <w:color w:val="000000" w:themeColor="text1"/>
          <w:highlight w:val="none"/>
          <w:lang w:val="en-US" w:eastAsia="zh-CN"/>
        </w:rPr>
        <w:t>24543</w:t>
      </w:r>
      <w:r>
        <w:rPr>
          <w:color w:val="000000" w:themeColor="text1"/>
          <w:highlight w:val="none"/>
        </w:rPr>
        <w:t>m</w:t>
      </w:r>
      <w:r>
        <w:rPr>
          <w:color w:val="000000" w:themeColor="text1"/>
          <w:highlight w:val="none"/>
          <w:vertAlign w:val="superscript"/>
        </w:rPr>
        <w:t>3</w:t>
      </w:r>
      <w:r>
        <w:rPr>
          <w:color w:val="000000" w:themeColor="text1"/>
          <w:highlight w:val="none"/>
        </w:rPr>
        <w:t>。</w:t>
      </w:r>
    </w:p>
    <w:p>
      <w:pPr>
        <w:rPr>
          <w:color w:val="000000" w:themeColor="text1"/>
          <w:highlight w:val="none"/>
        </w:rPr>
      </w:pPr>
      <w:r>
        <w:rPr>
          <w:color w:val="000000" w:themeColor="text1"/>
          <w:highlight w:val="none"/>
        </w:rPr>
        <w:t>（2）供土分析</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复垦责任范围土源情况</w:t>
      </w:r>
    </w:p>
    <w:p>
      <w:pPr>
        <w:rPr>
          <w:color w:val="000000" w:themeColor="text1"/>
          <w:highlight w:val="none"/>
        </w:rPr>
      </w:pPr>
      <w:r>
        <w:rPr>
          <w:color w:val="000000" w:themeColor="text1"/>
          <w:highlight w:val="none"/>
        </w:rPr>
        <w:t>由于本矿临时用地形成年限比较久远，各临时用地地面均进行了平整和硬化，复垦</w:t>
      </w:r>
      <w:r>
        <w:rPr>
          <w:rFonts w:hint="eastAsia"/>
          <w:color w:val="000000" w:themeColor="text1"/>
          <w:highlight w:val="none"/>
          <w:lang w:eastAsia="zh-CN"/>
        </w:rPr>
        <w:t>土源只能从尚未开采的拟开采区剥离表土</w:t>
      </w:r>
      <w:r>
        <w:rPr>
          <w:color w:val="000000" w:themeColor="text1"/>
          <w:highlight w:val="none"/>
        </w:rPr>
        <w:t>。</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表土来源分析</w:t>
      </w:r>
    </w:p>
    <w:p>
      <w:pPr>
        <w:rPr>
          <w:color w:val="000000" w:themeColor="text1"/>
          <w:highlight w:val="none"/>
        </w:rPr>
      </w:pPr>
      <w:r>
        <w:rPr>
          <w:color w:val="000000" w:themeColor="text1"/>
          <w:highlight w:val="none"/>
        </w:rPr>
        <w:t>本次复垦方案所需回覆表土共计</w:t>
      </w:r>
      <w:r>
        <w:rPr>
          <w:rFonts w:hint="eastAsia"/>
          <w:color w:val="000000" w:themeColor="text1"/>
          <w:highlight w:val="none"/>
          <w:lang w:eastAsia="zh-CN"/>
        </w:rPr>
        <w:t>24543</w:t>
      </w:r>
      <w:r>
        <w:rPr>
          <w:color w:val="000000" w:themeColor="text1"/>
          <w:highlight w:val="none"/>
        </w:rPr>
        <w:t>m</w:t>
      </w:r>
      <w:r>
        <w:rPr>
          <w:color w:val="000000" w:themeColor="text1"/>
          <w:highlight w:val="none"/>
          <w:vertAlign w:val="superscript"/>
        </w:rPr>
        <w:t>3</w:t>
      </w:r>
      <w:r>
        <w:rPr>
          <w:color w:val="000000" w:themeColor="text1"/>
          <w:highlight w:val="none"/>
        </w:rPr>
        <w:t>。根据现场调查</w:t>
      </w:r>
      <w:r>
        <w:rPr>
          <w:rFonts w:hint="eastAsia"/>
          <w:color w:val="000000" w:themeColor="text1"/>
          <w:highlight w:val="none"/>
        </w:rPr>
        <w:t>，</w:t>
      </w:r>
      <w:r>
        <w:rPr>
          <w:color w:val="000000" w:themeColor="text1"/>
          <w:highlight w:val="none"/>
        </w:rPr>
        <w:t>项目区土壤厚度一般在</w:t>
      </w:r>
      <w:r>
        <w:rPr>
          <w:rFonts w:hint="eastAsia"/>
          <w:color w:val="000000" w:themeColor="text1"/>
          <w:highlight w:val="none"/>
          <w:lang w:val="en-US" w:eastAsia="zh-CN"/>
        </w:rPr>
        <w:t>0</w:t>
      </w:r>
      <w:r>
        <w:rPr>
          <w:rFonts w:hint="eastAsia"/>
          <w:color w:val="000000" w:themeColor="text1"/>
          <w:highlight w:val="none"/>
        </w:rPr>
        <w:t>-</w:t>
      </w:r>
      <w:r>
        <w:rPr>
          <w:rFonts w:hint="eastAsia"/>
          <w:color w:val="000000" w:themeColor="text1"/>
          <w:highlight w:val="none"/>
          <w:lang w:val="en-US" w:eastAsia="zh-CN"/>
        </w:rPr>
        <w:t>261</w:t>
      </w:r>
      <w:r>
        <w:rPr>
          <w:rFonts w:hint="eastAsia"/>
          <w:color w:val="000000" w:themeColor="text1"/>
          <w:highlight w:val="none"/>
        </w:rPr>
        <w:t>cm，根据矿山后期建设，拟</w:t>
      </w:r>
      <w:r>
        <w:rPr>
          <w:rFonts w:hint="eastAsia"/>
          <w:color w:val="000000" w:themeColor="text1"/>
          <w:highlight w:val="none"/>
          <w:lang w:eastAsia="zh-CN"/>
        </w:rPr>
        <w:t>开挖采场</w:t>
      </w:r>
      <w:r>
        <w:rPr>
          <w:rFonts w:hint="eastAsia"/>
          <w:color w:val="000000" w:themeColor="text1"/>
          <w:highlight w:val="none"/>
          <w:lang w:val="en-US"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，建设过程中，按照0.</w:t>
      </w:r>
      <w:r>
        <w:rPr>
          <w:rFonts w:hint="eastAsia"/>
          <w:color w:val="000000" w:themeColor="text1"/>
          <w:highlight w:val="none"/>
          <w:lang w:val="en-US" w:eastAsia="zh-CN"/>
        </w:rPr>
        <w:t>72</w:t>
      </w:r>
      <w:r>
        <w:rPr>
          <w:rFonts w:hint="eastAsia"/>
          <w:color w:val="000000" w:themeColor="text1"/>
          <w:highlight w:val="none"/>
        </w:rPr>
        <w:t>m剥离表土，可剥离表土约</w:t>
      </w:r>
      <w:r>
        <w:rPr>
          <w:rFonts w:hint="eastAsia"/>
          <w:color w:val="000000" w:themeColor="text1"/>
          <w:highlight w:val="none"/>
          <w:lang w:val="en-US" w:eastAsia="zh-CN"/>
        </w:rPr>
        <w:t>24711</w:t>
      </w:r>
      <w:r>
        <w:rPr>
          <w:rFonts w:hint="eastAsia"/>
          <w:color w:val="000000" w:themeColor="text1"/>
          <w:highlight w:val="none"/>
        </w:rPr>
        <w:t>m</w:t>
      </w:r>
      <w:r>
        <w:rPr>
          <w:rFonts w:hint="eastAsia"/>
          <w:color w:val="000000" w:themeColor="text1"/>
          <w:highlight w:val="none"/>
          <w:vertAlign w:val="superscript"/>
        </w:rPr>
        <w:t>3</w:t>
      </w:r>
      <w:r>
        <w:rPr>
          <w:color w:val="000000" w:themeColor="text1"/>
          <w:highlight w:val="none"/>
        </w:rPr>
        <w:t>。</w:t>
      </w:r>
    </w:p>
    <w:p>
      <w:pPr>
        <w:rPr>
          <w:rFonts w:hint="eastAsia" w:eastAsia="宋体"/>
          <w:color w:val="000000" w:themeColor="text1"/>
          <w:highlight w:val="none"/>
          <w:lang w:eastAsia="zh-CN"/>
        </w:rPr>
      </w:pPr>
      <w:r>
        <w:rPr>
          <w:rFonts w:hint="eastAsia"/>
          <w:color w:val="000000" w:themeColor="text1"/>
          <w:highlight w:val="none"/>
        </w:rPr>
        <w:t>本次复垦方案所需回覆表土共计</w:t>
      </w:r>
      <w:r>
        <w:rPr>
          <w:rFonts w:hint="eastAsia"/>
          <w:color w:val="000000" w:themeColor="text1"/>
          <w:highlight w:val="none"/>
          <w:lang w:eastAsia="zh-CN"/>
        </w:rPr>
        <w:t>24543</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，剥离表土共计</w:t>
      </w:r>
      <w:r>
        <w:rPr>
          <w:rFonts w:hint="eastAsia"/>
          <w:color w:val="000000" w:themeColor="text1"/>
          <w:highlight w:val="none"/>
          <w:lang w:val="en-US" w:eastAsia="zh-CN"/>
        </w:rPr>
        <w:t>24711</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rPr>
        <w:t>，</w:t>
      </w:r>
      <w:r>
        <w:rPr>
          <w:rFonts w:hint="eastAsia"/>
          <w:color w:val="000000" w:themeColor="text1"/>
          <w:highlight w:val="none"/>
          <w:lang w:eastAsia="zh-CN"/>
        </w:rPr>
        <w:t>剥离的表土满足复垦需求</w:t>
      </w:r>
      <w:r>
        <w:rPr>
          <w:rFonts w:hint="eastAsia"/>
          <w:color w:val="000000" w:themeColor="text1"/>
          <w:highlight w:val="none"/>
        </w:rPr>
        <w:t>。</w:t>
      </w:r>
      <w:r>
        <w:rPr>
          <w:rFonts w:hint="eastAsia"/>
          <w:color w:val="000000" w:themeColor="text1"/>
          <w:highlight w:val="none"/>
          <w:lang w:eastAsia="zh-CN"/>
        </w:rPr>
        <w:t>复垦时禁止将受污染的土壤用于复垦。</w:t>
      </w:r>
    </w:p>
    <w:p>
      <w:pPr>
        <w:rPr>
          <w:color w:val="000000" w:themeColor="text1"/>
          <w:highlight w:val="none"/>
        </w:rPr>
      </w:pPr>
      <w:r>
        <w:rPr>
          <w:color w:val="000000" w:themeColor="text1"/>
          <w:highlight w:val="none"/>
        </w:rPr>
        <w:t>（3）平衡分析</w:t>
      </w:r>
    </w:p>
    <w:p>
      <w:pPr>
        <w:rPr>
          <w:color w:val="000000" w:themeColor="text1"/>
          <w:highlight w:val="none"/>
        </w:rPr>
      </w:pPr>
      <w:r>
        <w:rPr>
          <w:color w:val="000000" w:themeColor="text1"/>
          <w:highlight w:val="none"/>
        </w:rPr>
        <w:t>综上分析，经计算复垦责任范围所需回覆表土自然方量为</w:t>
      </w:r>
      <w:r>
        <w:rPr>
          <w:rFonts w:hint="eastAsia"/>
          <w:color w:val="000000" w:themeColor="text1"/>
          <w:spacing w:val="-2"/>
          <w:highlight w:val="none"/>
          <w:lang w:eastAsia="zh-CN"/>
        </w:rPr>
        <w:t>24543</w:t>
      </w:r>
      <w:r>
        <w:rPr>
          <w:color w:val="000000" w:themeColor="text1"/>
          <w:highlight w:val="none"/>
        </w:rPr>
        <w:t>m</w:t>
      </w:r>
      <w:r>
        <w:rPr>
          <w:color w:val="000000" w:themeColor="text1"/>
          <w:highlight w:val="none"/>
          <w:vertAlign w:val="superscript"/>
        </w:rPr>
        <w:t>3</w:t>
      </w:r>
      <w:r>
        <w:rPr>
          <w:color w:val="000000" w:themeColor="text1"/>
          <w:highlight w:val="none"/>
        </w:rPr>
        <w:t>，</w:t>
      </w:r>
      <w:r>
        <w:rPr>
          <w:rFonts w:hint="eastAsia"/>
          <w:color w:val="000000" w:themeColor="text1"/>
          <w:highlight w:val="none"/>
        </w:rPr>
        <w:t>矿山拟</w:t>
      </w:r>
      <w:r>
        <w:rPr>
          <w:rFonts w:hint="eastAsia"/>
          <w:color w:val="000000" w:themeColor="text1"/>
          <w:highlight w:val="none"/>
          <w:lang w:eastAsia="zh-CN"/>
        </w:rPr>
        <w:t>开挖采场</w:t>
      </w:r>
      <w:r>
        <w:rPr>
          <w:rFonts w:hint="eastAsia"/>
          <w:color w:val="000000" w:themeColor="text1"/>
          <w:highlight w:val="none"/>
        </w:rPr>
        <w:t>剥离表土</w:t>
      </w:r>
      <w:r>
        <w:rPr>
          <w:rFonts w:hint="eastAsia"/>
          <w:color w:val="000000" w:themeColor="text1"/>
          <w:highlight w:val="none"/>
          <w:lang w:val="en-US" w:eastAsia="zh-CN"/>
        </w:rPr>
        <w:t>24711</w:t>
      </w:r>
      <w:r>
        <w:rPr>
          <w:color w:val="000000" w:themeColor="text1"/>
          <w:highlight w:val="none"/>
        </w:rPr>
        <w:t>m</w:t>
      </w:r>
      <w:r>
        <w:rPr>
          <w:color w:val="000000" w:themeColor="text1"/>
          <w:highlight w:val="none"/>
          <w:vertAlign w:val="superscript"/>
        </w:rPr>
        <w:t>3</w:t>
      </w:r>
      <w:r>
        <w:rPr>
          <w:color w:val="000000" w:themeColor="text1"/>
          <w:highlight w:val="none"/>
        </w:rPr>
        <w:t>，能够满足本项目土地复垦需要。</w:t>
      </w:r>
    </w:p>
    <w:p>
      <w:pPr>
        <w:rPr>
          <w:color w:val="000000" w:themeColor="text1"/>
          <w:highlight w:val="none"/>
        </w:rPr>
      </w:pPr>
      <w:r>
        <w:rPr>
          <w:color w:val="000000" w:themeColor="text1"/>
          <w:highlight w:val="none"/>
        </w:rPr>
        <w:t>2、水资源平衡分析</w:t>
      </w:r>
    </w:p>
    <w:p>
      <w:pPr>
        <w:rPr>
          <w:color w:val="000000" w:themeColor="text1"/>
          <w:highlight w:val="none"/>
        </w:rPr>
      </w:pPr>
      <w:r>
        <w:rPr>
          <w:color w:val="000000" w:themeColor="text1"/>
          <w:highlight w:val="none"/>
        </w:rPr>
        <w:t>本项目复垦的方向是</w:t>
      </w:r>
      <w:r>
        <w:rPr>
          <w:rFonts w:hint="eastAsia"/>
          <w:color w:val="000000" w:themeColor="text1"/>
          <w:highlight w:val="none"/>
          <w:lang w:eastAsia="zh-CN"/>
        </w:rPr>
        <w:t>乔木林地</w:t>
      </w:r>
      <w:r>
        <w:rPr>
          <w:rFonts w:hint="eastAsia"/>
          <w:color w:val="000000" w:themeColor="text1"/>
          <w:highlight w:val="none"/>
        </w:rPr>
        <w:t>和</w:t>
      </w:r>
      <w:r>
        <w:rPr>
          <w:rFonts w:hint="eastAsia"/>
          <w:color w:val="000000" w:themeColor="text1"/>
          <w:highlight w:val="none"/>
          <w:lang w:eastAsia="zh-CN"/>
        </w:rPr>
        <w:t>其他草地</w:t>
      </w:r>
      <w:r>
        <w:rPr>
          <w:color w:val="000000" w:themeColor="text1"/>
          <w:highlight w:val="none"/>
        </w:rPr>
        <w:t>。项目区土地整理实施后，其主要用水对象是</w:t>
      </w:r>
      <w:r>
        <w:rPr>
          <w:rFonts w:hint="eastAsia"/>
          <w:color w:val="000000" w:themeColor="text1"/>
          <w:highlight w:val="none"/>
          <w:lang w:eastAsia="zh-CN"/>
        </w:rPr>
        <w:t>林地</w:t>
      </w:r>
      <w:r>
        <w:rPr>
          <w:color w:val="000000" w:themeColor="text1"/>
          <w:highlight w:val="none"/>
        </w:rPr>
        <w:t>。</w:t>
      </w:r>
    </w:p>
    <w:p>
      <w:pPr>
        <w:rPr>
          <w:color w:val="000000" w:themeColor="text1"/>
          <w:highlight w:val="none"/>
        </w:rPr>
      </w:pPr>
      <w:r>
        <w:rPr>
          <w:color w:val="000000" w:themeColor="text1"/>
          <w:highlight w:val="none"/>
        </w:rPr>
        <w:t>（2）供水分析</w:t>
      </w:r>
    </w:p>
    <w:p>
      <w:pPr>
        <w:rPr>
          <w:color w:val="000000" w:themeColor="text1"/>
          <w:highlight w:val="none"/>
        </w:rPr>
      </w:pPr>
      <w:r>
        <w:rPr>
          <w:color w:val="000000" w:themeColor="text1"/>
          <w:highlight w:val="none"/>
        </w:rPr>
        <w:t>项目区灌溉水源主要来源于山间溪沟以及降雨径流，据现场调查测算，</w:t>
      </w:r>
      <w:r>
        <w:rPr>
          <w:color w:val="000000" w:themeColor="text1"/>
          <w:highlight w:val="none"/>
          <w:lang w:val="en-GB"/>
        </w:rPr>
        <w:t>本项目所在地年均</w:t>
      </w:r>
      <w:r>
        <w:rPr>
          <w:rFonts w:hint="eastAsia"/>
          <w:color w:val="000000" w:themeColor="text1"/>
          <w:highlight w:val="none"/>
          <w:lang w:eastAsia="zh-CN"/>
        </w:rPr>
        <w:t>1170.4</w:t>
      </w:r>
      <w:r>
        <w:rPr>
          <w:color w:val="000000" w:themeColor="text1"/>
          <w:highlight w:val="none"/>
          <w:lang w:val="en-GB"/>
        </w:rPr>
        <w:t>mm。</w:t>
      </w:r>
      <w:r>
        <w:rPr>
          <w:color w:val="000000" w:themeColor="text1"/>
          <w:highlight w:val="none"/>
        </w:rPr>
        <w:t>复垦为</w:t>
      </w:r>
      <w:r>
        <w:rPr>
          <w:rFonts w:hint="eastAsia"/>
          <w:color w:val="000000" w:themeColor="text1"/>
          <w:highlight w:val="none"/>
          <w:lang w:eastAsia="zh-CN"/>
        </w:rPr>
        <w:t>林地</w:t>
      </w:r>
      <w:r>
        <w:rPr>
          <w:color w:val="000000" w:themeColor="text1"/>
          <w:highlight w:val="none"/>
        </w:rPr>
        <w:t>面积</w:t>
      </w:r>
      <w:r>
        <w:rPr>
          <w:rFonts w:hint="eastAsia"/>
          <w:color w:val="000000" w:themeColor="text1"/>
          <w:highlight w:val="none"/>
          <w:lang w:eastAsia="zh-CN"/>
        </w:rPr>
        <w:t>8.179</w:t>
      </w:r>
      <w:r>
        <w:rPr>
          <w:rFonts w:hint="eastAsia"/>
          <w:color w:val="000000" w:themeColor="text1"/>
          <w:highlight w:val="none"/>
        </w:rPr>
        <w:t>h</w:t>
      </w:r>
      <w:r>
        <w:rPr>
          <w:color w:val="000000" w:themeColor="text1"/>
          <w:highlight w:val="none"/>
        </w:rPr>
        <w:t>m</w:t>
      </w:r>
      <w:r>
        <w:rPr>
          <w:color w:val="000000" w:themeColor="text1"/>
          <w:highlight w:val="none"/>
          <w:vertAlign w:val="superscript"/>
        </w:rPr>
        <w:t>2</w:t>
      </w:r>
      <w:r>
        <w:rPr>
          <w:color w:val="000000" w:themeColor="text1"/>
          <w:highlight w:val="none"/>
        </w:rPr>
        <w:t>，经计算</w:t>
      </w:r>
      <w:r>
        <w:rPr>
          <w:rFonts w:hint="eastAsia"/>
          <w:color w:val="000000" w:themeColor="text1"/>
          <w:highlight w:val="none"/>
          <w:lang w:eastAsia="zh-CN"/>
        </w:rPr>
        <w:t>复垦</w:t>
      </w:r>
      <w:r>
        <w:rPr>
          <w:color w:val="000000" w:themeColor="text1"/>
          <w:highlight w:val="none"/>
        </w:rPr>
        <w:t>范围内年降雨总量为</w:t>
      </w:r>
      <w:r>
        <w:rPr>
          <w:rFonts w:hint="eastAsia"/>
          <w:color w:val="000000" w:themeColor="text1"/>
          <w:highlight w:val="none"/>
          <w:lang w:val="en-US" w:eastAsia="zh-CN"/>
        </w:rPr>
        <w:t>95727</w:t>
      </w:r>
      <w:r>
        <w:rPr>
          <w:color w:val="000000" w:themeColor="text1"/>
          <w:highlight w:val="none"/>
        </w:rPr>
        <w:t>m</w:t>
      </w:r>
      <w:r>
        <w:rPr>
          <w:color w:val="000000" w:themeColor="text1"/>
          <w:highlight w:val="none"/>
          <w:vertAlign w:val="superscript"/>
        </w:rPr>
        <w:t>3</w:t>
      </w:r>
      <w:r>
        <w:rPr>
          <w:rFonts w:hint="eastAsia"/>
          <w:color w:val="000000" w:themeColor="text1"/>
          <w:highlight w:val="none"/>
        </w:rPr>
        <w:t>。</w:t>
      </w:r>
    </w:p>
    <w:p>
      <w:pPr>
        <w:rPr>
          <w:color w:val="000000" w:themeColor="text1"/>
          <w:highlight w:val="none"/>
          <w:lang w:val="en-GB"/>
        </w:rPr>
      </w:pPr>
      <w:r>
        <w:rPr>
          <w:color w:val="000000" w:themeColor="text1"/>
          <w:highlight w:val="none"/>
        </w:rPr>
        <w:t>林地用水平衡分析：</w:t>
      </w:r>
    </w:p>
    <w:p>
      <w:pPr>
        <w:rPr>
          <w:color w:val="000000" w:themeColor="text1"/>
          <w:highlight w:val="none"/>
          <w:lang w:val="en-GB"/>
        </w:rPr>
      </w:pPr>
      <w:r>
        <w:rPr>
          <w:color w:val="000000" w:themeColor="text1"/>
          <w:highlight w:val="none"/>
          <w:lang w:val="en-GB"/>
        </w:rPr>
        <w:t>根据一般经验，苗木灌水量随树种、林龄、季节和土壤条件不同而异。一般要求灌水后的土壤湿度达到田间持水量的60%~80%即可，并且湿土层要达到主要根群分布深度。由于在栽植过程中，苗木的起栽都有可能造成其生理缺水，为了提高苗木栽植的成活率，在苗木栽植后立即浇灌一次透水，根据《雨水集蓄利用工程技术规范》（GBT50596-2010）在年降水量大于500mm的地区，</w:t>
      </w:r>
      <w:r>
        <w:rPr>
          <w:rFonts w:hint="eastAsia"/>
          <w:color w:val="000000" w:themeColor="text1"/>
          <w:highlight w:val="none"/>
          <w:lang w:val="en-GB" w:eastAsia="zh-CN"/>
        </w:rPr>
        <w:t>乔木林地</w:t>
      </w:r>
      <w:r>
        <w:rPr>
          <w:color w:val="000000" w:themeColor="text1"/>
          <w:highlight w:val="none"/>
          <w:lang w:val="en-GB"/>
        </w:rPr>
        <w:t>和草地点灌灌水定额为45m</w:t>
      </w:r>
      <w:r>
        <w:rPr>
          <w:color w:val="000000" w:themeColor="text1"/>
          <w:highlight w:val="none"/>
          <w:vertAlign w:val="superscript"/>
          <w:lang w:val="en-GB"/>
        </w:rPr>
        <w:t>3</w:t>
      </w:r>
      <w:r>
        <w:rPr>
          <w:color w:val="000000" w:themeColor="text1"/>
          <w:highlight w:val="none"/>
          <w:lang w:val="en-GB"/>
        </w:rPr>
        <w:t>/公顷，其可以通过自然降雨径流解决。</w:t>
      </w:r>
    </w:p>
    <w:p>
      <w:pPr>
        <w:rPr>
          <w:color w:val="000000" w:themeColor="text1"/>
          <w:highlight w:val="none"/>
        </w:rPr>
      </w:pPr>
      <w:r>
        <w:rPr>
          <w:color w:val="000000" w:themeColor="text1"/>
          <w:highlight w:val="none"/>
        </w:rPr>
        <w:t>综上，本项目复垦时及复垦后</w:t>
      </w:r>
      <w:r>
        <w:rPr>
          <w:rFonts w:hint="eastAsia"/>
          <w:color w:val="000000" w:themeColor="text1"/>
          <w:highlight w:val="none"/>
          <w:lang w:eastAsia="zh-CN"/>
        </w:rPr>
        <w:t>乔木林地</w:t>
      </w:r>
      <w:r>
        <w:rPr>
          <w:color w:val="000000" w:themeColor="text1"/>
          <w:highlight w:val="none"/>
        </w:rPr>
        <w:t>、</w:t>
      </w:r>
      <w:r>
        <w:rPr>
          <w:rFonts w:hint="eastAsia"/>
          <w:color w:val="000000" w:themeColor="text1"/>
          <w:highlight w:val="none"/>
          <w:lang w:eastAsia="zh-CN"/>
        </w:rPr>
        <w:t>其他草地</w:t>
      </w:r>
      <w:r>
        <w:rPr>
          <w:color w:val="000000" w:themeColor="text1"/>
          <w:highlight w:val="none"/>
        </w:rPr>
        <w:t>所需水资源有保障。</w:t>
      </w:r>
    </w:p>
    <w:p>
      <w:pPr>
        <w:pStyle w:val="5"/>
        <w:spacing w:before="82" w:after="82"/>
        <w:rPr>
          <w:color w:val="000000" w:themeColor="text1"/>
          <w:highlight w:val="none"/>
        </w:rPr>
      </w:pPr>
      <w:bookmarkStart w:id="184" w:name="_Toc19541"/>
      <w:bookmarkStart w:id="185" w:name="_Toc21338"/>
      <w:r>
        <w:rPr>
          <w:color w:val="000000" w:themeColor="text1"/>
          <w:highlight w:val="none"/>
        </w:rPr>
        <w:t>4.2.4土地复垦质量要求</w:t>
      </w:r>
      <w:bookmarkEnd w:id="184"/>
      <w:bookmarkEnd w:id="185"/>
    </w:p>
    <w:p>
      <w:pPr>
        <w:rPr>
          <w:color w:val="000000" w:themeColor="text1"/>
          <w:highlight w:val="none"/>
        </w:rPr>
      </w:pPr>
      <w:r>
        <w:rPr>
          <w:color w:val="000000" w:themeColor="text1"/>
          <w:highlight w:val="none"/>
          <w:lang w:bidi="en-US"/>
        </w:rPr>
        <w:t>1</w:t>
      </w:r>
      <w:r>
        <w:rPr>
          <w:color w:val="000000" w:themeColor="text1"/>
          <w:highlight w:val="none"/>
        </w:rPr>
        <w:t>、林地复垦质量控制标准</w:t>
      </w:r>
    </w:p>
    <w:p>
      <w:pPr>
        <w:rPr>
          <w:color w:val="000000" w:themeColor="text1"/>
          <w:highlight w:val="none"/>
        </w:rPr>
      </w:pPr>
      <w:r>
        <w:rPr>
          <w:color w:val="000000" w:themeColor="text1"/>
          <w:highlight w:val="none"/>
        </w:rPr>
        <w:t>复垦为林地部分复垦质量要求参考《土地复垦质量控制标准》</w:t>
      </w:r>
      <w:r>
        <w:rPr>
          <w:rFonts w:hint="eastAsia"/>
          <w:color w:val="000000" w:themeColor="text1"/>
          <w:highlight w:val="none"/>
        </w:rPr>
        <w:t>（</w:t>
      </w:r>
      <w:r>
        <w:rPr>
          <w:color w:val="000000" w:themeColor="text1"/>
          <w:highlight w:val="none"/>
        </w:rPr>
        <w:t>TD/T1036—2013</w:t>
      </w:r>
      <w:r>
        <w:rPr>
          <w:rFonts w:hint="eastAsia"/>
          <w:color w:val="000000" w:themeColor="text1"/>
          <w:highlight w:val="none"/>
        </w:rPr>
        <w:t>）</w:t>
      </w:r>
      <w:r>
        <w:rPr>
          <w:color w:val="000000" w:themeColor="text1"/>
          <w:highlight w:val="none"/>
        </w:rPr>
        <w:t>中表D.8西南山地丘陵区土地复垦质量控制标准，其复垦标准详见表4-</w:t>
      </w:r>
      <w:r>
        <w:rPr>
          <w:rFonts w:hint="eastAsia"/>
          <w:color w:val="000000" w:themeColor="text1"/>
          <w:highlight w:val="none"/>
          <w:lang w:val="en-US" w:eastAsia="zh-CN"/>
        </w:rPr>
        <w:t>13</w:t>
      </w:r>
      <w:r>
        <w:rPr>
          <w:color w:val="000000" w:themeColor="text1"/>
          <w:highlight w:val="none"/>
        </w:rPr>
        <w:t>。</w:t>
      </w:r>
    </w:p>
    <w:p>
      <w:pPr>
        <w:pStyle w:val="67"/>
        <w:rPr>
          <w:color w:val="000000" w:themeColor="text1"/>
          <w:highlight w:val="none"/>
        </w:rPr>
      </w:pPr>
      <w:r>
        <w:rPr>
          <w:color w:val="000000" w:themeColor="text1"/>
          <w:highlight w:val="none"/>
        </w:rPr>
        <w:t>表4-</w:t>
      </w:r>
      <w:r>
        <w:rPr>
          <w:rFonts w:hint="eastAsia"/>
          <w:color w:val="000000" w:themeColor="text1"/>
          <w:highlight w:val="none"/>
          <w:lang w:val="en-US" w:eastAsia="zh-CN"/>
        </w:rPr>
        <w:t>13</w:t>
      </w:r>
      <w:r>
        <w:rPr>
          <w:rFonts w:hint="eastAsia"/>
          <w:color w:val="000000" w:themeColor="text1"/>
          <w:highlight w:val="none"/>
        </w:rPr>
        <w:t xml:space="preserve">  </w:t>
      </w:r>
      <w:r>
        <w:rPr>
          <w:color w:val="000000" w:themeColor="text1"/>
          <w:highlight w:val="none"/>
        </w:rPr>
        <w:t>复垦林地质量控制标准</w:t>
      </w:r>
    </w:p>
    <w:tbl>
      <w:tblPr>
        <w:tblStyle w:val="31"/>
        <w:tblW w:w="84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7"/>
        <w:gridCol w:w="587"/>
        <w:gridCol w:w="1188"/>
        <w:gridCol w:w="2112"/>
        <w:gridCol w:w="40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4" w:type="dxa"/>
            <w:gridSpan w:val="2"/>
            <w:vAlign w:val="center"/>
          </w:tcPr>
          <w:p>
            <w:pPr>
              <w:pStyle w:val="63"/>
              <w:rPr>
                <w:color w:val="000000" w:themeColor="text1"/>
                <w:highlight w:val="none"/>
              </w:rPr>
            </w:pPr>
            <w:r>
              <w:rPr>
                <w:b/>
                <w:color w:val="000000" w:themeColor="text1"/>
                <w:highlight w:val="none"/>
              </w:rPr>
              <w:br w:type="page"/>
            </w:r>
            <w:r>
              <w:rPr>
                <w:color w:val="000000" w:themeColor="text1"/>
                <w:highlight w:val="none"/>
              </w:rPr>
              <w:t>复垦方向</w:t>
            </w:r>
          </w:p>
        </w:tc>
        <w:tc>
          <w:tcPr>
            <w:tcW w:w="1188" w:type="dxa"/>
            <w:vAlign w:val="center"/>
          </w:tcPr>
          <w:p>
            <w:pPr>
              <w:pStyle w:val="63"/>
              <w:rPr>
                <w:color w:val="000000" w:themeColor="text1"/>
                <w:highlight w:val="none"/>
              </w:rPr>
            </w:pPr>
            <w:r>
              <w:rPr>
                <w:color w:val="000000" w:themeColor="text1"/>
                <w:highlight w:val="none"/>
              </w:rPr>
              <w:t>指标类型</w:t>
            </w:r>
          </w:p>
        </w:tc>
        <w:tc>
          <w:tcPr>
            <w:tcW w:w="2112" w:type="dxa"/>
            <w:vAlign w:val="center"/>
          </w:tcPr>
          <w:p>
            <w:pPr>
              <w:pStyle w:val="63"/>
              <w:rPr>
                <w:color w:val="000000" w:themeColor="text1"/>
                <w:highlight w:val="none"/>
              </w:rPr>
            </w:pPr>
            <w:r>
              <w:rPr>
                <w:color w:val="000000" w:themeColor="text1"/>
                <w:highlight w:val="none"/>
              </w:rPr>
              <w:t>基本指标</w:t>
            </w:r>
          </w:p>
        </w:tc>
        <w:tc>
          <w:tcPr>
            <w:tcW w:w="4008" w:type="dxa"/>
            <w:vAlign w:val="center"/>
          </w:tcPr>
          <w:p>
            <w:pPr>
              <w:pStyle w:val="63"/>
              <w:rPr>
                <w:color w:val="000000" w:themeColor="text1"/>
                <w:highlight w:val="none"/>
              </w:rPr>
            </w:pPr>
            <w:r>
              <w:rPr>
                <w:color w:val="000000" w:themeColor="text1"/>
                <w:highlight w:val="none"/>
              </w:rPr>
              <w:t>控制标准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restart"/>
            <w:tcBorders>
              <w:top w:val="nil"/>
              <w:right w:val="single" w:color="auto" w:sz="4" w:space="0"/>
            </w:tcBorders>
            <w:vAlign w:val="center"/>
          </w:tcPr>
          <w:p>
            <w:pPr>
              <w:pStyle w:val="63"/>
              <w:rPr>
                <w:color w:val="000000" w:themeColor="text1"/>
                <w:highlight w:val="none"/>
              </w:rPr>
            </w:pPr>
            <w:r>
              <w:rPr>
                <w:color w:val="000000" w:themeColor="text1"/>
                <w:highlight w:val="none"/>
              </w:rPr>
              <w:t>林地</w:t>
            </w:r>
          </w:p>
        </w:tc>
        <w:tc>
          <w:tcPr>
            <w:tcW w:w="587" w:type="dxa"/>
            <w:vMerge w:val="restart"/>
            <w:tcBorders>
              <w:top w:val="nil"/>
              <w:lef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乔木林地</w:t>
            </w:r>
          </w:p>
        </w:tc>
        <w:tc>
          <w:tcPr>
            <w:tcW w:w="1188" w:type="dxa"/>
            <w:vMerge w:val="restart"/>
            <w:vAlign w:val="center"/>
          </w:tcPr>
          <w:p>
            <w:pPr>
              <w:pStyle w:val="63"/>
              <w:rPr>
                <w:color w:val="000000" w:themeColor="text1"/>
                <w:highlight w:val="none"/>
              </w:rPr>
            </w:pPr>
            <w:r>
              <w:rPr>
                <w:color w:val="000000" w:themeColor="text1"/>
                <w:highlight w:val="none"/>
              </w:rPr>
              <w:t>土壤质量</w:t>
            </w:r>
          </w:p>
        </w:tc>
        <w:tc>
          <w:tcPr>
            <w:tcW w:w="2112" w:type="dxa"/>
            <w:vAlign w:val="center"/>
          </w:tcPr>
          <w:p>
            <w:pPr>
              <w:pStyle w:val="63"/>
              <w:rPr>
                <w:color w:val="000000" w:themeColor="text1"/>
                <w:highlight w:val="none"/>
              </w:rPr>
            </w:pPr>
            <w:r>
              <w:rPr>
                <w:color w:val="000000" w:themeColor="text1"/>
                <w:highlight w:val="none"/>
              </w:rPr>
              <w:t>有效土层厚度/cm</w:t>
            </w:r>
          </w:p>
        </w:tc>
        <w:tc>
          <w:tcPr>
            <w:tcW w:w="4008" w:type="dxa"/>
            <w:vAlign w:val="center"/>
          </w:tcPr>
          <w:p>
            <w:pPr>
              <w:pStyle w:val="63"/>
              <w:rPr>
                <w:color w:val="000000" w:themeColor="text1"/>
                <w:highlight w:val="none"/>
              </w:rPr>
            </w:pPr>
            <w:r>
              <w:rPr>
                <w:color w:val="000000" w:themeColor="text1"/>
                <w:highlight w:val="none"/>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vAlign w:val="center"/>
          </w:tcPr>
          <w:p>
            <w:pPr>
              <w:pStyle w:val="63"/>
              <w:rPr>
                <w:color w:val="000000" w:themeColor="text1"/>
                <w:highlight w:val="none"/>
              </w:rPr>
            </w:pPr>
            <w:r>
              <w:rPr>
                <w:color w:val="000000" w:themeColor="text1"/>
                <w:highlight w:val="none"/>
              </w:rPr>
              <w:t>土壤容重/（g/cm</w:t>
            </w:r>
            <w:r>
              <w:rPr>
                <w:color w:val="000000" w:themeColor="text1"/>
                <w:highlight w:val="none"/>
                <w:vertAlign w:val="superscript"/>
              </w:rPr>
              <w:t>3</w:t>
            </w:r>
            <w:r>
              <w:rPr>
                <w:color w:val="000000" w:themeColor="text1"/>
                <w:highlight w:val="none"/>
              </w:rPr>
              <w:t>）</w:t>
            </w:r>
          </w:p>
        </w:tc>
        <w:tc>
          <w:tcPr>
            <w:tcW w:w="4008" w:type="dxa"/>
            <w:vAlign w:val="center"/>
          </w:tcPr>
          <w:p>
            <w:pPr>
              <w:pStyle w:val="63"/>
              <w:rPr>
                <w:color w:val="000000" w:themeColor="text1"/>
                <w:highlight w:val="none"/>
              </w:rPr>
            </w:pPr>
            <w:r>
              <w:rPr>
                <w:color w:val="000000" w:themeColor="text1"/>
                <w:highlight w:val="none"/>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vAlign w:val="center"/>
          </w:tcPr>
          <w:p>
            <w:pPr>
              <w:pStyle w:val="63"/>
              <w:rPr>
                <w:color w:val="000000" w:themeColor="text1"/>
                <w:highlight w:val="none"/>
              </w:rPr>
            </w:pPr>
            <w:r>
              <w:rPr>
                <w:color w:val="000000" w:themeColor="text1"/>
                <w:highlight w:val="none"/>
              </w:rPr>
              <w:t>土壤质地</w:t>
            </w:r>
          </w:p>
        </w:tc>
        <w:tc>
          <w:tcPr>
            <w:tcW w:w="4008" w:type="dxa"/>
            <w:vAlign w:val="center"/>
          </w:tcPr>
          <w:p>
            <w:pPr>
              <w:pStyle w:val="63"/>
              <w:rPr>
                <w:color w:val="000000" w:themeColor="text1"/>
                <w:highlight w:val="none"/>
              </w:rPr>
            </w:pPr>
            <w:r>
              <w:rPr>
                <w:color w:val="000000" w:themeColor="text1"/>
                <w:highlight w:val="none"/>
              </w:rPr>
              <w:t>砂土至砂质粘土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vAlign w:val="center"/>
          </w:tcPr>
          <w:p>
            <w:pPr>
              <w:pStyle w:val="63"/>
              <w:rPr>
                <w:color w:val="000000" w:themeColor="text1"/>
                <w:highlight w:val="none"/>
              </w:rPr>
            </w:pPr>
            <w:r>
              <w:rPr>
                <w:color w:val="000000" w:themeColor="text1"/>
                <w:highlight w:val="none"/>
              </w:rPr>
              <w:t>砾石含量/%</w:t>
            </w:r>
          </w:p>
        </w:tc>
        <w:tc>
          <w:tcPr>
            <w:tcW w:w="4008" w:type="dxa"/>
            <w:vAlign w:val="center"/>
          </w:tcPr>
          <w:p>
            <w:pPr>
              <w:pStyle w:val="63"/>
              <w:rPr>
                <w:color w:val="000000" w:themeColor="text1"/>
                <w:highlight w:val="none"/>
              </w:rPr>
            </w:pPr>
            <w:r>
              <w:rPr>
                <w:color w:val="000000" w:themeColor="text1"/>
                <w:highlight w:val="none"/>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vAlign w:val="center"/>
          </w:tcPr>
          <w:p>
            <w:pPr>
              <w:pStyle w:val="63"/>
              <w:rPr>
                <w:color w:val="000000" w:themeColor="text1"/>
                <w:highlight w:val="none"/>
              </w:rPr>
            </w:pPr>
            <w:r>
              <w:rPr>
                <w:color w:val="000000" w:themeColor="text1"/>
                <w:highlight w:val="none"/>
              </w:rPr>
              <w:t>pH值</w:t>
            </w:r>
          </w:p>
        </w:tc>
        <w:tc>
          <w:tcPr>
            <w:tcW w:w="4008" w:type="dxa"/>
            <w:vAlign w:val="center"/>
          </w:tcPr>
          <w:p>
            <w:pPr>
              <w:pStyle w:val="63"/>
              <w:rPr>
                <w:color w:val="000000" w:themeColor="text1"/>
                <w:highlight w:val="none"/>
              </w:rPr>
            </w:pPr>
            <w:r>
              <w:rPr>
                <w:color w:val="000000" w:themeColor="text1"/>
                <w:highlight w:val="none"/>
              </w:rPr>
              <w:t>5.5-8.0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vAlign w:val="center"/>
          </w:tcPr>
          <w:p>
            <w:pPr>
              <w:pStyle w:val="63"/>
              <w:rPr>
                <w:color w:val="000000" w:themeColor="text1"/>
                <w:highlight w:val="none"/>
              </w:rPr>
            </w:pPr>
            <w:r>
              <w:rPr>
                <w:color w:val="000000" w:themeColor="text1"/>
                <w:highlight w:val="none"/>
              </w:rPr>
              <w:t>有机质/%</w:t>
            </w:r>
          </w:p>
        </w:tc>
        <w:tc>
          <w:tcPr>
            <w:tcW w:w="4008" w:type="dxa"/>
            <w:vAlign w:val="center"/>
          </w:tcPr>
          <w:p>
            <w:pPr>
              <w:pStyle w:val="63"/>
              <w:rPr>
                <w:color w:val="000000" w:themeColor="text1"/>
                <w:highlight w:val="none"/>
              </w:rPr>
            </w:pPr>
            <w:r>
              <w:rPr>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Align w:val="center"/>
          </w:tcPr>
          <w:p>
            <w:pPr>
              <w:pStyle w:val="63"/>
              <w:rPr>
                <w:color w:val="000000" w:themeColor="text1"/>
                <w:highlight w:val="none"/>
              </w:rPr>
            </w:pPr>
            <w:r>
              <w:rPr>
                <w:color w:val="000000" w:themeColor="text1"/>
                <w:highlight w:val="none"/>
              </w:rPr>
              <w:t>配套设施</w:t>
            </w:r>
          </w:p>
        </w:tc>
        <w:tc>
          <w:tcPr>
            <w:tcW w:w="2112" w:type="dxa"/>
            <w:vAlign w:val="center"/>
          </w:tcPr>
          <w:p>
            <w:pPr>
              <w:pStyle w:val="63"/>
              <w:rPr>
                <w:color w:val="000000" w:themeColor="text1"/>
                <w:highlight w:val="none"/>
              </w:rPr>
            </w:pPr>
            <w:r>
              <w:rPr>
                <w:color w:val="000000" w:themeColor="text1"/>
                <w:highlight w:val="none"/>
              </w:rPr>
              <w:t>道路</w:t>
            </w:r>
          </w:p>
        </w:tc>
        <w:tc>
          <w:tcPr>
            <w:tcW w:w="4008" w:type="dxa"/>
            <w:vAlign w:val="center"/>
          </w:tcPr>
          <w:p>
            <w:pPr>
              <w:pStyle w:val="63"/>
              <w:rPr>
                <w:color w:val="000000" w:themeColor="text1"/>
                <w:highlight w:val="none"/>
              </w:rPr>
            </w:pPr>
            <w:r>
              <w:rPr>
                <w:color w:val="000000" w:themeColor="text1"/>
                <w:highlight w:val="none"/>
              </w:rPr>
              <w:t>达到当地各行业工程建设标准要求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restart"/>
            <w:vAlign w:val="center"/>
          </w:tcPr>
          <w:p>
            <w:pPr>
              <w:pStyle w:val="63"/>
              <w:rPr>
                <w:color w:val="000000" w:themeColor="text1"/>
                <w:highlight w:val="none"/>
              </w:rPr>
            </w:pPr>
            <w:r>
              <w:rPr>
                <w:color w:val="000000" w:themeColor="text1"/>
                <w:highlight w:val="none"/>
              </w:rPr>
              <w:t>生产力水平</w:t>
            </w:r>
          </w:p>
        </w:tc>
        <w:tc>
          <w:tcPr>
            <w:tcW w:w="2112" w:type="dxa"/>
            <w:tcBorders>
              <w:bottom w:val="single" w:color="auto" w:sz="4" w:space="0"/>
            </w:tcBorders>
            <w:vAlign w:val="center"/>
          </w:tcPr>
          <w:p>
            <w:pPr>
              <w:pStyle w:val="63"/>
              <w:rPr>
                <w:color w:val="000000" w:themeColor="text1"/>
                <w:highlight w:val="none"/>
              </w:rPr>
            </w:pPr>
            <w:r>
              <w:rPr>
                <w:color w:val="000000" w:themeColor="text1"/>
                <w:highlight w:val="none"/>
              </w:rPr>
              <w:t>定植密度/（株/hm</w:t>
            </w:r>
            <w:r>
              <w:rPr>
                <w:color w:val="000000" w:themeColor="text1"/>
                <w:highlight w:val="none"/>
                <w:vertAlign w:val="superscript"/>
              </w:rPr>
              <w:t>2</w:t>
            </w:r>
            <w:r>
              <w:rPr>
                <w:color w:val="000000" w:themeColor="text1"/>
                <w:highlight w:val="none"/>
              </w:rPr>
              <w:t>）</w:t>
            </w:r>
          </w:p>
        </w:tc>
        <w:tc>
          <w:tcPr>
            <w:tcW w:w="4008" w:type="dxa"/>
            <w:tcBorders>
              <w:bottom w:val="single" w:color="auto" w:sz="4" w:space="0"/>
            </w:tcBorders>
            <w:vAlign w:val="center"/>
          </w:tcPr>
          <w:p>
            <w:pPr>
              <w:pStyle w:val="63"/>
              <w:rPr>
                <w:color w:val="000000" w:themeColor="text1"/>
                <w:highlight w:val="none"/>
              </w:rPr>
            </w:pPr>
            <w:r>
              <w:rPr>
                <w:color w:val="000000" w:themeColor="text1"/>
                <w:highlight w:val="none"/>
              </w:rPr>
              <w:t>满足《造林作业设计规程》（LY/T1607）要求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7" w:type="dxa"/>
            <w:vMerge w:val="continue"/>
            <w:tcBorders>
              <w:right w:val="single" w:color="auto" w:sz="4" w:space="0"/>
            </w:tcBorders>
            <w:vAlign w:val="center"/>
          </w:tcPr>
          <w:p>
            <w:pPr>
              <w:pStyle w:val="63"/>
              <w:rPr>
                <w:color w:val="000000" w:themeColor="text1"/>
                <w:highlight w:val="none"/>
              </w:rPr>
            </w:pPr>
          </w:p>
        </w:tc>
        <w:tc>
          <w:tcPr>
            <w:tcW w:w="587" w:type="dxa"/>
            <w:vMerge w:val="continue"/>
            <w:tcBorders>
              <w:left w:val="single" w:color="auto" w:sz="4" w:space="0"/>
            </w:tcBorders>
            <w:vAlign w:val="center"/>
          </w:tcPr>
          <w:p>
            <w:pPr>
              <w:pStyle w:val="63"/>
              <w:rPr>
                <w:color w:val="000000" w:themeColor="text1"/>
                <w:highlight w:val="none"/>
              </w:rPr>
            </w:pPr>
          </w:p>
        </w:tc>
        <w:tc>
          <w:tcPr>
            <w:tcW w:w="1188" w:type="dxa"/>
            <w:vMerge w:val="continue"/>
            <w:vAlign w:val="center"/>
          </w:tcPr>
          <w:p>
            <w:pPr>
              <w:pStyle w:val="63"/>
              <w:rPr>
                <w:color w:val="000000" w:themeColor="text1"/>
                <w:highlight w:val="none"/>
              </w:rPr>
            </w:pPr>
          </w:p>
        </w:tc>
        <w:tc>
          <w:tcPr>
            <w:tcW w:w="2112" w:type="dxa"/>
            <w:tcBorders>
              <w:top w:val="single" w:color="auto" w:sz="4" w:space="0"/>
            </w:tcBorders>
            <w:vAlign w:val="center"/>
          </w:tcPr>
          <w:p>
            <w:pPr>
              <w:pStyle w:val="63"/>
              <w:rPr>
                <w:color w:val="000000" w:themeColor="text1"/>
                <w:highlight w:val="none"/>
              </w:rPr>
            </w:pPr>
            <w:r>
              <w:rPr>
                <w:color w:val="000000" w:themeColor="text1"/>
                <w:highlight w:val="none"/>
              </w:rPr>
              <w:t>郁闭度</w:t>
            </w:r>
          </w:p>
        </w:tc>
        <w:tc>
          <w:tcPr>
            <w:tcW w:w="4008" w:type="dxa"/>
            <w:tcBorders>
              <w:top w:val="single" w:color="auto" w:sz="4" w:space="0"/>
            </w:tcBorders>
            <w:vAlign w:val="center"/>
          </w:tcPr>
          <w:p>
            <w:pPr>
              <w:pStyle w:val="63"/>
              <w:rPr>
                <w:color w:val="000000" w:themeColor="text1"/>
                <w:highlight w:val="none"/>
              </w:rPr>
            </w:pPr>
            <w:r>
              <w:rPr>
                <w:color w:val="000000" w:themeColor="text1"/>
                <w:highlight w:val="none"/>
              </w:rPr>
              <w:t>≥0.30</w:t>
            </w:r>
          </w:p>
        </w:tc>
      </w:tr>
    </w:tbl>
    <w:p>
      <w:pPr>
        <w:pStyle w:val="90"/>
        <w:spacing w:line="360" w:lineRule="auto"/>
        <w:ind w:firstLine="480"/>
        <w:rPr>
          <w:rFonts w:hint="default" w:ascii="Times New Roman" w:hAnsi="Times New Roman" w:cs="Times New Roman"/>
          <w:color w:val="auto"/>
          <w:sz w:val="24"/>
          <w:szCs w:val="24"/>
        </w:rPr>
      </w:pPr>
      <w:bookmarkStart w:id="186" w:name="_Toc22610"/>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草</w:t>
      </w:r>
      <w:r>
        <w:rPr>
          <w:rFonts w:hint="default" w:ascii="Times New Roman" w:hAnsi="Times New Roman" w:cs="Times New Roman"/>
          <w:color w:val="auto"/>
          <w:sz w:val="24"/>
          <w:szCs w:val="24"/>
        </w:rPr>
        <w:t>地复垦质量控制标准</w:t>
      </w:r>
    </w:p>
    <w:p>
      <w:pPr>
        <w:pStyle w:val="90"/>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草地覆土后的有效土层厚度≥10cm，土壤pH值范围控制在5.5～8.0范围之内，砾石含量不大于</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0%；土层容重不大于1.45g/cm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，土壤有机质含量≥</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%，土壤质地达到砂质壤土至砂质粘土，覆盖度不小于</w:t>
      </w:r>
      <w:r>
        <w:rPr>
          <w:rFonts w:hint="eastAsia" w:ascii="Times New Roman" w:hAnsi="Times New Roman" w:cs="Times New Roman"/>
          <w:color w:val="auto"/>
          <w:sz w:val="24"/>
          <w:szCs w:val="24"/>
          <w:lang w:val="en-US" w:eastAsia="zh-CN"/>
        </w:rPr>
        <w:t>40</w:t>
      </w:r>
      <w:r>
        <w:rPr>
          <w:rFonts w:hint="default" w:ascii="Times New Roman" w:hAnsi="Times New Roman" w:cs="Times New Roman"/>
          <w:color w:val="auto"/>
          <w:sz w:val="24"/>
          <w:szCs w:val="24"/>
        </w:rPr>
        <w:t>%，四年后达到周边地区同等土地利用类型水平。</w:t>
      </w:r>
      <w:r>
        <w:rPr>
          <w:rFonts w:hint="default" w:ascii="Times New Roman" w:hAnsi="Times New Roman" w:cs="Times New Roman"/>
          <w:color w:val="auto"/>
          <w:kern w:val="0"/>
          <w:sz w:val="24"/>
          <w:szCs w:val="24"/>
        </w:rPr>
        <w:t>见表4-1</w:t>
      </w:r>
      <w:r>
        <w:rPr>
          <w:rFonts w:hint="eastAsia" w:ascii="Times New Roman" w:hAnsi="Times New Roman" w:cs="Times New Roman"/>
          <w:color w:val="auto"/>
          <w:kern w:val="0"/>
          <w:sz w:val="24"/>
          <w:szCs w:val="24"/>
          <w:lang w:val="en-US" w:eastAsia="zh-CN"/>
        </w:rPr>
        <w:t>4。</w:t>
      </w:r>
    </w:p>
    <w:p>
      <w:pPr>
        <w:spacing w:line="320" w:lineRule="exact"/>
        <w:ind w:right="220" w:rightChars="92"/>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w:t>
      </w:r>
      <w:r>
        <w:rPr>
          <w:rFonts w:hint="eastAsia" w:ascii="Times New Roman" w:hAnsi="Times New Roman" w:eastAsia="宋体" w:cs="Times New Roman"/>
          <w:b/>
          <w:color w:val="auto"/>
          <w:lang w:val="en-US" w:eastAsia="zh-CN"/>
        </w:rPr>
        <w:t>1</w:t>
      </w:r>
      <w:r>
        <w:rPr>
          <w:rFonts w:hint="eastAsia" w:ascii="Times New Roman" w:hAnsi="Times New Roman" w:cs="Times New Roman"/>
          <w:b/>
          <w:color w:val="auto"/>
          <w:lang w:val="en-US" w:eastAsia="zh-CN"/>
        </w:rPr>
        <w:t>4</w:t>
      </w:r>
      <w:r>
        <w:rPr>
          <w:rFonts w:hint="default" w:ascii="Times New Roman" w:hAnsi="Times New Roman" w:eastAsia="宋体" w:cs="Times New Roman"/>
          <w:b/>
          <w:color w:val="auto"/>
        </w:rPr>
        <w:t xml:space="preserve">  草地复垦质量控制标准及本方案设计复垦质量标准</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14"/>
        <w:gridCol w:w="550"/>
        <w:gridCol w:w="1233"/>
        <w:gridCol w:w="3225"/>
        <w:gridCol w:w="299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625" w:type="pct"/>
            <w:gridSpan w:val="2"/>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GB" w:eastAsia="zh-CN" w:bidi="ar-SA"/>
              </w:rPr>
            </w:pPr>
            <w:r>
              <w:rPr>
                <w:rFonts w:hint="default" w:ascii="Times New Roman" w:hAnsi="Times New Roman" w:eastAsia="宋体" w:cs="Times New Roman"/>
                <w:kern w:val="2"/>
                <w:sz w:val="21"/>
                <w:szCs w:val="21"/>
                <w:highlight w:val="none"/>
                <w:lang w:val="en-GB" w:eastAsia="zh-CN" w:bidi="ar-SA"/>
              </w:rPr>
              <w:t>复垦方向</w:t>
            </w:r>
          </w:p>
        </w:tc>
        <w:tc>
          <w:tcPr>
            <w:tcW w:w="72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GB" w:eastAsia="zh-CN" w:bidi="ar-SA"/>
              </w:rPr>
            </w:pPr>
            <w:r>
              <w:rPr>
                <w:rFonts w:hint="default" w:ascii="Times New Roman" w:hAnsi="Times New Roman" w:eastAsia="宋体" w:cs="Times New Roman"/>
                <w:kern w:val="2"/>
                <w:sz w:val="21"/>
                <w:szCs w:val="21"/>
                <w:highlight w:val="none"/>
                <w:lang w:val="en-GB" w:eastAsia="zh-CN" w:bidi="ar-SA"/>
              </w:rPr>
              <w:t>指标类型</w:t>
            </w: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GB" w:eastAsia="zh-CN" w:bidi="ar-SA"/>
              </w:rPr>
            </w:pPr>
            <w:r>
              <w:rPr>
                <w:rFonts w:hint="default" w:ascii="Times New Roman" w:hAnsi="Times New Roman" w:eastAsia="宋体" w:cs="Times New Roman"/>
                <w:kern w:val="2"/>
                <w:sz w:val="21"/>
                <w:szCs w:val="21"/>
                <w:highlight w:val="none"/>
                <w:lang w:val="en-GB" w:eastAsia="zh-CN" w:bidi="ar-SA"/>
              </w:rPr>
              <w:t>基本指标</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GB" w:eastAsia="zh-CN" w:bidi="ar-SA"/>
              </w:rPr>
            </w:pPr>
            <w:r>
              <w:rPr>
                <w:rFonts w:hint="default" w:ascii="Times New Roman" w:hAnsi="Times New Roman" w:eastAsia="宋体" w:cs="Times New Roman"/>
                <w:kern w:val="2"/>
                <w:sz w:val="21"/>
                <w:szCs w:val="21"/>
                <w:highlight w:val="none"/>
                <w:lang w:val="en-GB" w:eastAsia="zh-CN" w:bidi="ar-SA"/>
              </w:rPr>
              <w:t>西南山区质量控制标准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草地</w:t>
            </w:r>
          </w:p>
        </w:tc>
        <w:tc>
          <w:tcPr>
            <w:tcW w:w="322"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其他草地</w:t>
            </w:r>
          </w:p>
        </w:tc>
        <w:tc>
          <w:tcPr>
            <w:tcW w:w="724"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土壤质量</w:t>
            </w: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有效土层厚度/（cm）</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土壤容重/（g/cm</w:t>
            </w:r>
            <w:r>
              <w:rPr>
                <w:rFonts w:hint="default" w:ascii="Times New Roman" w:hAnsi="Times New Roman" w:eastAsia="宋体" w:cs="Times New Roman"/>
                <w:kern w:val="2"/>
                <w:sz w:val="21"/>
                <w:szCs w:val="21"/>
                <w:highlight w:val="none"/>
                <w:vertAlign w:val="superscript"/>
                <w:lang w:val="en-US" w:eastAsia="zh-CN" w:bidi="ar-SA"/>
              </w:rPr>
              <w:t>3</w:t>
            </w:r>
            <w:r>
              <w:rPr>
                <w:rFonts w:hint="default" w:ascii="Times New Roman" w:hAnsi="Times New Roman" w:eastAsia="宋体" w:cs="Times New Roman"/>
                <w:kern w:val="2"/>
                <w:sz w:val="21"/>
                <w:szCs w:val="21"/>
                <w:highlight w:val="none"/>
                <w:lang w:val="en-US" w:eastAsia="zh-CN" w:bidi="ar-SA"/>
              </w:rPr>
              <w:t>）</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土壤质地</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砂质壤土至砂质粘土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砾石含量/%</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pH值</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有机质/%</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配套设施</w:t>
            </w: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灌溉</w:t>
            </w:r>
          </w:p>
        </w:tc>
        <w:tc>
          <w:tcPr>
            <w:tcW w:w="1755"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达到当地本行业工程建设标准要求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道路</w:t>
            </w:r>
          </w:p>
        </w:tc>
        <w:tc>
          <w:tcPr>
            <w:tcW w:w="1755"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restar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生产力水平</w:t>
            </w: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覆盖度/%</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0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322"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724" w:type="pct"/>
            <w:vMerge w:val="continue"/>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894"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产量/（kg/hm</w:t>
            </w:r>
            <w:r>
              <w:rPr>
                <w:rFonts w:hint="default" w:ascii="Times New Roman" w:hAnsi="Times New Roman" w:eastAsia="宋体" w:cs="Times New Roman"/>
                <w:kern w:val="2"/>
                <w:sz w:val="21"/>
                <w:szCs w:val="21"/>
                <w:highlight w:val="none"/>
                <w:vertAlign w:val="superscript"/>
                <w:lang w:val="en-US" w:eastAsia="zh-CN" w:bidi="ar-SA"/>
              </w:rPr>
              <w:t>2</w:t>
            </w:r>
            <w:r>
              <w:rPr>
                <w:rFonts w:hint="default" w:ascii="Times New Roman" w:hAnsi="Times New Roman" w:eastAsia="宋体" w:cs="Times New Roman"/>
                <w:kern w:val="2"/>
                <w:sz w:val="21"/>
                <w:szCs w:val="21"/>
                <w:highlight w:val="none"/>
                <w:lang w:val="en-US" w:eastAsia="zh-CN" w:bidi="ar-SA"/>
              </w:rPr>
              <w:t>）</w:t>
            </w:r>
          </w:p>
        </w:tc>
        <w:tc>
          <w:tcPr>
            <w:tcW w:w="1755" w:type="pct"/>
            <w:noWrap w:val="0"/>
            <w:vAlign w:val="center"/>
          </w:tcPr>
          <w:p>
            <w:pPr>
              <w:widowControl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四年后达到周边地区同等土地利用类型水平</w:t>
            </w:r>
          </w:p>
        </w:tc>
      </w:tr>
    </w:tbl>
    <w:p>
      <w:pPr>
        <w:pStyle w:val="3"/>
        <w:rPr>
          <w:color w:val="000000" w:themeColor="text1"/>
          <w:highlight w:val="none"/>
        </w:rPr>
        <w:sectPr>
          <w:headerReference r:id="rId15" w:type="default"/>
          <w:pgSz w:w="11905" w:h="16838"/>
          <w:pgMar w:top="1440" w:right="1803" w:bottom="1440" w:left="1803" w:header="624" w:footer="624" w:gutter="0"/>
          <w:cols w:space="0" w:num="1"/>
          <w:docGrid w:type="linesAndChars" w:linePitch="331" w:charSpace="0"/>
        </w:sectPr>
      </w:pPr>
    </w:p>
    <w:p>
      <w:pPr>
        <w:pStyle w:val="3"/>
        <w:rPr>
          <w:color w:val="000000" w:themeColor="text1"/>
          <w:highlight w:val="none"/>
        </w:rPr>
      </w:pPr>
      <w:bookmarkStart w:id="187" w:name="_Toc14644"/>
      <w:r>
        <w:rPr>
          <w:color w:val="000000" w:themeColor="text1"/>
          <w:highlight w:val="none"/>
        </w:rPr>
        <w:t>第五章矿山地质环境治理与土地复垦工程</w:t>
      </w:r>
      <w:bookmarkEnd w:id="186"/>
      <w:bookmarkEnd w:id="187"/>
    </w:p>
    <w:p>
      <w:pPr>
        <w:pStyle w:val="4"/>
        <w:spacing w:before="82" w:after="82"/>
        <w:rPr>
          <w:color w:val="000000" w:themeColor="text1"/>
          <w:highlight w:val="none"/>
        </w:rPr>
      </w:pPr>
      <w:bookmarkStart w:id="188" w:name="_Toc20719"/>
      <w:bookmarkStart w:id="189" w:name="_Toc17845"/>
      <w:r>
        <w:rPr>
          <w:color w:val="000000" w:themeColor="text1"/>
          <w:highlight w:val="none"/>
        </w:rPr>
        <w:t>5.1矿山地质环境保护与土地复垦预防</w:t>
      </w:r>
      <w:bookmarkEnd w:id="188"/>
      <w:bookmarkEnd w:id="189"/>
    </w:p>
    <w:p>
      <w:pPr>
        <w:pStyle w:val="5"/>
        <w:spacing w:before="82" w:after="82"/>
        <w:rPr>
          <w:color w:val="000000" w:themeColor="text1"/>
          <w:highlight w:val="none"/>
        </w:rPr>
      </w:pPr>
      <w:bookmarkStart w:id="190" w:name="_Toc30825"/>
      <w:bookmarkStart w:id="191" w:name="_Toc22493"/>
      <w:r>
        <w:rPr>
          <w:color w:val="000000" w:themeColor="text1"/>
          <w:highlight w:val="none"/>
        </w:rPr>
        <w:t>5.1.1目标任务</w:t>
      </w:r>
      <w:bookmarkEnd w:id="190"/>
      <w:bookmarkEnd w:id="191"/>
    </w:p>
    <w:p>
      <w:pPr>
        <w:rPr>
          <w:color w:val="000000" w:themeColor="text1"/>
          <w:highlight w:val="none"/>
        </w:rPr>
      </w:pPr>
      <w:bookmarkStart w:id="192" w:name="_Toc25823"/>
      <w:r>
        <w:rPr>
          <w:color w:val="000000" w:themeColor="text1"/>
          <w:highlight w:val="none"/>
        </w:rPr>
        <w:t>1、目标</w:t>
      </w:r>
    </w:p>
    <w:p>
      <w:pPr>
        <w:rPr>
          <w:color w:val="000000" w:themeColor="text1"/>
          <w:highlight w:val="none"/>
          <w:lang w:val="zh-CN"/>
        </w:rPr>
      </w:pPr>
      <w:r>
        <w:rPr>
          <w:color w:val="000000" w:themeColor="text1"/>
          <w:highlight w:val="none"/>
          <w:lang w:val="zh-CN"/>
        </w:rPr>
        <w:t>坚持科学发展，最大限度地避免或减轻采矿活动引发的矿山环境地质问题和地质灾害危害，减少对地质环境的影响和破坏，减轻对地形地貌景观及含水层的影响和破坏，最大限度和修复矿山地质环境；依据土地复垦适宜性评价结果，确定拟复垦土地的地类、面积和复垦率，落实复垦后土地利用结构调整，使其达到可利用状态，努力创建绿色矿山，使矿业经济科学、和谐、持续发展，预期达到一个安全、卫生舒适的工作生活环境并造福于后人。</w:t>
      </w:r>
    </w:p>
    <w:p>
      <w:pPr>
        <w:rPr>
          <w:color w:val="000000" w:themeColor="text1"/>
          <w:highlight w:val="none"/>
        </w:rPr>
      </w:pPr>
      <w:r>
        <w:rPr>
          <w:color w:val="000000" w:themeColor="text1"/>
          <w:highlight w:val="none"/>
        </w:rPr>
        <w:t>2、任务</w:t>
      </w:r>
    </w:p>
    <w:p>
      <w:pPr>
        <w:rPr>
          <w:color w:val="000000" w:themeColor="text1"/>
          <w:highlight w:val="none"/>
          <w:lang w:val="zh-CN"/>
        </w:rPr>
      </w:pPr>
      <w:r>
        <w:rPr>
          <w:rFonts w:hint="eastAsia"/>
          <w:color w:val="000000" w:themeColor="text1"/>
          <w:highlight w:val="none"/>
          <w:lang w:val="zh-CN"/>
        </w:rPr>
        <w:t>（1）</w:t>
      </w:r>
      <w:r>
        <w:rPr>
          <w:color w:val="000000" w:themeColor="text1"/>
          <w:highlight w:val="none"/>
          <w:lang w:val="zh-CN"/>
        </w:rPr>
        <w:t>对矿山生产期间存在的和引发的矿山地质环境问题进行监测，发现问题及时上报和预警，并请地质环境监测部门专家对矿山监测、治理工作进行指导。</w:t>
      </w:r>
    </w:p>
    <w:p>
      <w:pPr>
        <w:rPr>
          <w:color w:val="000000" w:themeColor="text1"/>
          <w:highlight w:val="none"/>
          <w:lang w:val="zh-CN"/>
        </w:rPr>
      </w:pPr>
      <w:r>
        <w:rPr>
          <w:rFonts w:hint="eastAsia"/>
          <w:color w:val="000000" w:themeColor="text1"/>
          <w:highlight w:val="none"/>
          <w:lang w:val="zh-CN"/>
        </w:rPr>
        <w:t>（2）</w:t>
      </w:r>
      <w:r>
        <w:rPr>
          <w:color w:val="000000" w:themeColor="text1"/>
          <w:highlight w:val="none"/>
          <w:lang w:val="zh-CN"/>
        </w:rPr>
        <w:t>编制并实施闭矿恢复治理方案，使矿山开发破坏的地形地貌景观和土地资源得以恢复。对工业广场等配套设施地面各类建筑物所占用的建设用地进行恢复治理与土地复垦，按照所属土地类型的不同，采取不同的治理措施，使其恢复原有的地形地貌及土地利用类型。</w:t>
      </w:r>
    </w:p>
    <w:p>
      <w:pPr>
        <w:rPr>
          <w:color w:val="000000" w:themeColor="text1"/>
          <w:highlight w:val="none"/>
          <w:lang w:val="zh-CN"/>
        </w:rPr>
      </w:pPr>
      <w:r>
        <w:rPr>
          <w:rFonts w:hint="eastAsia"/>
          <w:color w:val="000000" w:themeColor="text1"/>
          <w:highlight w:val="none"/>
          <w:lang w:val="zh-CN"/>
        </w:rPr>
        <w:t>（3）</w:t>
      </w:r>
      <w:r>
        <w:rPr>
          <w:color w:val="000000" w:themeColor="text1"/>
          <w:highlight w:val="none"/>
          <w:lang w:val="zh-CN"/>
        </w:rPr>
        <w:t>矿山开发破坏的地形地貌景观和土地资源完成恢复治理和土地复垦措施后，采取管护措施，保证恢复后的地形地貌景观的可持久性。</w:t>
      </w:r>
    </w:p>
    <w:p>
      <w:pPr>
        <w:rPr>
          <w:color w:val="000000" w:themeColor="text1"/>
          <w:highlight w:val="none"/>
          <w:lang w:val="zh-CN"/>
        </w:rPr>
      </w:pPr>
      <w:r>
        <w:rPr>
          <w:rFonts w:hint="eastAsia"/>
          <w:color w:val="000000" w:themeColor="text1"/>
          <w:highlight w:val="none"/>
          <w:lang w:val="zh-CN"/>
        </w:rPr>
        <w:t>（4）</w:t>
      </w:r>
      <w:r>
        <w:rPr>
          <w:color w:val="000000" w:themeColor="text1"/>
          <w:highlight w:val="none"/>
          <w:lang w:val="zh-CN"/>
        </w:rPr>
        <w:t>持续对矿山地质环境与地质灾害进行监测和土地损毁与土地复垦效果监测等。</w:t>
      </w:r>
    </w:p>
    <w:p>
      <w:pPr>
        <w:rPr>
          <w:color w:val="000000" w:themeColor="text1"/>
          <w:highlight w:val="none"/>
          <w:lang w:val="zh-CN"/>
        </w:rPr>
      </w:pPr>
      <w:r>
        <w:rPr>
          <w:rFonts w:hint="eastAsia"/>
          <w:color w:val="000000" w:themeColor="text1"/>
          <w:highlight w:val="none"/>
          <w:lang w:val="zh-CN"/>
        </w:rPr>
        <w:t>（5）</w:t>
      </w:r>
      <w:r>
        <w:rPr>
          <w:color w:val="000000" w:themeColor="text1"/>
          <w:highlight w:val="none"/>
          <w:lang w:val="zh-CN"/>
        </w:rPr>
        <w:t>在经济合理的基础上，进行矿山地质环境保护与土地复垦工程经费估算，提出保护与复垦保障措施，进行社会、环境、经济效益分析。</w:t>
      </w:r>
    </w:p>
    <w:p>
      <w:pPr>
        <w:pStyle w:val="5"/>
        <w:spacing w:before="82" w:after="82"/>
        <w:rPr>
          <w:color w:val="000000" w:themeColor="text1"/>
          <w:highlight w:val="none"/>
        </w:rPr>
      </w:pPr>
      <w:bookmarkStart w:id="193" w:name="_Toc22760"/>
      <w:r>
        <w:rPr>
          <w:color w:val="000000" w:themeColor="text1"/>
          <w:highlight w:val="none"/>
        </w:rPr>
        <w:t>5.1.2主要技术措施</w:t>
      </w:r>
      <w:bookmarkEnd w:id="192"/>
      <w:bookmarkEnd w:id="193"/>
    </w:p>
    <w:p>
      <w:pPr>
        <w:rPr>
          <w:color w:val="000000" w:themeColor="text1"/>
          <w:highlight w:val="none"/>
        </w:rPr>
      </w:pPr>
      <w:bookmarkStart w:id="194" w:name="_Toc15384"/>
      <w:r>
        <w:rPr>
          <w:rFonts w:hint="eastAsia"/>
          <w:color w:val="000000" w:themeColor="text1"/>
          <w:highlight w:val="none"/>
        </w:rPr>
        <w:t>按照“统一规划、源头控制、防复结合”的原则，根据项目特点、生产方式与工艺等，制定该矿山地质环境保护与土地复垦项目的预防与控制措施如下：</w:t>
      </w:r>
    </w:p>
    <w:p>
      <w:pPr>
        <w:rPr>
          <w:color w:val="000000" w:themeColor="text1"/>
          <w:highlight w:val="none"/>
        </w:rPr>
      </w:pPr>
      <w:r>
        <w:rPr>
          <w:rFonts w:hint="eastAsia"/>
          <w:color w:val="000000" w:themeColor="text1"/>
          <w:highlight w:val="none"/>
        </w:rPr>
        <w:t>1、做好土地利用总体规划衔接，优化土地结构</w:t>
      </w:r>
    </w:p>
    <w:p>
      <w:pPr>
        <w:rPr>
          <w:color w:val="000000" w:themeColor="text1"/>
          <w:highlight w:val="none"/>
        </w:rPr>
      </w:pPr>
      <w:r>
        <w:rPr>
          <w:rFonts w:hint="eastAsia"/>
          <w:color w:val="000000" w:themeColor="text1"/>
          <w:highlight w:val="none"/>
        </w:rPr>
        <w:t>本项目确定复垦方向时，以当地土地利用总体规划为指导，做好与当地土地利用总体规划的衔接。在此基础上，遵循优化土地利用结构，提高土地利用效益的原则，尽量将原来的未利用地恢复为农用地，并保证复垦后耕地面积不减少或有增加，保障项目区内的耕地动态总量平衡，达到“占一补一”要求。</w:t>
      </w:r>
    </w:p>
    <w:p>
      <w:pPr>
        <w:rPr>
          <w:color w:val="000000" w:themeColor="text1"/>
          <w:highlight w:val="none"/>
        </w:rPr>
      </w:pPr>
      <w:r>
        <w:rPr>
          <w:rFonts w:hint="eastAsia"/>
          <w:color w:val="000000" w:themeColor="text1"/>
          <w:highlight w:val="none"/>
        </w:rPr>
        <w:t>2、统一规划复垦工作</w:t>
      </w:r>
    </w:p>
    <w:p>
      <w:pPr>
        <w:rPr>
          <w:color w:val="000000" w:themeColor="text1"/>
          <w:highlight w:val="none"/>
        </w:rPr>
      </w:pPr>
      <w:r>
        <w:rPr>
          <w:rFonts w:hint="eastAsia"/>
          <w:color w:val="000000" w:themeColor="text1"/>
          <w:highlight w:val="none"/>
        </w:rPr>
        <w:t>按照本项目的生产特点，统一规划，合理安排复垦工作计划。根据生产能力，分阶段对采场实施开采，避免一次性对土地的大面积损毁。</w:t>
      </w:r>
    </w:p>
    <w:p>
      <w:pPr>
        <w:rPr>
          <w:color w:val="000000" w:themeColor="text1"/>
          <w:highlight w:val="none"/>
        </w:rPr>
      </w:pPr>
      <w:r>
        <w:rPr>
          <w:rFonts w:hint="eastAsia"/>
          <w:color w:val="000000" w:themeColor="text1"/>
          <w:highlight w:val="none"/>
        </w:rPr>
        <w:t>3、做好土地所有权人的协调工作</w:t>
      </w:r>
    </w:p>
    <w:p>
      <w:pPr>
        <w:rPr>
          <w:color w:val="000000" w:themeColor="text1"/>
          <w:highlight w:val="none"/>
        </w:rPr>
      </w:pPr>
      <w:r>
        <w:rPr>
          <w:rFonts w:hint="eastAsia"/>
          <w:color w:val="000000" w:themeColor="text1"/>
          <w:highlight w:val="none"/>
        </w:rPr>
        <w:t>在确定复垦后土地用途时征求土地所有权人的意见，做好临时用地的租用、补偿工作，保证矿山工作的顺利开展，也保障复垦后当地群众的土地权益不受侵犯，避免引起土地权属纠纷。</w:t>
      </w:r>
    </w:p>
    <w:p>
      <w:pPr>
        <w:rPr>
          <w:color w:val="000000" w:themeColor="text1"/>
          <w:highlight w:val="none"/>
        </w:rPr>
      </w:pPr>
      <w:r>
        <w:rPr>
          <w:rFonts w:hint="eastAsia"/>
          <w:color w:val="000000" w:themeColor="text1"/>
          <w:highlight w:val="none"/>
        </w:rPr>
        <w:t>4、防治废水、废弃污染物污染土壤</w:t>
      </w:r>
    </w:p>
    <w:p>
      <w:pPr>
        <w:rPr>
          <w:color w:val="000000" w:themeColor="text1"/>
          <w:highlight w:val="none"/>
        </w:rPr>
      </w:pPr>
      <w:r>
        <w:rPr>
          <w:rFonts w:hint="eastAsia"/>
          <w:color w:val="000000" w:themeColor="text1"/>
          <w:highlight w:val="none"/>
        </w:rPr>
        <w:t>禁止不按照规定排放废气、废水、废渣等。采矿所形成的废石、废渣均堆临时放于采矿平台中，后期进行配矿利用；矿山</w:t>
      </w:r>
      <w:r>
        <w:rPr>
          <w:color w:val="000000" w:themeColor="text1"/>
          <w:highlight w:val="none"/>
        </w:rPr>
        <w:t>生活垃圾排放量相对较小，矿区工业场地配备</w:t>
      </w:r>
      <w:r>
        <w:rPr>
          <w:rFonts w:hint="eastAsia"/>
          <w:color w:val="000000" w:themeColor="text1"/>
          <w:highlight w:val="none"/>
        </w:rPr>
        <w:t>垃圾桶</w:t>
      </w:r>
      <w:r>
        <w:rPr>
          <w:color w:val="000000" w:themeColor="text1"/>
          <w:highlight w:val="none"/>
        </w:rPr>
        <w:t>和垃圾车，生活垃圾运至当地环卫部门指定地点，统一处理</w:t>
      </w:r>
      <w:r>
        <w:rPr>
          <w:rFonts w:hint="eastAsia"/>
          <w:color w:val="000000" w:themeColor="text1"/>
          <w:highlight w:val="none"/>
        </w:rPr>
        <w:t>。</w:t>
      </w:r>
    </w:p>
    <w:p>
      <w:pPr>
        <w:rPr>
          <w:color w:val="000000" w:themeColor="text1"/>
          <w:highlight w:val="none"/>
        </w:rPr>
      </w:pPr>
      <w:r>
        <w:rPr>
          <w:rFonts w:hint="eastAsia"/>
          <w:color w:val="000000" w:themeColor="text1"/>
          <w:highlight w:val="none"/>
        </w:rPr>
        <w:t>5、地形地貌景观和土地资源破坏的预防措施</w:t>
      </w:r>
    </w:p>
    <w:p>
      <w:pPr>
        <w:rPr>
          <w:b/>
          <w:bCs/>
          <w:color w:val="000000" w:themeColor="text1"/>
          <w:highlight w:val="none"/>
        </w:rPr>
      </w:pPr>
      <w:r>
        <w:rPr>
          <w:rFonts w:hint="eastAsia"/>
          <w:color w:val="000000" w:themeColor="text1"/>
          <w:highlight w:val="none"/>
        </w:rPr>
        <w:t>现场施工作业机具在施工中严格管理，划定活动范围，不得在道路、经常意外的地方行驶和作业，保持路外植被不被破坏。在施工结束后，要立即对施工现场进行回填和平整，并尽可能覆土、压实、工程回填物应首先考虑弃土、弃石和弃渣，并力求做到“挖填平衡”，不得产生弃土。服务期满后，应及时进行矿山土地复垦工作，恢复原有地貌。</w:t>
      </w:r>
    </w:p>
    <w:p>
      <w:pPr>
        <w:pStyle w:val="5"/>
        <w:spacing w:before="82" w:after="82"/>
        <w:rPr>
          <w:color w:val="000000" w:themeColor="text1"/>
          <w:highlight w:val="none"/>
        </w:rPr>
      </w:pPr>
      <w:bookmarkStart w:id="195" w:name="_Toc2520"/>
      <w:r>
        <w:rPr>
          <w:color w:val="000000" w:themeColor="text1"/>
          <w:highlight w:val="none"/>
        </w:rPr>
        <w:t>5.1.3主要工程量</w:t>
      </w:r>
      <w:bookmarkEnd w:id="194"/>
      <w:bookmarkEnd w:id="195"/>
    </w:p>
    <w:p>
      <w:pPr>
        <w:rPr>
          <w:color w:val="000000" w:themeColor="text1"/>
          <w:highlight w:val="none"/>
          <w:lang w:val="zh-CN"/>
        </w:rPr>
      </w:pPr>
      <w:bookmarkStart w:id="196" w:name="_Toc8604"/>
      <w:r>
        <w:rPr>
          <w:color w:val="000000" w:themeColor="text1"/>
          <w:highlight w:val="none"/>
          <w:lang w:val="zh-CN"/>
        </w:rPr>
        <w:t>本方案对矿山地质环境保护与土地复垦提出的预防措施已经列入采矿主体工程中，未单独列入本方案。</w:t>
      </w:r>
    </w:p>
    <w:p>
      <w:pPr>
        <w:pStyle w:val="4"/>
        <w:spacing w:before="82" w:after="82"/>
        <w:rPr>
          <w:color w:val="000000" w:themeColor="text1"/>
          <w:highlight w:val="none"/>
        </w:rPr>
      </w:pPr>
      <w:bookmarkStart w:id="197" w:name="_Toc14900"/>
      <w:r>
        <w:rPr>
          <w:color w:val="000000" w:themeColor="text1"/>
          <w:highlight w:val="none"/>
        </w:rPr>
        <w:t>5.2矿山地质灾害治理</w:t>
      </w:r>
      <w:bookmarkEnd w:id="196"/>
      <w:bookmarkEnd w:id="197"/>
    </w:p>
    <w:p>
      <w:pPr>
        <w:pStyle w:val="5"/>
        <w:spacing w:before="82" w:after="82"/>
        <w:rPr>
          <w:color w:val="000000" w:themeColor="text1"/>
          <w:highlight w:val="none"/>
        </w:rPr>
      </w:pPr>
      <w:bookmarkStart w:id="198" w:name="_Toc15798"/>
      <w:bookmarkStart w:id="199" w:name="_Toc28747"/>
      <w:bookmarkStart w:id="200" w:name="_Toc508375911"/>
      <w:r>
        <w:rPr>
          <w:color w:val="000000" w:themeColor="text1"/>
          <w:highlight w:val="none"/>
        </w:rPr>
        <w:t>5.2.1目标任务</w:t>
      </w:r>
      <w:bookmarkEnd w:id="198"/>
      <w:bookmarkEnd w:id="199"/>
      <w:bookmarkEnd w:id="200"/>
    </w:p>
    <w:p>
      <w:pPr>
        <w:rPr>
          <w:color w:val="000000" w:themeColor="text1"/>
          <w:highlight w:val="none"/>
        </w:rPr>
      </w:pPr>
      <w:bookmarkStart w:id="201" w:name="_Toc508375912"/>
      <w:bookmarkStart w:id="202" w:name="_Toc6374"/>
      <w:r>
        <w:rPr>
          <w:color w:val="000000" w:themeColor="text1"/>
          <w:highlight w:val="none"/>
        </w:rPr>
        <w:t>1、目标</w:t>
      </w:r>
    </w:p>
    <w:p>
      <w:pPr>
        <w:rPr>
          <w:color w:val="000000" w:themeColor="text1"/>
          <w:highlight w:val="none"/>
          <w:lang w:val="zh-CN"/>
        </w:rPr>
      </w:pPr>
      <w:r>
        <w:rPr>
          <w:color w:val="000000" w:themeColor="text1"/>
          <w:highlight w:val="none"/>
        </w:rPr>
        <w:t>通过地质灾害及隐患的有效治理，为矿山地质环境保护打好基础，进而改善矿山地质环境、生态环境，构建“绿色矿山”，为矿山及周围社会经济发展提供保障。矿山地质环境治理工作规范矿山生产建设等工程活动，使矿产资源得到充分合理的开采利用，确保矿山生产与环境保护协调发展，促进人与自然和谐相处，实现矿区的可持续发展。</w:t>
      </w:r>
    </w:p>
    <w:p>
      <w:pPr>
        <w:rPr>
          <w:color w:val="000000" w:themeColor="text1"/>
          <w:highlight w:val="none"/>
        </w:rPr>
      </w:pPr>
      <w:r>
        <w:rPr>
          <w:color w:val="000000" w:themeColor="text1"/>
          <w:highlight w:val="none"/>
        </w:rPr>
        <w:t>2、任务</w:t>
      </w:r>
    </w:p>
    <w:p>
      <w:pPr>
        <w:rPr>
          <w:color w:val="000000" w:themeColor="text1"/>
          <w:highlight w:val="none"/>
        </w:rPr>
      </w:pPr>
      <w:r>
        <w:rPr>
          <w:rFonts w:hint="eastAsia"/>
          <w:color w:val="000000" w:themeColor="text1"/>
          <w:highlight w:val="none"/>
        </w:rPr>
        <w:t>（1）</w:t>
      </w:r>
      <w:r>
        <w:rPr>
          <w:color w:val="000000" w:themeColor="text1"/>
          <w:highlight w:val="none"/>
        </w:rPr>
        <w:t>对存在的和开发的矿山地质环境问题与地质灾害进行检查，发现问题及时上报和预警，并请地质环境监测部门对矿区地质灾害点进行监督指导。</w:t>
      </w:r>
    </w:p>
    <w:p>
      <w:pPr>
        <w:rPr>
          <w:color w:val="000000" w:themeColor="text1"/>
          <w:highlight w:val="none"/>
        </w:rPr>
      </w:pPr>
      <w:r>
        <w:rPr>
          <w:rFonts w:hint="eastAsia"/>
          <w:color w:val="000000" w:themeColor="text1"/>
          <w:highlight w:val="none"/>
        </w:rPr>
        <w:t>（2）</w:t>
      </w:r>
      <w:r>
        <w:rPr>
          <w:color w:val="000000" w:themeColor="text1"/>
          <w:highlight w:val="none"/>
        </w:rPr>
        <w:t>持续对矿山地质环境与地质灾害进行监测。在经济合理的基础上，进行矿山地质灾害治理工程的经费概算，提出地质灾害治理保障措施，进行社会、环境、经济效益分析。</w:t>
      </w:r>
    </w:p>
    <w:p>
      <w:pPr>
        <w:pStyle w:val="5"/>
        <w:spacing w:before="82" w:after="82"/>
        <w:rPr>
          <w:color w:val="000000" w:themeColor="text1"/>
          <w:highlight w:val="none"/>
        </w:rPr>
      </w:pPr>
      <w:bookmarkStart w:id="203" w:name="_Toc1654"/>
      <w:r>
        <w:rPr>
          <w:color w:val="000000" w:themeColor="text1"/>
          <w:highlight w:val="none"/>
        </w:rPr>
        <w:t>5.2.2工程设计</w:t>
      </w:r>
      <w:bookmarkEnd w:id="201"/>
      <w:bookmarkEnd w:id="202"/>
      <w:bookmarkEnd w:id="203"/>
    </w:p>
    <w:p>
      <w:pPr>
        <w:rPr>
          <w:color w:val="000000" w:themeColor="text1"/>
          <w:highlight w:val="none"/>
          <w:lang w:val="zh-CN"/>
        </w:rPr>
      </w:pPr>
      <w:bookmarkStart w:id="204" w:name="_Toc508375913"/>
      <w:bookmarkStart w:id="205" w:name="_Toc30866"/>
      <w:r>
        <w:rPr>
          <w:color w:val="000000" w:themeColor="text1"/>
          <w:highlight w:val="none"/>
          <w:lang w:val="zh-CN"/>
        </w:rPr>
        <w:t>根据开发利用方案的矿山开采设计，同时结合野外现场调查，最终确定本项目可能诱发的地质灾害种类为崩塌、滑坡、泥石流，针对其地质灾害而设计的防治工程主要包括以下几个方面：</w:t>
      </w:r>
    </w:p>
    <w:p>
      <w:pPr>
        <w:rPr>
          <w:color w:val="000000" w:themeColor="text1"/>
          <w:highlight w:val="none"/>
        </w:rPr>
      </w:pPr>
      <w:r>
        <w:rPr>
          <w:rFonts w:hint="eastAsia"/>
          <w:color w:val="000000" w:themeColor="text1"/>
          <w:highlight w:val="none"/>
        </w:rPr>
        <w:t>1</w:t>
      </w:r>
      <w:r>
        <w:rPr>
          <w:color w:val="000000" w:themeColor="text1"/>
          <w:highlight w:val="none"/>
        </w:rPr>
        <w:t>、截排水沟</w:t>
      </w:r>
    </w:p>
    <w:p>
      <w:pPr>
        <w:rPr>
          <w:rFonts w:hint="eastAsia"/>
          <w:color w:val="000000" w:themeColor="text1"/>
          <w:highlight w:val="none"/>
        </w:rPr>
      </w:pPr>
      <w:r>
        <w:rPr>
          <w:rFonts w:hint="eastAsia"/>
          <w:color w:val="000000" w:themeColor="text1"/>
          <w:highlight w:val="none"/>
        </w:rPr>
        <w:t>采场位于斜坡中部，地表水源自大气降水，一般情况下，采场大面积汇水的可能性小，根据矿山的开采技术条件，方案不单独设置截排水沟。采场内部各开采平台，从外沿向边坡保持5‰左右的坡度，场内雨水积水均可自流排出，同时加强安全施工管理，在雨季暂停施工。</w:t>
      </w:r>
    </w:p>
    <w:p>
      <w:pPr>
        <w:rPr>
          <w:color w:val="000000" w:themeColor="text1"/>
          <w:highlight w:val="none"/>
        </w:rPr>
      </w:pPr>
      <w:r>
        <w:rPr>
          <w:rFonts w:hint="eastAsia"/>
          <w:color w:val="000000" w:themeColor="text1"/>
          <w:highlight w:val="none"/>
        </w:rPr>
        <w:t>2</w:t>
      </w:r>
      <w:r>
        <w:rPr>
          <w:color w:val="000000" w:themeColor="text1"/>
          <w:highlight w:val="none"/>
        </w:rPr>
        <w:t>、矿区安全警示措施</w:t>
      </w:r>
    </w:p>
    <w:p>
      <w:pPr>
        <w:rPr>
          <w:rFonts w:hint="eastAsia"/>
          <w:color w:val="000000" w:themeColor="text1"/>
          <w:highlight w:val="none"/>
          <w:lang w:val="en-US" w:eastAsia="zh-CN"/>
        </w:rPr>
      </w:pPr>
      <w:r>
        <w:rPr>
          <w:rFonts w:hint="eastAsia"/>
          <w:color w:val="000000" w:themeColor="text1"/>
          <w:highlight w:val="none"/>
          <w:lang w:val="en-US" w:eastAsia="zh-CN"/>
        </w:rPr>
        <w:t>在矿山入口、边坡、以及一些存在安全隐患区域设置警示牌。</w:t>
      </w:r>
    </w:p>
    <w:p>
      <w:pPr>
        <w:rPr>
          <w:rFonts w:hint="eastAsia"/>
          <w:color w:val="000000" w:themeColor="text1"/>
          <w:highlight w:val="none"/>
          <w:lang w:val="en-US" w:eastAsia="zh-CN"/>
        </w:rPr>
      </w:pPr>
      <w:r>
        <w:rPr>
          <w:rFonts w:hint="eastAsia"/>
          <w:color w:val="000000" w:themeColor="text1"/>
          <w:highlight w:val="none"/>
          <w:lang w:val="en-US" w:eastAsia="zh-CN"/>
        </w:rPr>
        <w:t>3、边坡治理工程</w:t>
      </w:r>
    </w:p>
    <w:p>
      <w:pPr>
        <w:rPr>
          <w:rFonts w:hint="eastAsia"/>
          <w:color w:val="000000" w:themeColor="text1"/>
          <w:highlight w:val="none"/>
          <w:lang w:val="en-US" w:eastAsia="zh-CN"/>
        </w:rPr>
      </w:pPr>
      <w:r>
        <w:rPr>
          <w:rFonts w:hint="eastAsia"/>
          <w:color w:val="000000" w:themeColor="text1"/>
          <w:highlight w:val="none"/>
          <w:lang w:val="en-US" w:eastAsia="zh-CN"/>
        </w:rPr>
        <w:t>根据开发利用方案设计，矿山后期闭坑时，最终会形成高边坡。边坡由于爆破导致岩石形成了较多裂隙，最终导致岩石被裂隙切割形成小块体，存在崩塌、掉块的危险；同时采场底部平台边缘现场调查发现较多浮石，存在掉块滑塌危险，因此本方案设计，上部台阶开采结束后，从上至下，对边坡进行边开采、边清扫、边监控，发现危岩立即清理，危险排除后方能继续进行生产作业。</w:t>
      </w:r>
    </w:p>
    <w:p>
      <w:pPr>
        <w:pStyle w:val="5"/>
        <w:spacing w:before="82" w:after="82"/>
        <w:rPr>
          <w:color w:val="000000" w:themeColor="text1"/>
          <w:highlight w:val="none"/>
        </w:rPr>
      </w:pPr>
      <w:bookmarkStart w:id="206" w:name="_Toc12501"/>
      <w:r>
        <w:rPr>
          <w:color w:val="000000" w:themeColor="text1"/>
          <w:highlight w:val="none"/>
        </w:rPr>
        <w:t>5.2.3技术措施</w:t>
      </w:r>
      <w:bookmarkEnd w:id="204"/>
      <w:bookmarkEnd w:id="205"/>
      <w:bookmarkEnd w:id="206"/>
    </w:p>
    <w:p>
      <w:pPr>
        <w:rPr>
          <w:color w:val="000000" w:themeColor="text1"/>
          <w:highlight w:val="none"/>
        </w:rPr>
      </w:pPr>
      <w:bookmarkStart w:id="207" w:name="_Toc18123"/>
      <w:bookmarkStart w:id="208" w:name="_Toc508375914"/>
      <w:r>
        <w:rPr>
          <w:color w:val="000000" w:themeColor="text1"/>
          <w:highlight w:val="none"/>
        </w:rPr>
        <w:t>1、截排水沟</w:t>
      </w:r>
    </w:p>
    <w:p>
      <w:pPr>
        <w:rPr>
          <w:color w:val="000000" w:themeColor="text1"/>
          <w:highlight w:val="none"/>
          <w:lang w:val="zh-CN"/>
        </w:rPr>
      </w:pPr>
      <w:r>
        <w:rPr>
          <w:rFonts w:hint="eastAsia"/>
          <w:color w:val="000000" w:themeColor="text1"/>
          <w:highlight w:val="none"/>
          <w:lang w:val="zh-CN"/>
        </w:rPr>
        <w:t>采场位于斜坡中部，地表水源自大气降水，一般情况下，采场大面积汇水的可能性小，根据矿山的开采技术条件，方案不单独设置截排水沟。采场内部各开采平台，从外沿向边坡保持5‰左右的坡度，场内雨水积水均可自流排出，同时加强安全施工管理，在雨季暂停施工</w:t>
      </w:r>
      <w:r>
        <w:rPr>
          <w:color w:val="000000" w:themeColor="text1"/>
          <w:highlight w:val="none"/>
          <w:lang w:val="zh-CN"/>
        </w:rPr>
        <w:t>。</w:t>
      </w:r>
    </w:p>
    <w:p>
      <w:pPr>
        <w:rPr>
          <w:color w:val="000000" w:themeColor="text1"/>
          <w:highlight w:val="none"/>
        </w:rPr>
      </w:pPr>
      <w:r>
        <w:rPr>
          <w:rFonts w:hint="eastAsia"/>
          <w:color w:val="000000" w:themeColor="text1"/>
          <w:highlight w:val="none"/>
        </w:rPr>
        <w:t>2</w:t>
      </w:r>
      <w:r>
        <w:rPr>
          <w:color w:val="000000" w:themeColor="text1"/>
          <w:highlight w:val="none"/>
        </w:rPr>
        <w:t>、矿区安全警示措施</w:t>
      </w:r>
    </w:p>
    <w:p>
      <w:pPr>
        <w:rPr>
          <w:color w:val="000000" w:themeColor="text1"/>
          <w:highlight w:val="none"/>
          <w:lang w:val="zh-CN"/>
        </w:rPr>
      </w:pPr>
      <w:r>
        <w:rPr>
          <w:color w:val="000000" w:themeColor="text1"/>
          <w:highlight w:val="none"/>
          <w:lang w:val="zh-CN"/>
        </w:rPr>
        <w:t>在矿山采矿</w:t>
      </w:r>
      <w:r>
        <w:rPr>
          <w:rFonts w:hint="eastAsia"/>
          <w:color w:val="000000" w:themeColor="text1"/>
          <w:highlight w:val="none"/>
          <w:lang w:val="zh-CN"/>
        </w:rPr>
        <w:t>入口、采场边坡等</w:t>
      </w:r>
      <w:r>
        <w:rPr>
          <w:color w:val="000000" w:themeColor="text1"/>
          <w:highlight w:val="none"/>
          <w:lang w:val="zh-CN"/>
        </w:rPr>
        <w:t>设置安全警示</w:t>
      </w:r>
      <w:r>
        <w:rPr>
          <w:rFonts w:hint="eastAsia"/>
          <w:color w:val="000000" w:themeColor="text1"/>
          <w:highlight w:val="none"/>
          <w:lang w:val="zh-CN"/>
        </w:rPr>
        <w:t>牌</w:t>
      </w:r>
      <w:r>
        <w:rPr>
          <w:color w:val="000000" w:themeColor="text1"/>
          <w:highlight w:val="none"/>
          <w:lang w:val="zh-CN"/>
        </w:rPr>
        <w:t>，</w:t>
      </w:r>
      <w:r>
        <w:rPr>
          <w:rFonts w:hint="eastAsia"/>
          <w:color w:val="000000" w:themeColor="text1"/>
          <w:highlight w:val="none"/>
          <w:lang w:val="zh-CN"/>
        </w:rPr>
        <w:t>本方案设计设置</w:t>
      </w:r>
      <w:r>
        <w:rPr>
          <w:rFonts w:hint="eastAsia"/>
          <w:color w:val="000000" w:themeColor="text1"/>
          <w:highlight w:val="none"/>
          <w:lang w:val="en-US" w:eastAsia="zh-CN"/>
        </w:rPr>
        <w:t>30个安全警示牌</w:t>
      </w:r>
      <w:r>
        <w:rPr>
          <w:color w:val="000000" w:themeColor="text1"/>
          <w:highlight w:val="none"/>
          <w:lang w:val="zh-CN"/>
        </w:rPr>
        <w:t>。矿山在后期开采中应予以落实。</w:t>
      </w:r>
    </w:p>
    <w:p>
      <w:pPr>
        <w:rPr>
          <w:rFonts w:hint="eastAsia"/>
          <w:color w:val="000000" w:themeColor="text1"/>
          <w:highlight w:val="none"/>
          <w:lang w:val="en-US" w:eastAsia="zh-CN"/>
        </w:rPr>
      </w:pPr>
      <w:r>
        <w:rPr>
          <w:rFonts w:hint="eastAsia"/>
          <w:color w:val="000000" w:themeColor="text1"/>
          <w:highlight w:val="none"/>
          <w:lang w:val="en-US" w:eastAsia="zh-CN"/>
        </w:rPr>
        <w:t>3、边坡治理措施</w:t>
      </w:r>
    </w:p>
    <w:p>
      <w:pPr>
        <w:rPr>
          <w:color w:val="000000" w:themeColor="text1"/>
          <w:highlight w:val="none"/>
          <w:lang w:val="zh-CN"/>
        </w:rPr>
      </w:pPr>
      <w:r>
        <w:rPr>
          <w:rFonts w:hint="eastAsia"/>
          <w:color w:val="000000" w:themeColor="text1"/>
          <w:highlight w:val="none"/>
          <w:lang w:val="zh-CN"/>
        </w:rPr>
        <w:t>对台阶边坡存在的浮石进行清理，预计清理浮石约</w:t>
      </w:r>
      <w:r>
        <w:rPr>
          <w:rFonts w:hint="eastAsia"/>
          <w:color w:val="000000" w:themeColor="text1"/>
          <w:highlight w:val="none"/>
          <w:lang w:val="en-US" w:eastAsia="zh-CN"/>
        </w:rPr>
        <w:t>5000m</w:t>
      </w:r>
      <w:r>
        <w:rPr>
          <w:rFonts w:hint="eastAsia"/>
          <w:color w:val="000000" w:themeColor="text1"/>
          <w:highlight w:val="none"/>
          <w:vertAlign w:val="superscript"/>
          <w:lang w:val="en-US" w:eastAsia="zh-CN"/>
        </w:rPr>
        <w:t>3</w:t>
      </w:r>
      <w:r>
        <w:rPr>
          <w:rFonts w:hint="eastAsia"/>
          <w:color w:val="000000" w:themeColor="text1"/>
          <w:highlight w:val="none"/>
          <w:lang w:val="zh-CN"/>
        </w:rPr>
        <w:t>。</w:t>
      </w:r>
    </w:p>
    <w:p>
      <w:pPr>
        <w:pStyle w:val="5"/>
        <w:spacing w:before="82" w:after="82"/>
        <w:rPr>
          <w:color w:val="000000" w:themeColor="text1"/>
          <w:highlight w:val="none"/>
        </w:rPr>
      </w:pPr>
      <w:bookmarkStart w:id="209" w:name="_Toc26758"/>
      <w:r>
        <w:rPr>
          <w:color w:val="000000" w:themeColor="text1"/>
          <w:highlight w:val="none"/>
        </w:rPr>
        <w:t>5.2.4主要工程量</w:t>
      </w:r>
      <w:bookmarkEnd w:id="207"/>
      <w:bookmarkEnd w:id="208"/>
      <w:bookmarkEnd w:id="209"/>
    </w:p>
    <w:p>
      <w:pPr>
        <w:rPr>
          <w:color w:val="000000" w:themeColor="text1"/>
          <w:highlight w:val="none"/>
          <w:lang w:val="zh-CN"/>
        </w:rPr>
      </w:pPr>
      <w:r>
        <w:rPr>
          <w:rFonts w:hint="eastAsia"/>
          <w:color w:val="000000" w:themeColor="text1"/>
          <w:highlight w:val="none"/>
          <w:lang w:val="zh-CN"/>
        </w:rPr>
        <w:t>采场位于斜坡中部，地表水源自大气降水，一般情况下，采场大面积汇水的可能性小，根据矿山的开采技术条件，方案不单独设置截排水沟</w:t>
      </w:r>
      <w:r>
        <w:rPr>
          <w:color w:val="000000" w:themeColor="text1"/>
          <w:highlight w:val="none"/>
          <w:lang w:val="zh-CN"/>
        </w:rPr>
        <w:t>。在开发利用方案中已</w:t>
      </w:r>
      <w:r>
        <w:rPr>
          <w:rFonts w:hint="eastAsia"/>
          <w:color w:val="000000" w:themeColor="text1"/>
          <w:highlight w:val="none"/>
          <w:lang w:val="zh-CN"/>
        </w:rPr>
        <w:t>设计</w:t>
      </w:r>
      <w:r>
        <w:rPr>
          <w:color w:val="000000" w:themeColor="text1"/>
          <w:highlight w:val="none"/>
          <w:lang w:val="zh-CN"/>
        </w:rPr>
        <w:t>设置相关的安全警示标志</w:t>
      </w:r>
      <w:r>
        <w:rPr>
          <w:rFonts w:hint="eastAsia"/>
          <w:color w:val="000000" w:themeColor="text1"/>
          <w:highlight w:val="none"/>
          <w:lang w:val="en-US" w:eastAsia="zh-CN"/>
        </w:rPr>
        <w:t>20个</w:t>
      </w:r>
      <w:r>
        <w:rPr>
          <w:color w:val="000000" w:themeColor="text1"/>
          <w:highlight w:val="none"/>
          <w:lang w:val="zh-CN"/>
        </w:rPr>
        <w:t>，矿山在后期开采中应予以落实。</w:t>
      </w:r>
      <w:r>
        <w:rPr>
          <w:rFonts w:hint="eastAsia"/>
          <w:color w:val="000000" w:themeColor="text1"/>
          <w:highlight w:val="none"/>
          <w:lang w:val="zh-CN"/>
        </w:rPr>
        <w:t>对台阶边坡存在的浮石进行清理，预计清理浮石约</w:t>
      </w:r>
      <w:r>
        <w:rPr>
          <w:rFonts w:hint="eastAsia"/>
          <w:color w:val="000000" w:themeColor="text1"/>
          <w:highlight w:val="none"/>
          <w:lang w:val="en-US" w:eastAsia="zh-CN"/>
        </w:rPr>
        <w:t>5000m</w:t>
      </w:r>
      <w:r>
        <w:rPr>
          <w:rFonts w:hint="eastAsia"/>
          <w:color w:val="000000" w:themeColor="text1"/>
          <w:highlight w:val="none"/>
          <w:vertAlign w:val="superscript"/>
          <w:lang w:val="en-US" w:eastAsia="zh-CN"/>
        </w:rPr>
        <w:t>3</w:t>
      </w:r>
      <w:r>
        <w:rPr>
          <w:rFonts w:hint="eastAsia"/>
          <w:color w:val="000000" w:themeColor="text1"/>
          <w:highlight w:val="none"/>
          <w:lang w:val="zh-CN"/>
        </w:rPr>
        <w:t>。</w:t>
      </w:r>
    </w:p>
    <w:p>
      <w:pPr>
        <w:pStyle w:val="4"/>
        <w:spacing w:before="82" w:after="82"/>
        <w:rPr>
          <w:color w:val="000000" w:themeColor="text1"/>
          <w:highlight w:val="none"/>
        </w:rPr>
      </w:pPr>
      <w:bookmarkStart w:id="210" w:name="_Toc25785"/>
      <w:bookmarkStart w:id="211" w:name="_Toc4503"/>
      <w:r>
        <w:rPr>
          <w:color w:val="000000" w:themeColor="text1"/>
          <w:highlight w:val="none"/>
        </w:rPr>
        <w:t>5.3矿区土地复垦</w:t>
      </w:r>
      <w:bookmarkEnd w:id="210"/>
      <w:bookmarkEnd w:id="211"/>
    </w:p>
    <w:p>
      <w:pPr>
        <w:pStyle w:val="5"/>
        <w:spacing w:before="82" w:after="82"/>
        <w:rPr>
          <w:color w:val="000000" w:themeColor="text1"/>
          <w:highlight w:val="none"/>
        </w:rPr>
      </w:pPr>
      <w:bookmarkStart w:id="212" w:name="_Toc22843"/>
      <w:bookmarkStart w:id="213" w:name="_Toc28479"/>
      <w:bookmarkStart w:id="214" w:name="_Toc28898"/>
      <w:r>
        <w:rPr>
          <w:color w:val="000000" w:themeColor="text1"/>
          <w:highlight w:val="none"/>
        </w:rPr>
        <w:t>5.3.1目标任务</w:t>
      </w:r>
      <w:bookmarkEnd w:id="212"/>
      <w:bookmarkEnd w:id="213"/>
    </w:p>
    <w:p>
      <w:pPr>
        <w:rPr>
          <w:color w:val="000000" w:themeColor="text1"/>
          <w:highlight w:val="none"/>
        </w:rPr>
      </w:pPr>
      <w:r>
        <w:rPr>
          <w:color w:val="000000" w:themeColor="text1"/>
          <w:highlight w:val="none"/>
        </w:rPr>
        <w:t>根据土地复垦适宜性评价结果，结合复垦区实际情况，确定了复垦区各复垦单元的复垦方向。复垦责任范围</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，复垦前后土地利用结构调整见表5-</w:t>
      </w:r>
      <w:r>
        <w:rPr>
          <w:rFonts w:hint="eastAsia"/>
          <w:color w:val="000000" w:themeColor="text1"/>
          <w:highlight w:val="none"/>
        </w:rPr>
        <w:t>1</w:t>
      </w:r>
      <w:r>
        <w:rPr>
          <w:color w:val="000000" w:themeColor="text1"/>
          <w:highlight w:val="none"/>
        </w:rPr>
        <w:t>：</w:t>
      </w:r>
    </w:p>
    <w:p>
      <w:pPr>
        <w:pStyle w:val="67"/>
        <w:rPr>
          <w:color w:val="000000" w:themeColor="text1"/>
          <w:highlight w:val="none"/>
        </w:rPr>
      </w:pPr>
      <w:r>
        <w:rPr>
          <w:color w:val="000000" w:themeColor="text1"/>
          <w:highlight w:val="none"/>
        </w:rPr>
        <w:t>表5-</w:t>
      </w:r>
      <w:r>
        <w:rPr>
          <w:rFonts w:hint="eastAsia"/>
          <w:color w:val="000000" w:themeColor="text1"/>
          <w:highlight w:val="none"/>
        </w:rPr>
        <w:t xml:space="preserve">1  </w:t>
      </w:r>
      <w:r>
        <w:rPr>
          <w:color w:val="000000" w:themeColor="text1"/>
          <w:highlight w:val="none"/>
        </w:rPr>
        <w:t>复垦前后土地利用结构调整表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72"/>
        <w:gridCol w:w="1403"/>
        <w:gridCol w:w="1320"/>
        <w:gridCol w:w="899"/>
        <w:gridCol w:w="899"/>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1" w:type="dxa"/>
            <w:gridSpan w:val="2"/>
            <w:vMerge w:val="restart"/>
            <w:shd w:val="clear" w:color="auto" w:fill="auto"/>
            <w:vAlign w:val="center"/>
          </w:tcPr>
          <w:p>
            <w:pPr>
              <w:pStyle w:val="63"/>
              <w:rPr>
                <w:color w:val="000000" w:themeColor="text1"/>
                <w:highlight w:val="none"/>
              </w:rPr>
            </w:pPr>
            <w:bookmarkStart w:id="215" w:name="_Toc22399"/>
            <w:r>
              <w:rPr>
                <w:rFonts w:hint="eastAsia"/>
                <w:color w:val="000000" w:themeColor="text1"/>
                <w:highlight w:val="none"/>
              </w:rPr>
              <w:t>一级地类</w:t>
            </w:r>
          </w:p>
        </w:tc>
        <w:tc>
          <w:tcPr>
            <w:tcW w:w="2723" w:type="dxa"/>
            <w:gridSpan w:val="2"/>
            <w:vMerge w:val="restart"/>
            <w:shd w:val="clear" w:color="auto" w:fill="auto"/>
            <w:vAlign w:val="center"/>
          </w:tcPr>
          <w:p>
            <w:pPr>
              <w:pStyle w:val="63"/>
              <w:rPr>
                <w:color w:val="000000" w:themeColor="text1"/>
                <w:highlight w:val="none"/>
              </w:rPr>
            </w:pPr>
            <w:r>
              <w:rPr>
                <w:rFonts w:hint="eastAsia"/>
                <w:color w:val="000000" w:themeColor="text1"/>
                <w:highlight w:val="none"/>
              </w:rPr>
              <w:t>二级地类</w:t>
            </w:r>
          </w:p>
        </w:tc>
        <w:tc>
          <w:tcPr>
            <w:tcW w:w="1798" w:type="dxa"/>
            <w:gridSpan w:val="2"/>
            <w:shd w:val="clear" w:color="auto" w:fill="auto"/>
            <w:vAlign w:val="center"/>
          </w:tcPr>
          <w:p>
            <w:pPr>
              <w:pStyle w:val="63"/>
              <w:rPr>
                <w:color w:val="000000" w:themeColor="text1"/>
                <w:highlight w:val="none"/>
              </w:rPr>
            </w:pPr>
            <w:r>
              <w:rPr>
                <w:rFonts w:hint="eastAsia"/>
                <w:color w:val="000000" w:themeColor="text1"/>
                <w:highlight w:val="none"/>
              </w:rPr>
              <w:t>面积（</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tc>
        <w:tc>
          <w:tcPr>
            <w:tcW w:w="1063" w:type="dxa"/>
            <w:vMerge w:val="restart"/>
            <w:shd w:val="clear" w:color="auto" w:fill="auto"/>
            <w:vAlign w:val="center"/>
          </w:tcPr>
          <w:p>
            <w:pPr>
              <w:pStyle w:val="63"/>
              <w:rPr>
                <w:color w:val="000000" w:themeColor="text1"/>
                <w:highlight w:val="none"/>
              </w:rPr>
            </w:pPr>
            <w:r>
              <w:rPr>
                <w:rFonts w:hint="eastAsia"/>
                <w:color w:val="000000" w:themeColor="text1"/>
                <w:highlight w:val="none"/>
              </w:rPr>
              <w:t>变幅</w:t>
            </w:r>
            <w:r>
              <w:rPr>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31" w:type="dxa"/>
            <w:gridSpan w:val="2"/>
            <w:vMerge w:val="continue"/>
            <w:vAlign w:val="center"/>
          </w:tcPr>
          <w:p>
            <w:pPr>
              <w:pStyle w:val="63"/>
              <w:rPr>
                <w:color w:val="000000" w:themeColor="text1"/>
                <w:highlight w:val="none"/>
              </w:rPr>
            </w:pPr>
          </w:p>
        </w:tc>
        <w:tc>
          <w:tcPr>
            <w:tcW w:w="2723" w:type="dxa"/>
            <w:gridSpan w:val="2"/>
            <w:vMerge w:val="continue"/>
            <w:vAlign w:val="center"/>
          </w:tcPr>
          <w:p>
            <w:pPr>
              <w:pStyle w:val="63"/>
              <w:rPr>
                <w:color w:val="000000" w:themeColor="text1"/>
                <w:highlight w:val="none"/>
              </w:rPr>
            </w:pPr>
          </w:p>
        </w:tc>
        <w:tc>
          <w:tcPr>
            <w:tcW w:w="899" w:type="dxa"/>
            <w:shd w:val="clear" w:color="auto" w:fill="auto"/>
            <w:vAlign w:val="center"/>
          </w:tcPr>
          <w:p>
            <w:pPr>
              <w:pStyle w:val="63"/>
              <w:rPr>
                <w:color w:val="000000" w:themeColor="text1"/>
                <w:highlight w:val="none"/>
              </w:rPr>
            </w:pPr>
            <w:r>
              <w:rPr>
                <w:rFonts w:hint="eastAsia"/>
                <w:color w:val="000000" w:themeColor="text1"/>
                <w:highlight w:val="none"/>
              </w:rPr>
              <w:t>复垦前</w:t>
            </w:r>
          </w:p>
        </w:tc>
        <w:tc>
          <w:tcPr>
            <w:tcW w:w="899" w:type="dxa"/>
            <w:shd w:val="clear" w:color="auto" w:fill="auto"/>
            <w:vAlign w:val="center"/>
          </w:tcPr>
          <w:p>
            <w:pPr>
              <w:pStyle w:val="63"/>
              <w:rPr>
                <w:color w:val="000000" w:themeColor="text1"/>
                <w:highlight w:val="none"/>
              </w:rPr>
            </w:pPr>
            <w:r>
              <w:rPr>
                <w:rFonts w:hint="eastAsia"/>
                <w:color w:val="000000" w:themeColor="text1"/>
                <w:highlight w:val="none"/>
              </w:rPr>
              <w:t>复垦后</w:t>
            </w:r>
          </w:p>
        </w:tc>
        <w:tc>
          <w:tcPr>
            <w:tcW w:w="1063" w:type="dxa"/>
            <w:vMerge w:val="continue"/>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Merge w:val="restart"/>
            <w:shd w:val="clear" w:color="auto" w:fill="auto"/>
            <w:vAlign w:val="center"/>
          </w:tcPr>
          <w:p>
            <w:pPr>
              <w:pStyle w:val="63"/>
              <w:rPr>
                <w:color w:val="000000" w:themeColor="text1"/>
                <w:highlight w:val="none"/>
              </w:rPr>
            </w:pPr>
            <w:r>
              <w:rPr>
                <w:rFonts w:hint="eastAsia"/>
                <w:color w:val="000000" w:themeColor="text1"/>
                <w:highlight w:val="none"/>
              </w:rPr>
              <w:t>0</w:t>
            </w:r>
            <w:r>
              <w:rPr>
                <w:color w:val="000000" w:themeColor="text1"/>
                <w:highlight w:val="none"/>
              </w:rPr>
              <w:t>3</w:t>
            </w:r>
          </w:p>
        </w:tc>
        <w:tc>
          <w:tcPr>
            <w:tcW w:w="1972" w:type="dxa"/>
            <w:vMerge w:val="restart"/>
            <w:shd w:val="clear" w:color="auto" w:fill="auto"/>
            <w:vAlign w:val="center"/>
          </w:tcPr>
          <w:p>
            <w:pPr>
              <w:pStyle w:val="63"/>
              <w:rPr>
                <w:color w:val="000000" w:themeColor="text1"/>
                <w:highlight w:val="none"/>
              </w:rPr>
            </w:pPr>
            <w:r>
              <w:rPr>
                <w:rFonts w:hint="eastAsia"/>
                <w:color w:val="000000" w:themeColor="text1"/>
                <w:highlight w:val="none"/>
              </w:rPr>
              <w:t>林地</w:t>
            </w:r>
          </w:p>
        </w:tc>
        <w:tc>
          <w:tcPr>
            <w:tcW w:w="1403" w:type="dxa"/>
            <w:shd w:val="clear" w:color="auto" w:fill="auto"/>
            <w:vAlign w:val="center"/>
          </w:tcPr>
          <w:p>
            <w:pPr>
              <w:pStyle w:val="63"/>
              <w:rPr>
                <w:color w:val="000000" w:themeColor="text1"/>
                <w:highlight w:val="none"/>
              </w:rPr>
            </w:pPr>
            <w:r>
              <w:rPr>
                <w:rFonts w:hint="eastAsia"/>
                <w:color w:val="000000" w:themeColor="text1"/>
                <w:highlight w:val="none"/>
              </w:rPr>
              <w:t>0</w:t>
            </w:r>
            <w:r>
              <w:rPr>
                <w:color w:val="000000" w:themeColor="text1"/>
                <w:highlight w:val="none"/>
              </w:rPr>
              <w:t>3</w:t>
            </w:r>
            <w:r>
              <w:rPr>
                <w:rFonts w:hint="eastAsia"/>
                <w:color w:val="000000" w:themeColor="text1"/>
                <w:highlight w:val="none"/>
                <w:lang w:val="en-US" w:eastAsia="zh-CN"/>
              </w:rPr>
              <w:t>0</w:t>
            </w:r>
            <w:r>
              <w:rPr>
                <w:color w:val="000000" w:themeColor="text1"/>
                <w:highlight w:val="none"/>
              </w:rPr>
              <w:t>1</w:t>
            </w:r>
          </w:p>
        </w:tc>
        <w:tc>
          <w:tcPr>
            <w:tcW w:w="1320"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乔木林地</w:t>
            </w:r>
          </w:p>
        </w:tc>
        <w:tc>
          <w:tcPr>
            <w:tcW w:w="899" w:type="dxa"/>
            <w:shd w:val="clear" w:color="auto" w:fill="auto"/>
            <w:noWrap/>
            <w:vAlign w:val="center"/>
          </w:tcPr>
          <w:p>
            <w:pPr>
              <w:pStyle w:val="63"/>
              <w:rPr>
                <w:rFonts w:hint="eastAsia" w:eastAsia="宋体"/>
                <w:color w:val="000000" w:themeColor="text1"/>
                <w:highlight w:val="none"/>
                <w:lang w:eastAsia="zh-CN"/>
              </w:rPr>
            </w:pPr>
            <w:r>
              <w:rPr>
                <w:rFonts w:hint="eastAsia"/>
                <w:color w:val="000000" w:themeColor="text1"/>
                <w:kern w:val="0"/>
                <w:sz w:val="21"/>
                <w:szCs w:val="21"/>
                <w:highlight w:val="none"/>
                <w:lang w:val="en-US" w:eastAsia="zh-CN"/>
              </w:rPr>
              <w:t>5.3732</w:t>
            </w:r>
          </w:p>
        </w:tc>
        <w:tc>
          <w:tcPr>
            <w:tcW w:w="899"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8.179</w:t>
            </w:r>
          </w:p>
        </w:tc>
        <w:tc>
          <w:tcPr>
            <w:tcW w:w="1063"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Merge w:val="continue"/>
            <w:vAlign w:val="center"/>
          </w:tcPr>
          <w:p>
            <w:pPr>
              <w:pStyle w:val="63"/>
              <w:rPr>
                <w:color w:val="000000" w:themeColor="text1"/>
                <w:highlight w:val="none"/>
              </w:rPr>
            </w:pPr>
          </w:p>
        </w:tc>
        <w:tc>
          <w:tcPr>
            <w:tcW w:w="1972" w:type="dxa"/>
            <w:vMerge w:val="continue"/>
            <w:vAlign w:val="center"/>
          </w:tcPr>
          <w:p>
            <w:pPr>
              <w:pStyle w:val="63"/>
              <w:rPr>
                <w:color w:val="000000" w:themeColor="text1"/>
                <w:highlight w:val="none"/>
              </w:rPr>
            </w:pPr>
          </w:p>
        </w:tc>
        <w:tc>
          <w:tcPr>
            <w:tcW w:w="1403"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rPr>
              <w:t>0</w:t>
            </w:r>
            <w:r>
              <w:rPr>
                <w:color w:val="000000" w:themeColor="text1"/>
                <w:highlight w:val="none"/>
              </w:rPr>
              <w:t>3</w:t>
            </w:r>
            <w:r>
              <w:rPr>
                <w:rFonts w:hint="eastAsia"/>
                <w:color w:val="000000" w:themeColor="text1"/>
                <w:highlight w:val="none"/>
                <w:lang w:val="en-US" w:eastAsia="zh-CN"/>
              </w:rPr>
              <w:t>05</w:t>
            </w:r>
          </w:p>
        </w:tc>
        <w:tc>
          <w:tcPr>
            <w:tcW w:w="1320" w:type="dxa"/>
            <w:shd w:val="clear" w:color="auto" w:fill="auto"/>
            <w:vAlign w:val="center"/>
          </w:tcPr>
          <w:p>
            <w:pPr>
              <w:pStyle w:val="63"/>
              <w:rPr>
                <w:color w:val="000000" w:themeColor="text1"/>
                <w:highlight w:val="none"/>
              </w:rPr>
            </w:pPr>
            <w:r>
              <w:rPr>
                <w:rFonts w:hint="eastAsia"/>
                <w:color w:val="000000" w:themeColor="text1"/>
                <w:highlight w:val="none"/>
              </w:rPr>
              <w:t>灌木林地</w:t>
            </w:r>
          </w:p>
        </w:tc>
        <w:tc>
          <w:tcPr>
            <w:tcW w:w="899" w:type="dxa"/>
            <w:shd w:val="clear" w:color="auto" w:fill="auto"/>
            <w:noWrap/>
            <w:vAlign w:val="center"/>
          </w:tcPr>
          <w:p>
            <w:pPr>
              <w:pStyle w:val="63"/>
              <w:rPr>
                <w:rFonts w:hint="eastAsia" w:eastAsia="宋体"/>
                <w:color w:val="000000" w:themeColor="text1"/>
                <w:highlight w:val="none"/>
                <w:lang w:eastAsia="zh-CN"/>
              </w:rPr>
            </w:pPr>
            <w:r>
              <w:rPr>
                <w:rFonts w:hint="default"/>
                <w:color w:val="000000" w:themeColor="text1"/>
                <w:highlight w:val="none"/>
                <w:lang w:val="en-US" w:eastAsia="zh-CN"/>
              </w:rPr>
              <w:t>0.0328</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0</w:t>
            </w:r>
          </w:p>
        </w:tc>
        <w:tc>
          <w:tcPr>
            <w:tcW w:w="1063" w:type="dxa"/>
            <w:shd w:val="clear" w:color="auto" w:fill="auto"/>
            <w:noWrap/>
            <w:vAlign w:val="center"/>
          </w:tcPr>
          <w:p>
            <w:pPr>
              <w:pStyle w:val="63"/>
              <w:rPr>
                <w:rFonts w:hint="eastAsia"/>
                <w:color w:val="000000" w:themeColor="text1"/>
                <w:highlight w:val="none"/>
                <w:lang w:eastAsia="zh-CN"/>
              </w:rPr>
            </w:pPr>
            <w:r>
              <w:rPr>
                <w:color w:val="000000" w:themeColor="text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04</w:t>
            </w:r>
          </w:p>
        </w:tc>
        <w:tc>
          <w:tcPr>
            <w:tcW w:w="1972" w:type="dxa"/>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草地</w:t>
            </w:r>
          </w:p>
        </w:tc>
        <w:tc>
          <w:tcPr>
            <w:tcW w:w="1403"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0404</w:t>
            </w:r>
          </w:p>
        </w:tc>
        <w:tc>
          <w:tcPr>
            <w:tcW w:w="1320"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其他草地</w:t>
            </w:r>
          </w:p>
        </w:tc>
        <w:tc>
          <w:tcPr>
            <w:tcW w:w="899"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0</w:t>
            </w:r>
          </w:p>
        </w:tc>
        <w:tc>
          <w:tcPr>
            <w:tcW w:w="899" w:type="dxa"/>
            <w:shd w:val="clear" w:color="auto" w:fill="auto"/>
            <w:vAlign w:val="center"/>
          </w:tcPr>
          <w:p>
            <w:pPr>
              <w:pStyle w:val="63"/>
              <w:rPr>
                <w:rFonts w:hint="eastAsia"/>
                <w:color w:val="000000" w:themeColor="text1"/>
                <w:highlight w:val="none"/>
                <w:lang w:eastAsia="zh-CN"/>
              </w:rPr>
            </w:pPr>
            <w:r>
              <w:rPr>
                <w:rFonts w:hint="eastAsia"/>
                <w:color w:val="000000" w:themeColor="text1"/>
                <w:highlight w:val="none"/>
                <w:lang w:val="en-US" w:eastAsia="zh-CN"/>
              </w:rPr>
              <w:t>1.3434</w:t>
            </w:r>
          </w:p>
        </w:tc>
        <w:tc>
          <w:tcPr>
            <w:tcW w:w="1063" w:type="dxa"/>
            <w:shd w:val="clear" w:color="auto" w:fill="auto"/>
            <w:noWrap/>
            <w:vAlign w:val="center"/>
          </w:tcPr>
          <w:p>
            <w:pPr>
              <w:pStyle w:val="63"/>
              <w:rPr>
                <w:rFonts w:hint="default"/>
                <w:color w:val="000000" w:themeColor="text1"/>
                <w:highlight w:val="none"/>
                <w:lang w:val="en-US" w:eastAsia="zh-CN"/>
              </w:rPr>
            </w:pPr>
            <w:r>
              <w:rPr>
                <w:rFonts w:hint="eastAsia"/>
                <w:color w:val="000000" w:themeColor="text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9" w:type="dxa"/>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06</w:t>
            </w:r>
          </w:p>
        </w:tc>
        <w:tc>
          <w:tcPr>
            <w:tcW w:w="1972" w:type="dxa"/>
            <w:shd w:val="clear" w:color="auto" w:fill="auto"/>
            <w:vAlign w:val="center"/>
          </w:tcPr>
          <w:p>
            <w:pPr>
              <w:pStyle w:val="63"/>
              <w:rPr>
                <w:color w:val="000000" w:themeColor="text1"/>
                <w:highlight w:val="none"/>
              </w:rPr>
            </w:pPr>
            <w:r>
              <w:rPr>
                <w:rFonts w:hint="eastAsia"/>
                <w:color w:val="000000" w:themeColor="text1"/>
                <w:highlight w:val="none"/>
              </w:rPr>
              <w:t>城镇村及工矿用地</w:t>
            </w:r>
          </w:p>
        </w:tc>
        <w:tc>
          <w:tcPr>
            <w:tcW w:w="1403"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lang w:val="en-US" w:eastAsia="zh-CN"/>
              </w:rPr>
              <w:t>0602</w:t>
            </w:r>
          </w:p>
        </w:tc>
        <w:tc>
          <w:tcPr>
            <w:tcW w:w="1320" w:type="dxa"/>
            <w:shd w:val="clear" w:color="auto" w:fill="auto"/>
            <w:vAlign w:val="center"/>
          </w:tcPr>
          <w:p>
            <w:pPr>
              <w:pStyle w:val="63"/>
              <w:ind w:firstLine="0" w:firstLineChars="0"/>
              <w:rPr>
                <w:color w:val="000000" w:themeColor="text1"/>
                <w:highlight w:val="none"/>
              </w:rPr>
            </w:pPr>
            <w:r>
              <w:rPr>
                <w:rFonts w:hint="eastAsia"/>
                <w:color w:val="000000" w:themeColor="text1"/>
                <w:highlight w:val="none"/>
              </w:rPr>
              <w:t>采矿用地</w:t>
            </w:r>
          </w:p>
        </w:tc>
        <w:tc>
          <w:tcPr>
            <w:tcW w:w="899" w:type="dxa"/>
            <w:shd w:val="clear" w:color="auto" w:fill="auto"/>
            <w:noWrap/>
            <w:vAlign w:val="center"/>
          </w:tcPr>
          <w:p>
            <w:pPr>
              <w:pStyle w:val="63"/>
              <w:ind w:firstLine="0" w:firstLineChars="0"/>
              <w:rPr>
                <w:rFonts w:hint="eastAsia" w:eastAsia="宋体"/>
                <w:color w:val="000000" w:themeColor="text1"/>
                <w:highlight w:val="none"/>
                <w:lang w:eastAsia="zh-CN"/>
              </w:rPr>
            </w:pPr>
            <w:r>
              <w:rPr>
                <w:rFonts w:hint="default"/>
                <w:color w:val="000000" w:themeColor="text1"/>
                <w:highlight w:val="none"/>
                <w:lang w:val="en-US" w:eastAsia="zh-CN"/>
              </w:rPr>
              <w:t>4.1184</w:t>
            </w:r>
          </w:p>
        </w:tc>
        <w:tc>
          <w:tcPr>
            <w:tcW w:w="899" w:type="dxa"/>
            <w:shd w:val="clear" w:color="auto" w:fill="auto"/>
            <w:vAlign w:val="center"/>
          </w:tcPr>
          <w:p>
            <w:pPr>
              <w:pStyle w:val="63"/>
              <w:ind w:firstLine="0" w:firstLineChars="0"/>
              <w:rPr>
                <w:color w:val="000000" w:themeColor="text1"/>
                <w:highlight w:val="none"/>
              </w:rPr>
            </w:pPr>
            <w:r>
              <w:rPr>
                <w:color w:val="000000" w:themeColor="text1"/>
                <w:highlight w:val="none"/>
              </w:rPr>
              <w:t>0</w:t>
            </w:r>
          </w:p>
        </w:tc>
        <w:tc>
          <w:tcPr>
            <w:tcW w:w="1063" w:type="dxa"/>
            <w:shd w:val="clear" w:color="auto" w:fill="auto"/>
            <w:noWrap/>
            <w:vAlign w:val="center"/>
          </w:tcPr>
          <w:p>
            <w:pPr>
              <w:pStyle w:val="63"/>
              <w:ind w:firstLine="0" w:firstLineChars="0"/>
              <w:rPr>
                <w:color w:val="000000" w:themeColor="text1"/>
                <w:highlight w:val="none"/>
              </w:rPr>
            </w:pPr>
            <w:r>
              <w:rPr>
                <w:color w:val="000000" w:themeColor="text1"/>
                <w:highlight w:val="none"/>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54" w:type="dxa"/>
            <w:gridSpan w:val="4"/>
            <w:shd w:val="clear" w:color="auto" w:fill="auto"/>
            <w:vAlign w:val="center"/>
          </w:tcPr>
          <w:p>
            <w:pPr>
              <w:pStyle w:val="63"/>
              <w:rPr>
                <w:color w:val="000000" w:themeColor="text1"/>
                <w:highlight w:val="none"/>
              </w:rPr>
            </w:pPr>
            <w:r>
              <w:rPr>
                <w:rFonts w:hint="eastAsia"/>
                <w:color w:val="000000" w:themeColor="text1"/>
                <w:highlight w:val="none"/>
              </w:rPr>
              <w:t>总面积</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9.5224</w:t>
            </w:r>
          </w:p>
        </w:tc>
        <w:tc>
          <w:tcPr>
            <w:tcW w:w="899" w:type="dxa"/>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9.5224</w:t>
            </w:r>
          </w:p>
        </w:tc>
        <w:tc>
          <w:tcPr>
            <w:tcW w:w="1063" w:type="dxa"/>
            <w:shd w:val="clear" w:color="auto" w:fill="auto"/>
            <w:vAlign w:val="center"/>
          </w:tcPr>
          <w:p>
            <w:pPr>
              <w:pStyle w:val="63"/>
              <w:rPr>
                <w:color w:val="000000" w:themeColor="text1"/>
                <w:highlight w:val="none"/>
              </w:rPr>
            </w:pPr>
          </w:p>
        </w:tc>
      </w:tr>
    </w:tbl>
    <w:p>
      <w:pPr>
        <w:pStyle w:val="5"/>
        <w:spacing w:before="82" w:after="82"/>
        <w:rPr>
          <w:color w:val="000000" w:themeColor="text1"/>
          <w:highlight w:val="none"/>
        </w:rPr>
      </w:pPr>
      <w:r>
        <w:rPr>
          <w:color w:val="000000" w:themeColor="text1"/>
          <w:highlight w:val="none"/>
        </w:rPr>
        <w:t>5.3.2工程设计</w:t>
      </w:r>
      <w:bookmarkEnd w:id="214"/>
      <w:bookmarkEnd w:id="215"/>
    </w:p>
    <w:p>
      <w:pPr>
        <w:rPr>
          <w:color w:val="000000" w:themeColor="text1"/>
          <w:highlight w:val="none"/>
        </w:rPr>
      </w:pPr>
      <w:r>
        <w:rPr>
          <w:color w:val="000000" w:themeColor="text1"/>
          <w:highlight w:val="none"/>
        </w:rPr>
        <w:t>1、植被筛选</w:t>
      </w:r>
    </w:p>
    <w:p>
      <w:pPr>
        <w:rPr>
          <w:color w:val="000000" w:themeColor="text1"/>
          <w:highlight w:val="none"/>
        </w:rPr>
      </w:pPr>
      <w:r>
        <w:rPr>
          <w:color w:val="000000" w:themeColor="text1"/>
          <w:highlight w:val="none"/>
        </w:rPr>
        <w:t>（1）立地条件</w:t>
      </w:r>
    </w:p>
    <w:p>
      <w:pPr>
        <w:rPr>
          <w:color w:val="000000" w:themeColor="text1"/>
          <w:highlight w:val="none"/>
        </w:rPr>
      </w:pPr>
      <w:r>
        <w:rPr>
          <w:rFonts w:hint="eastAsia"/>
          <w:color w:val="000000" w:themeColor="text1"/>
          <w:highlight w:val="none"/>
        </w:rPr>
        <w:t>旺苍有植物4940种，其中灌木408种，经济林木17种，药材1500种（可收购318种）。名贵药材有天麻、麝香、熊胆等，杜仲、黄柏、厚朴质优量大，1998年被国家林业局命名为“全国名特优经济林杜仲之乡”。全县</w:t>
      </w:r>
      <w:r>
        <w:rPr>
          <w:rFonts w:hint="eastAsia"/>
          <w:color w:val="000000" w:themeColor="text1"/>
          <w:highlight w:val="none"/>
          <w:lang w:eastAsia="zh-CN"/>
        </w:rPr>
        <w:t>森林覆盖率达69</w:t>
      </w:r>
      <w:r>
        <w:rPr>
          <w:rFonts w:hint="eastAsia"/>
          <w:color w:val="000000" w:themeColor="text1"/>
          <w:highlight w:val="none"/>
        </w:rPr>
        <w:t>%，有面积多达320平方公里的原始生态植被，有7000余公顷的原始水青冈林，是世界水青冈属植物的起源和现代分布中心</w:t>
      </w:r>
      <w:r>
        <w:rPr>
          <w:color w:val="000000" w:themeColor="text1"/>
          <w:highlight w:val="none"/>
        </w:rPr>
        <w:t>。低山河谷地带（千米以下），分布有亚热带马尾松林；腹部走廊区海拔1000</w:t>
      </w:r>
      <w:r>
        <w:rPr>
          <w:rFonts w:hint="eastAsia"/>
          <w:color w:val="000000" w:themeColor="text1"/>
          <w:highlight w:val="none"/>
          <w:lang w:eastAsia="zh-CN"/>
        </w:rPr>
        <w:t>—</w:t>
      </w:r>
      <w:r>
        <w:rPr>
          <w:color w:val="000000" w:themeColor="text1"/>
          <w:highlight w:val="none"/>
        </w:rPr>
        <w:t>1200米地</w:t>
      </w:r>
      <w:r>
        <w:rPr>
          <w:rFonts w:hint="eastAsia"/>
          <w:color w:val="000000" w:themeColor="text1"/>
          <w:highlight w:val="none"/>
        </w:rPr>
        <w:t>带</w:t>
      </w:r>
      <w:r>
        <w:rPr>
          <w:color w:val="000000" w:themeColor="text1"/>
          <w:highlight w:val="none"/>
        </w:rPr>
        <w:t>，马尾松、川柏林、栎林分布较广泛；南部低山区，海拔1100-1300米地带，多以马尾松、川柏林为主；北部中山区海拔1200</w:t>
      </w:r>
      <w:r>
        <w:rPr>
          <w:rFonts w:hint="eastAsia"/>
          <w:color w:val="000000" w:themeColor="text1"/>
          <w:highlight w:val="none"/>
          <w:lang w:eastAsia="zh-CN"/>
        </w:rPr>
        <w:t>—</w:t>
      </w:r>
      <w:r>
        <w:rPr>
          <w:color w:val="000000" w:themeColor="text1"/>
          <w:highlight w:val="none"/>
        </w:rPr>
        <w:t>1800米地带，广泛分布华山松、巴山松、栎类林和落叶常绿阔叶混交林及亚高山箭竹、杜鹃灌丛；2000米以上山峰岭脊为箭竹、杜鹃灌丛。植物垂直分布差十分明显。根据现场踏勘走访调查，矿区范围内主要树种有青冈树、马尾松、</w:t>
      </w:r>
      <w:r>
        <w:rPr>
          <w:rFonts w:hint="eastAsia"/>
          <w:color w:val="000000" w:themeColor="text1"/>
          <w:highlight w:val="none"/>
        </w:rPr>
        <w:t>柏树等</w:t>
      </w:r>
      <w:r>
        <w:rPr>
          <w:color w:val="000000" w:themeColor="text1"/>
          <w:highlight w:val="none"/>
        </w:rPr>
        <w:t>。</w:t>
      </w:r>
    </w:p>
    <w:p>
      <w:pPr>
        <w:rPr>
          <w:color w:val="000000" w:themeColor="text1"/>
          <w:highlight w:val="none"/>
        </w:rPr>
      </w:pPr>
      <w:r>
        <w:rPr>
          <w:color w:val="000000" w:themeColor="text1"/>
          <w:highlight w:val="none"/>
        </w:rPr>
        <w:t>（2）植被选择</w:t>
      </w:r>
    </w:p>
    <w:p>
      <w:pPr>
        <w:rPr>
          <w:color w:val="000000" w:themeColor="text1"/>
          <w:highlight w:val="none"/>
        </w:rPr>
      </w:pPr>
      <w:r>
        <w:rPr>
          <w:color w:val="000000" w:themeColor="text1"/>
          <w:highlight w:val="none"/>
        </w:rPr>
        <w:t>土地复垦时对复垦植物种类的选择十分重要，物种选择的依据：采矿损毁土地后，原植被也遭到损毁，自然</w:t>
      </w:r>
      <w:r>
        <w:rPr>
          <w:rFonts w:hint="eastAsia"/>
          <w:color w:val="000000" w:themeColor="text1"/>
          <w:highlight w:val="none"/>
        </w:rPr>
        <w:t>条件</w:t>
      </w:r>
      <w:r>
        <w:rPr>
          <w:color w:val="000000" w:themeColor="text1"/>
          <w:highlight w:val="none"/>
        </w:rPr>
        <w:t>下恢复植被较困难，且周期较长。因此，应当筛选适当的植物对复垦土地进行改良，同时要筛选适宜植物作为土地复垦的物种。先锋植物是指能在新复垦土地恶劣环境中生长的植物，具有抗性强、能抗寒、旱、风、涝、贫瘠，生长快，播种栽植较容易，成活率较高。引入先锋植物，可以改善矿区废弃地植物的生存环境，为适宜植物和其他林木、经济作物，甚至农作物的生长，提供必要的前提条件。筛选先锋植物的依据是：</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具有优良的水土保持作用的植物种属，能减少地表径流、涵养水源，阻挡泥沙流失和固持水土。</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具有较强的适应脆弱环境和抗逆境的能力，对于干旱、风害、冻害、瘠薄等不良立地因子有较强的忍耐性和适宜性。</w:t>
      </w:r>
    </w:p>
    <w:p>
      <w:pPr>
        <w:rPr>
          <w:color w:val="000000" w:themeColor="text1"/>
          <w:highlight w:val="none"/>
        </w:rPr>
      </w:pPr>
      <w:r>
        <w:rPr>
          <w:rFonts w:hint="eastAsia" w:ascii="宋体" w:hAnsi="宋体" w:cs="宋体"/>
          <w:color w:val="000000" w:themeColor="text1"/>
          <w:highlight w:val="none"/>
        </w:rPr>
        <w:t>③</w:t>
      </w:r>
      <w:r>
        <w:rPr>
          <w:color w:val="000000" w:themeColor="text1"/>
          <w:highlight w:val="none"/>
        </w:rPr>
        <w:t>生活能力强，能形成稳定的植被群落。</w:t>
      </w:r>
    </w:p>
    <w:p>
      <w:pPr>
        <w:rPr>
          <w:color w:val="000000" w:themeColor="text1"/>
          <w:highlight w:val="none"/>
        </w:rPr>
      </w:pPr>
      <w:r>
        <w:rPr>
          <w:rFonts w:hint="eastAsia" w:ascii="宋体" w:hAnsi="宋体" w:cs="宋体"/>
          <w:color w:val="000000" w:themeColor="text1"/>
          <w:highlight w:val="none"/>
        </w:rPr>
        <w:t>④</w:t>
      </w:r>
      <w:r>
        <w:rPr>
          <w:color w:val="000000" w:themeColor="text1"/>
          <w:highlight w:val="none"/>
        </w:rPr>
        <w:t>根系发达，能形成网状根固持土壤；地上部分生长迅速，枝叶茂盛，能尽快和尽可能时间长的覆盖地面，有效阻止风蚀；能较快形成松软的枯枝落叶层，提高土壤的保水保肥能力。项目区常见植被特征表详见表5-</w:t>
      </w:r>
      <w:r>
        <w:rPr>
          <w:rFonts w:hint="eastAsia"/>
          <w:color w:val="000000" w:themeColor="text1"/>
          <w:highlight w:val="none"/>
        </w:rPr>
        <w:t>2</w:t>
      </w:r>
      <w:r>
        <w:rPr>
          <w:color w:val="000000" w:themeColor="text1"/>
          <w:highlight w:val="none"/>
        </w:rPr>
        <w:t>。</w:t>
      </w:r>
    </w:p>
    <w:p>
      <w:pPr>
        <w:pStyle w:val="67"/>
        <w:rPr>
          <w:color w:val="000000" w:themeColor="text1"/>
          <w:highlight w:val="none"/>
        </w:rPr>
      </w:pPr>
      <w:r>
        <w:rPr>
          <w:color w:val="000000" w:themeColor="text1"/>
          <w:highlight w:val="none"/>
        </w:rPr>
        <w:t>表5-</w:t>
      </w:r>
      <w:r>
        <w:rPr>
          <w:rFonts w:hint="eastAsia"/>
          <w:color w:val="000000" w:themeColor="text1"/>
          <w:highlight w:val="none"/>
        </w:rPr>
        <w:t xml:space="preserve">2  </w:t>
      </w:r>
      <w:r>
        <w:rPr>
          <w:color w:val="000000" w:themeColor="text1"/>
          <w:highlight w:val="none"/>
        </w:rPr>
        <w:t>项目区常见植被特征表</w:t>
      </w:r>
    </w:p>
    <w:tbl>
      <w:tblPr>
        <w:tblStyle w:val="31"/>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1700"/>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植物名称</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拉丁名</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植物特性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一、乔木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马尾松</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PinusmassonianaLamb</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ind w:firstLine="420" w:firstLineChars="200"/>
              <w:jc w:val="both"/>
              <w:rPr>
                <w:color w:val="000000" w:themeColor="text1"/>
                <w:highlight w:val="none"/>
              </w:rPr>
            </w:pPr>
            <w:r>
              <w:rPr>
                <w:color w:val="000000" w:themeColor="text1"/>
                <w:highlight w:val="none"/>
              </w:rPr>
              <w:t>松柏纲，松科，阳性树种，喜光、喜温，根系发达，主根明显，喜微酸性土壤，对土壤要求不严格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杉木</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CunninghamiaLanceolata</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ind w:firstLine="420" w:firstLineChars="200"/>
              <w:jc w:val="both"/>
              <w:rPr>
                <w:color w:val="000000" w:themeColor="text1"/>
                <w:highlight w:val="none"/>
              </w:rPr>
            </w:pPr>
            <w:r>
              <w:rPr>
                <w:color w:val="000000" w:themeColor="text1"/>
                <w:highlight w:val="none"/>
              </w:rPr>
              <w:t>杉科，马尾松属，常绿乔木，中性偏喜光，浅根性，侧根发达，荫生性强，喜温湿，怕风怕旱，忌瘠薄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旱柳</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Salixmatsudana</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ind w:firstLine="420" w:firstLineChars="200"/>
              <w:jc w:val="both"/>
              <w:rPr>
                <w:color w:val="000000" w:themeColor="text1"/>
                <w:highlight w:val="none"/>
              </w:rPr>
            </w:pPr>
            <w:r>
              <w:rPr>
                <w:color w:val="000000" w:themeColor="text1"/>
                <w:highlight w:val="none"/>
              </w:rPr>
              <w:t>杨柳科，落叶乔木，阳性，耐寒，耐旱，耐水湿，速生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柏树</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Platycladusorientalis</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ind w:firstLine="420" w:firstLineChars="200"/>
              <w:jc w:val="both"/>
              <w:rPr>
                <w:color w:val="000000" w:themeColor="text1"/>
                <w:highlight w:val="none"/>
              </w:rPr>
            </w:pPr>
            <w:r>
              <w:rPr>
                <w:color w:val="000000" w:themeColor="text1"/>
                <w:highlight w:val="none"/>
              </w:rPr>
              <w:t>松柏纲，柏科，常绿乔木，喜光，稍耐侧方庇荫，侧根发达，喜温湿，耐寒性差，能在钙质土上生长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rFonts w:hint="eastAsia"/>
                <w:color w:val="000000" w:themeColor="text1"/>
                <w:highlight w:val="none"/>
              </w:rPr>
              <w:t>青冈树</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Cyclobalanopsis glauca(Thunb.) Oerst</w:t>
            </w:r>
          </w:p>
        </w:tc>
        <w:tc>
          <w:tcPr>
            <w:tcW w:w="572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ind w:firstLine="420" w:firstLineChars="200"/>
              <w:jc w:val="both"/>
              <w:rPr>
                <w:color w:val="000000" w:themeColor="text1"/>
                <w:highlight w:val="none"/>
              </w:rPr>
            </w:pPr>
            <w:r>
              <w:rPr>
                <w:rFonts w:hint="eastAsia"/>
                <w:color w:val="000000" w:themeColor="text1"/>
                <w:highlight w:val="none"/>
              </w:rPr>
              <w:t>常绿乔木，高达20米，胸径可达1米。对气候条件反应敏感，是因为叶中所含的叶绿素和花青素的比值变化形成的。在长期干旱之后或即将下雨之前，遇上强光闷热天，叶绿素合成受阻，使花青素在叶片中占优势，叶片逐渐变成了红色。有些地方的群众根据平时对青冈树的观察，得出了经验</w:t>
            </w:r>
            <w:r>
              <w:rPr>
                <w:rFonts w:hint="eastAsia"/>
                <w:color w:val="000000" w:themeColor="text1"/>
                <w:highlight w:val="none"/>
                <w:lang w:eastAsia="zh-CN"/>
              </w:rPr>
              <w:t>：</w:t>
            </w:r>
            <w:r>
              <w:rPr>
                <w:rFonts w:hint="eastAsia"/>
                <w:color w:val="000000" w:themeColor="text1"/>
                <w:highlight w:val="none"/>
              </w:rPr>
              <w:t>当树叶变红时，这个地区在一两天内会下大雨。雨过天晴，树叶又呈深绿色。农民就根据这个信息，预报气象，安排农活。中性喜光，幼龄稍耐侧方庇荫。喜生于微碱性或中性的石灰岩土壤上，在酸性土壤上也生长良好。深根性直根系，耐干燥，可生长于多石砾的山地。萌芽力强，可采用萌芽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二、</w:t>
            </w:r>
            <w:r>
              <w:rPr>
                <w:rFonts w:hint="eastAsia"/>
                <w:color w:val="000000" w:themeColor="text1"/>
                <w:highlight w:val="none"/>
              </w:rPr>
              <w:t>灌木</w:t>
            </w:r>
            <w:r>
              <w:rPr>
                <w:color w:val="000000" w:themeColor="text1"/>
                <w:highlight w:val="none"/>
              </w:rPr>
              <w:t>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rFonts w:hint="eastAsia"/>
                <w:color w:val="000000" w:themeColor="text1"/>
                <w:highlight w:val="none"/>
              </w:rPr>
              <w:t>黄荆条</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Vitex negundo L</w:t>
            </w:r>
          </w:p>
        </w:tc>
        <w:tc>
          <w:tcPr>
            <w:tcW w:w="5720" w:type="dxa"/>
            <w:tcBorders>
              <w:top w:val="single" w:color="auto" w:sz="4" w:space="0"/>
              <w:left w:val="single" w:color="auto" w:sz="4" w:space="0"/>
              <w:bottom w:val="single" w:color="auto" w:sz="4" w:space="0"/>
              <w:right w:val="single" w:color="auto" w:sz="4" w:space="0"/>
            </w:tcBorders>
            <w:shd w:val="clear" w:color="auto" w:fill="auto"/>
          </w:tcPr>
          <w:p>
            <w:pPr>
              <w:pStyle w:val="63"/>
              <w:ind w:firstLine="420" w:firstLineChars="200"/>
              <w:jc w:val="both"/>
              <w:rPr>
                <w:color w:val="000000" w:themeColor="text1"/>
                <w:highlight w:val="none"/>
              </w:rPr>
            </w:pPr>
            <w:r>
              <w:rPr>
                <w:color w:val="000000" w:themeColor="text1"/>
                <w:highlight w:val="none"/>
              </w:rPr>
              <w:t>黄荆子一般生于山坡、路旁或灌丛中。宜在山坡南侧或小溪两旁阳光充足的地方生长</w:t>
            </w:r>
            <w:r>
              <w:rPr>
                <w:rFonts w:hint="eastAsia"/>
                <w:color w:val="000000" w:themeColor="text1"/>
                <w:highlight w:val="none"/>
              </w:rPr>
              <w:t>。</w:t>
            </w:r>
            <w:r>
              <w:rPr>
                <w:color w:val="000000" w:themeColor="text1"/>
                <w:highlight w:val="none"/>
              </w:rPr>
              <w:t>采用播种、分株繁殖，成活率均高。老树再生能力很强，砍伐后，仍可自行萌发</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蔷薇</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rFonts w:hint="eastAsia"/>
                <w:color w:val="000000" w:themeColor="text1"/>
                <w:highlight w:val="none"/>
              </w:rPr>
              <w:t>Rosa sp</w:t>
            </w:r>
          </w:p>
        </w:tc>
        <w:tc>
          <w:tcPr>
            <w:tcW w:w="5720" w:type="dxa"/>
            <w:tcBorders>
              <w:top w:val="single" w:color="auto" w:sz="4" w:space="0"/>
              <w:left w:val="single" w:color="auto" w:sz="4" w:space="0"/>
              <w:bottom w:val="single" w:color="auto" w:sz="4" w:space="0"/>
              <w:right w:val="single" w:color="auto" w:sz="4" w:space="0"/>
            </w:tcBorders>
            <w:shd w:val="clear" w:color="auto" w:fill="auto"/>
          </w:tcPr>
          <w:p>
            <w:pPr>
              <w:pStyle w:val="63"/>
              <w:ind w:firstLine="420" w:firstLineChars="200"/>
              <w:jc w:val="both"/>
              <w:rPr>
                <w:color w:val="000000" w:themeColor="text1"/>
                <w:highlight w:val="none"/>
              </w:rPr>
            </w:pPr>
            <w:r>
              <w:rPr>
                <w:rFonts w:hint="eastAsia"/>
                <w:color w:val="000000" w:themeColor="text1"/>
                <w:highlight w:val="none"/>
              </w:rPr>
              <w:t>攀援灌木；小枝圆柱形，通常无毛，有短、粗稍弯曲皮束。蔷薇喜欢阳光，亦耐半阴，较耐寒，在中国北方大部分地区都能露地越冬。对土壤要求不严，耐干旱，耐瘠薄，但栽植在土层深厚、疏松、肥沃湿润而又排水通畅的土壤中则生长更好，也可在粘重土壤上正常生长。不耐水湿，忌积水。萌蘖性强，耐修剪，抗污染。花期一般为每年的4-9月，次序开放，可达半年之久，由于温室效应而导致全球变暖，某些地方的蔷薇提早在4月，甚至是3月份便开始开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rFonts w:hint="eastAsia"/>
                <w:color w:val="000000" w:themeColor="text1"/>
                <w:highlight w:val="none"/>
              </w:rPr>
              <w:t>灌丛杜鹃</w:t>
            </w:r>
          </w:p>
        </w:tc>
        <w:tc>
          <w:tcPr>
            <w:tcW w:w="17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3"/>
              <w:rPr>
                <w:color w:val="000000" w:themeColor="text1"/>
                <w:highlight w:val="none"/>
              </w:rPr>
            </w:pPr>
            <w:r>
              <w:rPr>
                <w:color w:val="000000" w:themeColor="text1"/>
                <w:highlight w:val="none"/>
              </w:rPr>
              <w:t>Rhododendrondumicola</w:t>
            </w:r>
            <w:r>
              <w:rPr>
                <w:rFonts w:hint="eastAsia"/>
                <w:color w:val="000000" w:themeColor="text1"/>
                <w:highlight w:val="none"/>
                <w:lang w:val="en-US" w:eastAsia="zh-CN"/>
              </w:rPr>
              <w:t xml:space="preserve"> </w:t>
            </w:r>
            <w:r>
              <w:rPr>
                <w:color w:val="000000" w:themeColor="text1"/>
                <w:highlight w:val="none"/>
              </w:rPr>
              <w:t>Tagget</w:t>
            </w:r>
            <w:r>
              <w:rPr>
                <w:rFonts w:hint="eastAsia"/>
                <w:color w:val="000000" w:themeColor="text1"/>
                <w:highlight w:val="none"/>
                <w:lang w:val="en-US" w:eastAsia="zh-CN"/>
              </w:rPr>
              <w:t xml:space="preserve"> </w:t>
            </w:r>
            <w:r>
              <w:rPr>
                <w:color w:val="000000" w:themeColor="text1"/>
                <w:highlight w:val="none"/>
              </w:rPr>
              <w:t>Forrest</w:t>
            </w:r>
          </w:p>
        </w:tc>
        <w:tc>
          <w:tcPr>
            <w:tcW w:w="5720" w:type="dxa"/>
            <w:tcBorders>
              <w:top w:val="single" w:color="auto" w:sz="4" w:space="0"/>
              <w:left w:val="single" w:color="auto" w:sz="4" w:space="0"/>
              <w:bottom w:val="single" w:color="auto" w:sz="4" w:space="0"/>
              <w:right w:val="single" w:color="auto" w:sz="4" w:space="0"/>
            </w:tcBorders>
            <w:shd w:val="clear" w:color="auto" w:fill="auto"/>
          </w:tcPr>
          <w:p>
            <w:pPr>
              <w:pStyle w:val="63"/>
              <w:ind w:firstLine="420" w:firstLineChars="200"/>
              <w:jc w:val="both"/>
              <w:rPr>
                <w:color w:val="000000" w:themeColor="text1"/>
                <w:highlight w:val="none"/>
              </w:rPr>
            </w:pPr>
            <w:r>
              <w:rPr>
                <w:rFonts w:hint="eastAsia"/>
                <w:color w:val="000000" w:themeColor="text1"/>
                <w:highlight w:val="none"/>
              </w:rPr>
              <w:t>常绿灌木，高1-2.5米；幼枝淡绿色，疏被短柄腺体；老枝灰褐色，无腺亦无毛。叶革质，长圆状椭圆形至倒卵形，上面无毛，略皱，下面密被黄棕色毡毛状毛被。杜鹃花产于高海拔地区，喜凉爽湿润的气候，恶酷热干燥。要求富含腐殖质、疏松、湿润及PH在5.5-6.5之间的酸性土壤。部分种及园艺品种的适应性较强，耐干旱，瘠薄，土壤PH在7-8之间也能生长。但在粘重或通透性差的土壤上，生长不良。杜鹃花对光有一定要求，但不耐曝晒，夏秋应有落叶乔木或荫棚遮挡烈日，并经常以水喷洒地面。杜鹃花抽梢一般在春秋二季，以春梢为主。最适宜的生长温度为15-20℃，3-5月开花，杜鹃花耐修剪。一般在5月前进行修剪，所发新梢，当年均能形成花蕾，过晚则影响开花。</w:t>
            </w:r>
          </w:p>
        </w:tc>
      </w:tr>
    </w:tbl>
    <w:p>
      <w:pPr>
        <w:rPr>
          <w:color w:val="000000" w:themeColor="text1"/>
          <w:highlight w:val="none"/>
        </w:rPr>
      </w:pPr>
      <w:r>
        <w:rPr>
          <w:color w:val="000000" w:themeColor="text1"/>
          <w:highlight w:val="none"/>
        </w:rPr>
        <w:t>本着适地、适树的原则，结合本项目区的特殊自然条件，在充分调查当地乡土树种的基础上，本项目初步确定乔木选择马尾松</w:t>
      </w:r>
      <w:r>
        <w:rPr>
          <w:rFonts w:hint="eastAsia"/>
          <w:color w:val="000000" w:themeColor="text1"/>
          <w:highlight w:val="none"/>
          <w:lang w:eastAsia="zh-CN"/>
        </w:rPr>
        <w:t>（1年生马尾松营养袋（杯）苗）</w:t>
      </w:r>
      <w:r>
        <w:rPr>
          <w:color w:val="000000" w:themeColor="text1"/>
          <w:highlight w:val="none"/>
        </w:rPr>
        <w:t>，</w:t>
      </w:r>
      <w:r>
        <w:rPr>
          <w:rFonts w:hint="eastAsia"/>
          <w:color w:val="000000" w:themeColor="text1"/>
          <w:highlight w:val="none"/>
        </w:rPr>
        <w:t>露天采场边坡选择藤本植物</w:t>
      </w:r>
      <w:r>
        <w:rPr>
          <w:rFonts w:hint="eastAsia"/>
          <w:color w:val="000000" w:themeColor="text1"/>
          <w:highlight w:val="none"/>
          <w:lang w:eastAsia="zh-CN"/>
        </w:rPr>
        <w:t>蔷薇</w:t>
      </w:r>
      <w:r>
        <w:rPr>
          <w:color w:val="000000" w:themeColor="text1"/>
          <w:highlight w:val="none"/>
        </w:rPr>
        <w:t>。</w:t>
      </w:r>
    </w:p>
    <w:p>
      <w:pPr>
        <w:rPr>
          <w:color w:val="000000" w:themeColor="text1"/>
          <w:highlight w:val="none"/>
        </w:rPr>
      </w:pPr>
      <w:r>
        <w:rPr>
          <w:color w:val="000000" w:themeColor="text1"/>
          <w:highlight w:val="none"/>
        </w:rPr>
        <w:t>2、露天采场</w:t>
      </w:r>
      <w:r>
        <w:rPr>
          <w:rFonts w:hint="eastAsia"/>
          <w:color w:val="000000" w:themeColor="text1"/>
          <w:highlight w:val="none"/>
        </w:rPr>
        <w:t>平台</w:t>
      </w:r>
    </w:p>
    <w:p>
      <w:pPr>
        <w:rPr>
          <w:color w:val="000000" w:themeColor="text1"/>
          <w:highlight w:val="none"/>
        </w:rPr>
      </w:pPr>
      <w:r>
        <w:rPr>
          <w:rFonts w:hint="eastAsia" w:ascii="宋体" w:hAnsi="宋体"/>
          <w:color w:val="000000" w:themeColor="text1"/>
          <w:highlight w:val="none"/>
        </w:rPr>
        <w:t>露天采场平台包括露天采场台阶。采场台阶部分复垦为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，复垦面积为</w:t>
      </w:r>
      <w:r>
        <w:rPr>
          <w:rFonts w:hint="eastAsia"/>
          <w:color w:val="000000" w:themeColor="text1"/>
          <w:highlight w:val="none"/>
          <w:lang w:eastAsia="zh-CN"/>
        </w:rPr>
        <w:t>7.6345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w:t>
      </w:r>
    </w:p>
    <w:p>
      <w:pPr>
        <w:rPr>
          <w:color w:val="000000" w:themeColor="text1"/>
          <w:highlight w:val="none"/>
        </w:rPr>
      </w:pPr>
      <w:r>
        <w:rPr>
          <w:rFonts w:hint="eastAsia"/>
          <w:color w:val="000000" w:themeColor="text1"/>
          <w:highlight w:val="none"/>
        </w:rPr>
        <w:t>（1）土壤剥覆工程</w:t>
      </w:r>
    </w:p>
    <w:p>
      <w:pPr>
        <w:rPr>
          <w:color w:val="000000" w:themeColor="text1"/>
          <w:highlight w:val="none"/>
        </w:rPr>
      </w:pPr>
      <w:r>
        <w:rPr>
          <w:color w:val="000000" w:themeColor="text1"/>
          <w:highlight w:val="none"/>
        </w:rPr>
        <w:t>1）表土回覆工程设计</w:t>
      </w:r>
    </w:p>
    <w:p>
      <w:pPr>
        <w:rPr>
          <w:color w:val="000000" w:themeColor="text1"/>
          <w:highlight w:val="none"/>
        </w:rPr>
      </w:pPr>
      <w:r>
        <w:rPr>
          <w:color w:val="000000" w:themeColor="text1"/>
          <w:highlight w:val="none"/>
        </w:rPr>
        <w:t>为节约和减少土源的使用量并能达到复垦质量控制要求，回覆</w:t>
      </w:r>
      <w:r>
        <w:rPr>
          <w:rFonts w:hint="eastAsia"/>
          <w:color w:val="000000" w:themeColor="text1"/>
          <w:highlight w:val="none"/>
        </w:rPr>
        <w:t>30cm</w:t>
      </w:r>
      <w:r>
        <w:rPr>
          <w:rFonts w:hint="eastAsia"/>
          <w:color w:val="000000" w:themeColor="text1"/>
          <w:highlight w:val="none"/>
          <w:lang w:eastAsia="zh-CN"/>
        </w:rPr>
        <w:t>表土</w:t>
      </w:r>
      <w:r>
        <w:rPr>
          <w:color w:val="000000" w:themeColor="text1"/>
          <w:highlight w:val="none"/>
        </w:rPr>
        <w:t>。表土回覆方式采用机械覆土方式，均匀覆土，推土机功率74kw，运距50m内。</w:t>
      </w:r>
    </w:p>
    <w:p>
      <w:pPr>
        <w:rPr>
          <w:color w:val="000000" w:themeColor="text1"/>
          <w:highlight w:val="none"/>
        </w:rPr>
      </w:pPr>
      <w:r>
        <w:rPr>
          <w:rFonts w:hint="eastAsia"/>
          <w:color w:val="000000" w:themeColor="text1"/>
          <w:highlight w:val="none"/>
        </w:rPr>
        <w:t>露天采场上部分台阶及边坡附近复垦为</w:t>
      </w:r>
      <w:r>
        <w:rPr>
          <w:rFonts w:hint="eastAsia"/>
          <w:color w:val="000000" w:themeColor="text1"/>
          <w:highlight w:val="none"/>
          <w:lang w:eastAsia="zh-CN"/>
        </w:rPr>
        <w:t>乔木林地</w:t>
      </w:r>
      <w:r>
        <w:rPr>
          <w:rFonts w:hint="eastAsia"/>
          <w:color w:val="000000" w:themeColor="text1"/>
          <w:highlight w:val="none"/>
        </w:rPr>
        <w:t>，覆土厚度30cm，以满足复垦为</w:t>
      </w:r>
      <w:r>
        <w:rPr>
          <w:rFonts w:hint="eastAsia"/>
          <w:color w:val="000000" w:themeColor="text1"/>
          <w:highlight w:val="none"/>
          <w:lang w:eastAsia="zh-CN"/>
        </w:rPr>
        <w:t>乔木林地</w:t>
      </w:r>
      <w:r>
        <w:rPr>
          <w:rFonts w:hint="eastAsia"/>
          <w:color w:val="000000" w:themeColor="text1"/>
          <w:highlight w:val="none"/>
        </w:rPr>
        <w:t>的条件</w:t>
      </w:r>
      <w:r>
        <w:rPr>
          <w:color w:val="000000" w:themeColor="text1"/>
          <w:highlight w:val="none"/>
        </w:rPr>
        <w:t>。</w:t>
      </w:r>
    </w:p>
    <w:p>
      <w:pPr>
        <w:rPr>
          <w:color w:val="000000" w:themeColor="text1"/>
          <w:highlight w:val="none"/>
        </w:rPr>
      </w:pPr>
      <w:r>
        <w:rPr>
          <w:rFonts w:hint="eastAsia"/>
          <w:color w:val="000000" w:themeColor="text1"/>
          <w:highlight w:val="none"/>
        </w:rPr>
        <w:t>2</w:t>
      </w:r>
      <w:r>
        <w:rPr>
          <w:rFonts w:ascii="宋体" w:hAnsi="宋体"/>
          <w:color w:val="000000" w:themeColor="text1"/>
          <w:highlight w:val="none"/>
        </w:rPr>
        <w:t>）生物化学工程</w:t>
      </w:r>
    </w:p>
    <w:p>
      <w:pPr>
        <w:rPr>
          <w:color w:val="000000" w:themeColor="text1"/>
          <w:highlight w:val="none"/>
        </w:rPr>
      </w:pPr>
      <w:r>
        <w:rPr>
          <w:rFonts w:ascii="宋体" w:hAnsi="宋体"/>
          <w:color w:val="000000" w:themeColor="text1"/>
          <w:highlight w:val="none"/>
        </w:rPr>
        <w:t>复垦后需要对土壤进行培肥改良，</w:t>
      </w:r>
      <w:r>
        <w:rPr>
          <w:rFonts w:hint="eastAsia" w:ascii="宋体" w:hAnsi="宋体"/>
          <w:color w:val="000000" w:themeColor="text1"/>
          <w:highlight w:val="none"/>
        </w:rPr>
        <w:t>对于复垦为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部分按照</w:t>
      </w:r>
      <w:r>
        <w:rPr>
          <w:rFonts w:hint="eastAsia"/>
          <w:color w:val="000000" w:themeColor="text1"/>
          <w:highlight w:val="none"/>
        </w:rPr>
        <w:t>1500</w:t>
      </w:r>
      <w:r>
        <w:rPr>
          <w:color w:val="000000" w:themeColor="text1"/>
          <w:highlight w:val="none"/>
        </w:rPr>
        <w:t>kg/hm</w:t>
      </w:r>
      <w:r>
        <w:rPr>
          <w:color w:val="000000" w:themeColor="text1"/>
          <w:highlight w:val="none"/>
          <w:vertAlign w:val="superscript"/>
        </w:rPr>
        <w:t>2</w:t>
      </w:r>
      <w:r>
        <w:rPr>
          <w:rFonts w:ascii="宋体" w:hAnsi="宋体"/>
          <w:color w:val="000000" w:themeColor="text1"/>
          <w:highlight w:val="none"/>
        </w:rPr>
        <w:t>追施商品有机肥，以增加土壤有机质含量</w:t>
      </w:r>
      <w:r>
        <w:rPr>
          <w:rFonts w:hint="eastAsia" w:ascii="宋体" w:hAnsi="宋体"/>
          <w:color w:val="000000" w:themeColor="text1"/>
          <w:highlight w:val="none"/>
        </w:rPr>
        <w:t>，</w:t>
      </w:r>
      <w:r>
        <w:rPr>
          <w:rFonts w:ascii="宋体" w:hAnsi="宋体"/>
          <w:color w:val="000000" w:themeColor="text1"/>
          <w:highlight w:val="none"/>
        </w:rPr>
        <w:t>连续施肥</w:t>
      </w:r>
      <w:r>
        <w:rPr>
          <w:rFonts w:hint="eastAsia"/>
          <w:color w:val="000000" w:themeColor="text1"/>
          <w:highlight w:val="none"/>
        </w:rPr>
        <w:t>3</w:t>
      </w:r>
      <w:r>
        <w:rPr>
          <w:rFonts w:hint="eastAsia" w:ascii="宋体" w:hAnsi="宋体"/>
          <w:color w:val="000000" w:themeColor="text1"/>
          <w:highlight w:val="none"/>
        </w:rPr>
        <w:t>年</w:t>
      </w:r>
      <w:r>
        <w:rPr>
          <w:rFonts w:ascii="宋体" w:hAnsi="宋体"/>
          <w:color w:val="000000" w:themeColor="text1"/>
          <w:highlight w:val="none"/>
        </w:rPr>
        <w:t>。</w:t>
      </w:r>
    </w:p>
    <w:p>
      <w:pPr>
        <w:pStyle w:val="20"/>
        <w:autoSpaceDE w:val="0"/>
        <w:spacing w:after="0" w:line="360" w:lineRule="auto"/>
        <w:ind w:left="0" w:leftChars="0"/>
        <w:rPr>
          <w:color w:val="000000" w:themeColor="text1"/>
          <w:highlight w:val="none"/>
        </w:rPr>
      </w:pPr>
      <w:r>
        <w:rPr>
          <w:rFonts w:hint="eastAsia" w:ascii="宋体" w:hAnsi="宋体"/>
          <w:color w:val="000000" w:themeColor="text1"/>
          <w:highlight w:val="none"/>
        </w:rPr>
        <w:t>（</w:t>
      </w:r>
      <w:r>
        <w:rPr>
          <w:rFonts w:hint="eastAsia"/>
          <w:color w:val="000000" w:themeColor="text1"/>
          <w:highlight w:val="none"/>
        </w:rPr>
        <w:t>2</w:t>
      </w:r>
      <w:r>
        <w:rPr>
          <w:rFonts w:hint="eastAsia" w:ascii="宋体" w:hAnsi="宋体"/>
          <w:color w:val="000000" w:themeColor="text1"/>
          <w:highlight w:val="none"/>
        </w:rPr>
        <w:t>）植被重建工程</w:t>
      </w:r>
    </w:p>
    <w:p>
      <w:pPr>
        <w:rPr>
          <w:color w:val="000000" w:themeColor="text1"/>
          <w:highlight w:val="none"/>
        </w:rPr>
      </w:pPr>
      <w:r>
        <w:rPr>
          <w:rFonts w:hint="eastAsia" w:ascii="宋体" w:hAnsi="宋体"/>
          <w:color w:val="000000" w:themeColor="text1"/>
          <w:highlight w:val="none"/>
        </w:rPr>
        <w:t>露天采场</w:t>
      </w:r>
      <w:r>
        <w:rPr>
          <w:rFonts w:hint="eastAsia"/>
          <w:color w:val="000000" w:themeColor="text1"/>
          <w:highlight w:val="none"/>
        </w:rPr>
        <w:t>上部</w:t>
      </w:r>
      <w:r>
        <w:rPr>
          <w:rFonts w:hint="eastAsia" w:ascii="宋体" w:hAnsi="宋体"/>
          <w:color w:val="000000" w:themeColor="text1"/>
          <w:highlight w:val="none"/>
        </w:rPr>
        <w:t>台阶部分复垦为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采用穴植，圆柱形坑穴，规格为0.6×0.6m（直径×深度）</w:t>
      </w:r>
      <w:r>
        <w:rPr>
          <w:rFonts w:hint="eastAsia" w:ascii="宋体" w:hAnsi="宋体"/>
          <w:color w:val="000000" w:themeColor="text1"/>
          <w:highlight w:val="none"/>
          <w:lang w:eastAsia="zh-CN"/>
        </w:rPr>
        <w:t>，</w:t>
      </w:r>
      <w:r>
        <w:rPr>
          <w:rFonts w:hint="eastAsia" w:ascii="宋体" w:hAnsi="宋体"/>
          <w:color w:val="000000" w:themeColor="text1"/>
          <w:highlight w:val="none"/>
        </w:rPr>
        <w:t>复垦面积为</w:t>
      </w:r>
      <w:r>
        <w:rPr>
          <w:rFonts w:hint="eastAsia"/>
          <w:color w:val="000000" w:themeColor="text1"/>
          <w:highlight w:val="none"/>
          <w:lang w:eastAsia="zh-CN"/>
        </w:rPr>
        <w:t>7.6345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，按</w:t>
      </w:r>
      <w:r>
        <w:rPr>
          <w:rFonts w:hint="eastAsia"/>
          <w:color w:val="000000" w:themeColor="text1"/>
          <w:highlight w:val="none"/>
        </w:rPr>
        <w:t>2500</w:t>
      </w:r>
      <w:r>
        <w:rPr>
          <w:rFonts w:hint="eastAsia" w:ascii="宋体" w:hAnsi="宋体"/>
          <w:color w:val="000000" w:themeColor="text1"/>
          <w:highlight w:val="none"/>
        </w:rPr>
        <w:t>株</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种植马尾松</w:t>
      </w:r>
      <w:r>
        <w:rPr>
          <w:rFonts w:hint="eastAsia"/>
          <w:color w:val="000000" w:themeColor="text1"/>
          <w:highlight w:val="none"/>
          <w:lang w:eastAsia="zh-CN"/>
        </w:rPr>
        <w:t>（1年生马尾松营养袋（杯）苗）</w:t>
      </w:r>
      <w:r>
        <w:rPr>
          <w:rFonts w:hint="eastAsia" w:ascii="宋体" w:hAnsi="宋体"/>
          <w:color w:val="000000" w:themeColor="text1"/>
          <w:highlight w:val="none"/>
        </w:rPr>
        <w:t>。</w:t>
      </w:r>
    </w:p>
    <w:p>
      <w:pPr>
        <w:rPr>
          <w:color w:val="000000" w:themeColor="text1"/>
          <w:highlight w:val="none"/>
        </w:rPr>
      </w:pPr>
      <w:r>
        <w:rPr>
          <w:color w:val="000000" w:themeColor="text1"/>
          <w:highlight w:val="none"/>
        </w:rPr>
        <w:t>3、</w:t>
      </w:r>
      <w:r>
        <w:rPr>
          <w:rFonts w:hint="eastAsia"/>
          <w:color w:val="000000" w:themeColor="text1"/>
          <w:highlight w:val="none"/>
        </w:rPr>
        <w:t>露天采场边坡</w:t>
      </w:r>
    </w:p>
    <w:p>
      <w:pPr>
        <w:rPr>
          <w:color w:val="000000" w:themeColor="text1"/>
          <w:highlight w:val="none"/>
        </w:rPr>
      </w:pPr>
      <w:r>
        <w:rPr>
          <w:rFonts w:ascii="宋体" w:hAnsi="宋体"/>
          <w:color w:val="000000" w:themeColor="text1"/>
          <w:highlight w:val="none"/>
        </w:rPr>
        <w:t>（</w:t>
      </w:r>
      <w:r>
        <w:rPr>
          <w:rFonts w:hint="eastAsia"/>
          <w:color w:val="000000" w:themeColor="text1"/>
          <w:highlight w:val="none"/>
        </w:rPr>
        <w:t>1</w:t>
      </w:r>
      <w:r>
        <w:rPr>
          <w:rFonts w:ascii="宋体" w:hAnsi="宋体"/>
          <w:color w:val="000000" w:themeColor="text1"/>
          <w:highlight w:val="none"/>
        </w:rPr>
        <w:t>）土壤重构工程</w:t>
      </w:r>
    </w:p>
    <w:p>
      <w:pPr>
        <w:rPr>
          <w:color w:val="000000" w:themeColor="text1"/>
          <w:highlight w:val="none"/>
        </w:rPr>
      </w:pPr>
      <w:r>
        <w:rPr>
          <w:rFonts w:hint="eastAsia"/>
          <w:color w:val="000000" w:themeColor="text1"/>
          <w:highlight w:val="none"/>
        </w:rPr>
        <w:t>1</w:t>
      </w:r>
      <w:r>
        <w:rPr>
          <w:rFonts w:ascii="宋体" w:hAnsi="宋体"/>
          <w:color w:val="000000" w:themeColor="text1"/>
          <w:highlight w:val="none"/>
        </w:rPr>
        <w:t>）覆土工程</w:t>
      </w:r>
    </w:p>
    <w:p>
      <w:pPr>
        <w:rPr>
          <w:color w:val="000000" w:themeColor="text1"/>
          <w:highlight w:val="none"/>
        </w:rPr>
      </w:pPr>
      <w:r>
        <w:rPr>
          <w:rFonts w:hint="eastAsia" w:ascii="宋体" w:hAnsi="宋体"/>
          <w:color w:val="000000" w:themeColor="text1"/>
          <w:highlight w:val="none"/>
        </w:rPr>
        <w:t>采场边坡复垦为</w:t>
      </w:r>
      <w:r>
        <w:rPr>
          <w:rFonts w:hint="eastAsia" w:ascii="宋体" w:hAnsi="宋体"/>
          <w:color w:val="000000" w:themeColor="text1"/>
          <w:highlight w:val="none"/>
          <w:lang w:eastAsia="zh-CN"/>
        </w:rPr>
        <w:t>其他草地</w:t>
      </w:r>
      <w:r>
        <w:rPr>
          <w:rFonts w:hint="eastAsia" w:ascii="宋体" w:hAnsi="宋体"/>
          <w:color w:val="000000" w:themeColor="text1"/>
          <w:highlight w:val="none"/>
        </w:rPr>
        <w:t>，复垦面积</w:t>
      </w:r>
      <w:r>
        <w:rPr>
          <w:rFonts w:hint="eastAsia"/>
          <w:color w:val="000000" w:themeColor="text1"/>
          <w:highlight w:val="none"/>
          <w:lang w:eastAsia="zh-CN"/>
        </w:rPr>
        <w:t>1.3434</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，因边坡坡度较大，不进行覆土</w:t>
      </w:r>
      <w:r>
        <w:rPr>
          <w:rFonts w:ascii="宋体" w:hAnsi="宋体"/>
          <w:color w:val="000000" w:themeColor="text1"/>
          <w:highlight w:val="none"/>
        </w:rPr>
        <w:t>。</w:t>
      </w:r>
    </w:p>
    <w:p>
      <w:pPr>
        <w:rPr>
          <w:color w:val="000000" w:themeColor="text1"/>
          <w:highlight w:val="none"/>
        </w:rPr>
      </w:pPr>
      <w:r>
        <w:rPr>
          <w:rFonts w:ascii="宋体" w:hAnsi="宋体"/>
          <w:color w:val="000000" w:themeColor="text1"/>
          <w:highlight w:val="none"/>
        </w:rPr>
        <w:t>（</w:t>
      </w:r>
      <w:r>
        <w:rPr>
          <w:rFonts w:hint="eastAsia"/>
          <w:color w:val="000000" w:themeColor="text1"/>
          <w:highlight w:val="none"/>
        </w:rPr>
        <w:t>2</w:t>
      </w:r>
      <w:r>
        <w:rPr>
          <w:rFonts w:ascii="宋体" w:hAnsi="宋体"/>
          <w:color w:val="000000" w:themeColor="text1"/>
          <w:highlight w:val="none"/>
        </w:rPr>
        <w:t>）植被重建工程</w:t>
      </w:r>
    </w:p>
    <w:p>
      <w:pPr>
        <w:rPr>
          <w:rFonts w:ascii="宋体" w:hAnsi="宋体"/>
          <w:color w:val="000000" w:themeColor="text1"/>
          <w:highlight w:val="none"/>
        </w:rPr>
      </w:pPr>
      <w:r>
        <w:rPr>
          <w:rFonts w:hint="eastAsia" w:ascii="宋体" w:hAnsi="宋体"/>
          <w:color w:val="000000" w:themeColor="text1"/>
          <w:highlight w:val="none"/>
        </w:rPr>
        <w:t>露天采场边坡</w:t>
      </w:r>
      <w:r>
        <w:rPr>
          <w:rFonts w:ascii="宋体" w:hAnsi="宋体"/>
          <w:color w:val="000000" w:themeColor="text1"/>
          <w:highlight w:val="none"/>
        </w:rPr>
        <w:t>复垦为</w:t>
      </w:r>
      <w:r>
        <w:rPr>
          <w:rFonts w:hint="eastAsia" w:ascii="宋体" w:hAnsi="宋体"/>
          <w:color w:val="000000" w:themeColor="text1"/>
          <w:highlight w:val="none"/>
          <w:lang w:eastAsia="zh-CN"/>
        </w:rPr>
        <w:t>其他草地</w:t>
      </w:r>
      <w:r>
        <w:rPr>
          <w:rFonts w:hint="eastAsia" w:ascii="宋体" w:hAnsi="宋体"/>
          <w:color w:val="000000" w:themeColor="text1"/>
          <w:highlight w:val="none"/>
        </w:rPr>
        <w:t>后</w:t>
      </w:r>
      <w:r>
        <w:rPr>
          <w:rFonts w:ascii="宋体" w:hAnsi="宋体"/>
          <w:color w:val="000000" w:themeColor="text1"/>
          <w:highlight w:val="none"/>
        </w:rPr>
        <w:t>，</w:t>
      </w:r>
      <w:r>
        <w:rPr>
          <w:rFonts w:hint="eastAsia" w:ascii="宋体" w:hAnsi="宋体"/>
          <w:color w:val="000000" w:themeColor="text1"/>
          <w:highlight w:val="none"/>
        </w:rPr>
        <w:t>种植</w:t>
      </w:r>
      <w:r>
        <w:rPr>
          <w:rFonts w:hint="eastAsia" w:ascii="宋体" w:hAnsi="宋体"/>
          <w:color w:val="000000" w:themeColor="text1"/>
          <w:highlight w:val="none"/>
          <w:lang w:eastAsia="zh-CN"/>
        </w:rPr>
        <w:t>蔷薇</w:t>
      </w:r>
      <w:r>
        <w:rPr>
          <w:rFonts w:hint="eastAsia" w:ascii="宋体" w:hAnsi="宋体"/>
          <w:color w:val="000000" w:themeColor="text1"/>
          <w:highlight w:val="none"/>
        </w:rPr>
        <w:t>，为提高成活率，选择</w:t>
      </w:r>
      <w:r>
        <w:rPr>
          <w:rFonts w:hint="eastAsia"/>
          <w:color w:val="000000" w:themeColor="text1"/>
          <w:highlight w:val="none"/>
        </w:rPr>
        <w:t>1</w:t>
      </w:r>
      <w:r>
        <w:rPr>
          <w:rFonts w:hint="eastAsia" w:ascii="宋体" w:hAnsi="宋体"/>
          <w:color w:val="000000" w:themeColor="text1"/>
          <w:highlight w:val="none"/>
        </w:rPr>
        <w:t>年生幼苗，栽种间距为</w:t>
      </w:r>
      <w:r>
        <w:rPr>
          <w:rFonts w:hint="eastAsia"/>
          <w:color w:val="000000" w:themeColor="text1"/>
          <w:highlight w:val="none"/>
        </w:rPr>
        <w:t>1.0m/</w:t>
      </w:r>
      <w:r>
        <w:rPr>
          <w:rFonts w:hint="eastAsia" w:ascii="宋体" w:hAnsi="宋体"/>
          <w:color w:val="000000" w:themeColor="text1"/>
          <w:highlight w:val="none"/>
        </w:rPr>
        <w:t>株。</w:t>
      </w:r>
    </w:p>
    <w:p>
      <w:pPr>
        <w:rPr>
          <w:rFonts w:hint="eastAsia" w:eastAsia="宋体"/>
          <w:color w:val="000000" w:themeColor="text1"/>
          <w:highlight w:val="none"/>
          <w:lang w:eastAsia="zh-CN"/>
        </w:rPr>
      </w:pPr>
      <w:r>
        <w:rPr>
          <w:rFonts w:hint="eastAsia"/>
          <w:color w:val="000000" w:themeColor="text1"/>
          <w:highlight w:val="none"/>
          <w:lang w:val="en-US" w:eastAsia="zh-CN"/>
        </w:rPr>
        <w:t>4</w:t>
      </w:r>
      <w:r>
        <w:rPr>
          <w:color w:val="000000" w:themeColor="text1"/>
          <w:highlight w:val="none"/>
        </w:rPr>
        <w:t>、</w:t>
      </w:r>
      <w:r>
        <w:rPr>
          <w:rFonts w:hint="eastAsia"/>
          <w:color w:val="000000" w:themeColor="text1"/>
          <w:highlight w:val="none"/>
          <w:lang w:eastAsia="zh-CN"/>
        </w:rPr>
        <w:t>矿山公路</w:t>
      </w:r>
    </w:p>
    <w:p>
      <w:pPr>
        <w:rPr>
          <w:color w:val="000000" w:themeColor="text1"/>
          <w:highlight w:val="none"/>
        </w:rPr>
      </w:pPr>
      <w:r>
        <w:rPr>
          <w:color w:val="000000" w:themeColor="text1"/>
          <w:highlight w:val="none"/>
        </w:rPr>
        <w:t>1）表土回覆工程设计</w:t>
      </w:r>
    </w:p>
    <w:p>
      <w:pPr>
        <w:rPr>
          <w:color w:val="000000" w:themeColor="text1"/>
          <w:highlight w:val="none"/>
        </w:rPr>
      </w:pPr>
      <w:r>
        <w:rPr>
          <w:color w:val="000000" w:themeColor="text1"/>
          <w:highlight w:val="none"/>
        </w:rPr>
        <w:t>为节约和减少土源的使用量并能达到复垦质量控制要求，回覆</w:t>
      </w:r>
      <w:r>
        <w:rPr>
          <w:rFonts w:hint="eastAsia"/>
          <w:color w:val="000000" w:themeColor="text1"/>
          <w:highlight w:val="none"/>
        </w:rPr>
        <w:t>30cm</w:t>
      </w:r>
      <w:r>
        <w:rPr>
          <w:rFonts w:hint="eastAsia"/>
          <w:color w:val="000000" w:themeColor="text1"/>
          <w:highlight w:val="none"/>
          <w:lang w:eastAsia="zh-CN"/>
        </w:rPr>
        <w:t>表土</w:t>
      </w:r>
      <w:r>
        <w:rPr>
          <w:color w:val="000000" w:themeColor="text1"/>
          <w:highlight w:val="none"/>
        </w:rPr>
        <w:t>。表土回覆方式采用机械覆土方式，均匀覆土，推土机功率74kw，运距50m内。</w:t>
      </w:r>
    </w:p>
    <w:p>
      <w:pPr>
        <w:rPr>
          <w:color w:val="000000" w:themeColor="text1"/>
          <w:highlight w:val="none"/>
        </w:rPr>
      </w:pPr>
      <w:r>
        <w:rPr>
          <w:rFonts w:hint="eastAsia"/>
          <w:color w:val="000000" w:themeColor="text1"/>
          <w:highlight w:val="none"/>
          <w:lang w:eastAsia="zh-CN"/>
        </w:rPr>
        <w:t>矿山公路</w:t>
      </w:r>
      <w:r>
        <w:rPr>
          <w:rFonts w:hint="eastAsia"/>
          <w:color w:val="000000" w:themeColor="text1"/>
          <w:highlight w:val="none"/>
        </w:rPr>
        <w:t>附近复垦为</w:t>
      </w:r>
      <w:r>
        <w:rPr>
          <w:rFonts w:hint="eastAsia"/>
          <w:color w:val="000000" w:themeColor="text1"/>
          <w:highlight w:val="none"/>
          <w:lang w:eastAsia="zh-CN"/>
        </w:rPr>
        <w:t>乔木林地</w:t>
      </w:r>
      <w:r>
        <w:rPr>
          <w:rFonts w:hint="eastAsia"/>
          <w:color w:val="000000" w:themeColor="text1"/>
          <w:highlight w:val="none"/>
        </w:rPr>
        <w:t>，覆土厚度30cm，以满足复垦为</w:t>
      </w:r>
      <w:r>
        <w:rPr>
          <w:rFonts w:hint="eastAsia"/>
          <w:color w:val="000000" w:themeColor="text1"/>
          <w:highlight w:val="none"/>
          <w:lang w:eastAsia="zh-CN"/>
        </w:rPr>
        <w:t>乔木林地</w:t>
      </w:r>
      <w:r>
        <w:rPr>
          <w:rFonts w:hint="eastAsia"/>
          <w:color w:val="000000" w:themeColor="text1"/>
          <w:highlight w:val="none"/>
        </w:rPr>
        <w:t>的条件</w:t>
      </w:r>
      <w:r>
        <w:rPr>
          <w:color w:val="000000" w:themeColor="text1"/>
          <w:highlight w:val="none"/>
        </w:rPr>
        <w:t>。</w:t>
      </w:r>
    </w:p>
    <w:p>
      <w:pPr>
        <w:rPr>
          <w:color w:val="000000" w:themeColor="text1"/>
          <w:highlight w:val="none"/>
        </w:rPr>
      </w:pPr>
      <w:r>
        <w:rPr>
          <w:rFonts w:hint="eastAsia"/>
          <w:color w:val="000000" w:themeColor="text1"/>
          <w:highlight w:val="none"/>
        </w:rPr>
        <w:t>2</w:t>
      </w:r>
      <w:r>
        <w:rPr>
          <w:rFonts w:ascii="宋体" w:hAnsi="宋体"/>
          <w:color w:val="000000" w:themeColor="text1"/>
          <w:highlight w:val="none"/>
        </w:rPr>
        <w:t>）生物化学工程</w:t>
      </w:r>
    </w:p>
    <w:p>
      <w:pPr>
        <w:rPr>
          <w:color w:val="000000" w:themeColor="text1"/>
          <w:highlight w:val="none"/>
        </w:rPr>
      </w:pPr>
      <w:r>
        <w:rPr>
          <w:rFonts w:ascii="宋体" w:hAnsi="宋体"/>
          <w:color w:val="000000" w:themeColor="text1"/>
          <w:highlight w:val="none"/>
        </w:rPr>
        <w:t>复垦后需要对土壤进行培肥改良，</w:t>
      </w:r>
      <w:r>
        <w:rPr>
          <w:rFonts w:hint="eastAsia" w:ascii="宋体" w:hAnsi="宋体"/>
          <w:color w:val="000000" w:themeColor="text1"/>
          <w:highlight w:val="none"/>
        </w:rPr>
        <w:t>对于复垦为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部分按照</w:t>
      </w:r>
      <w:r>
        <w:rPr>
          <w:rFonts w:hint="eastAsia"/>
          <w:color w:val="000000" w:themeColor="text1"/>
          <w:highlight w:val="none"/>
        </w:rPr>
        <w:t>1500</w:t>
      </w:r>
      <w:r>
        <w:rPr>
          <w:color w:val="000000" w:themeColor="text1"/>
          <w:highlight w:val="none"/>
        </w:rPr>
        <w:t>kg/hm</w:t>
      </w:r>
      <w:r>
        <w:rPr>
          <w:color w:val="000000" w:themeColor="text1"/>
          <w:highlight w:val="none"/>
          <w:vertAlign w:val="superscript"/>
        </w:rPr>
        <w:t>2</w:t>
      </w:r>
      <w:r>
        <w:rPr>
          <w:rFonts w:ascii="宋体" w:hAnsi="宋体"/>
          <w:color w:val="000000" w:themeColor="text1"/>
          <w:highlight w:val="none"/>
        </w:rPr>
        <w:t>追施商品有机肥，以增加土壤有机质含量</w:t>
      </w:r>
      <w:r>
        <w:rPr>
          <w:rFonts w:hint="eastAsia" w:ascii="宋体" w:hAnsi="宋体"/>
          <w:color w:val="000000" w:themeColor="text1"/>
          <w:highlight w:val="none"/>
        </w:rPr>
        <w:t>，</w:t>
      </w:r>
      <w:r>
        <w:rPr>
          <w:rFonts w:ascii="宋体" w:hAnsi="宋体"/>
          <w:color w:val="000000" w:themeColor="text1"/>
          <w:highlight w:val="none"/>
        </w:rPr>
        <w:t>连续施肥</w:t>
      </w:r>
      <w:r>
        <w:rPr>
          <w:rFonts w:hint="eastAsia"/>
          <w:color w:val="000000" w:themeColor="text1"/>
          <w:highlight w:val="none"/>
        </w:rPr>
        <w:t>3</w:t>
      </w:r>
      <w:r>
        <w:rPr>
          <w:rFonts w:hint="eastAsia" w:ascii="宋体" w:hAnsi="宋体"/>
          <w:color w:val="000000" w:themeColor="text1"/>
          <w:highlight w:val="none"/>
        </w:rPr>
        <w:t>年</w:t>
      </w:r>
      <w:r>
        <w:rPr>
          <w:rFonts w:ascii="宋体" w:hAnsi="宋体"/>
          <w:color w:val="000000" w:themeColor="text1"/>
          <w:highlight w:val="none"/>
        </w:rPr>
        <w:t>。</w:t>
      </w:r>
    </w:p>
    <w:p>
      <w:pPr>
        <w:pStyle w:val="20"/>
        <w:autoSpaceDE w:val="0"/>
        <w:spacing w:after="0" w:line="360" w:lineRule="auto"/>
        <w:ind w:left="0" w:leftChars="0"/>
        <w:rPr>
          <w:color w:val="000000" w:themeColor="text1"/>
          <w:highlight w:val="none"/>
        </w:rPr>
      </w:pPr>
      <w:r>
        <w:rPr>
          <w:rFonts w:hint="eastAsia" w:ascii="宋体" w:hAnsi="宋体"/>
          <w:color w:val="000000" w:themeColor="text1"/>
          <w:highlight w:val="none"/>
        </w:rPr>
        <w:t>（</w:t>
      </w:r>
      <w:r>
        <w:rPr>
          <w:rFonts w:hint="eastAsia"/>
          <w:color w:val="000000" w:themeColor="text1"/>
          <w:highlight w:val="none"/>
        </w:rPr>
        <w:t>2</w:t>
      </w:r>
      <w:r>
        <w:rPr>
          <w:rFonts w:hint="eastAsia" w:ascii="宋体" w:hAnsi="宋体"/>
          <w:color w:val="000000" w:themeColor="text1"/>
          <w:highlight w:val="none"/>
        </w:rPr>
        <w:t>）植被重建工程</w:t>
      </w:r>
    </w:p>
    <w:p>
      <w:pPr>
        <w:rPr>
          <w:color w:val="000000" w:themeColor="text1"/>
          <w:highlight w:val="none"/>
          <w:lang w:val="en-GB"/>
        </w:rPr>
      </w:pPr>
      <w:r>
        <w:rPr>
          <w:rFonts w:hint="eastAsia"/>
          <w:color w:val="000000" w:themeColor="text1"/>
          <w:highlight w:val="none"/>
          <w:lang w:eastAsia="zh-CN"/>
        </w:rPr>
        <w:t>矿山公路</w:t>
      </w:r>
      <w:r>
        <w:rPr>
          <w:rFonts w:hint="eastAsia" w:ascii="宋体" w:hAnsi="宋体"/>
          <w:color w:val="000000" w:themeColor="text1"/>
          <w:highlight w:val="none"/>
        </w:rPr>
        <w:t>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采用穴植，圆柱形坑穴，规格为0.6×0.6m（直径×深度）</w:t>
      </w:r>
      <w:r>
        <w:rPr>
          <w:rFonts w:hint="eastAsia" w:ascii="宋体" w:hAnsi="宋体"/>
          <w:color w:val="000000" w:themeColor="text1"/>
          <w:highlight w:val="none"/>
          <w:lang w:eastAsia="zh-CN"/>
        </w:rPr>
        <w:t>，</w:t>
      </w:r>
      <w:r>
        <w:rPr>
          <w:rFonts w:hint="eastAsia" w:ascii="宋体" w:hAnsi="宋体"/>
          <w:color w:val="000000" w:themeColor="text1"/>
          <w:highlight w:val="none"/>
        </w:rPr>
        <w:t>复垦面积为</w:t>
      </w:r>
      <w:r>
        <w:rPr>
          <w:rFonts w:hint="eastAsia"/>
          <w:color w:val="000000" w:themeColor="text1"/>
          <w:highlight w:val="none"/>
          <w:lang w:val="en-US"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，按</w:t>
      </w:r>
      <w:r>
        <w:rPr>
          <w:rFonts w:hint="eastAsia"/>
          <w:color w:val="000000" w:themeColor="text1"/>
          <w:highlight w:val="none"/>
        </w:rPr>
        <w:t>2500</w:t>
      </w:r>
      <w:r>
        <w:rPr>
          <w:rFonts w:hint="eastAsia" w:ascii="宋体" w:hAnsi="宋体"/>
          <w:color w:val="000000" w:themeColor="text1"/>
          <w:highlight w:val="none"/>
        </w:rPr>
        <w:t>株</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种植马尾松</w:t>
      </w:r>
      <w:r>
        <w:rPr>
          <w:rFonts w:hint="eastAsia"/>
          <w:color w:val="000000" w:themeColor="text1"/>
          <w:highlight w:val="none"/>
          <w:lang w:eastAsia="zh-CN"/>
        </w:rPr>
        <w:t>（1年生马尾松营养袋（杯）苗）</w:t>
      </w:r>
      <w:r>
        <w:rPr>
          <w:rFonts w:hint="eastAsia"/>
          <w:color w:val="000000" w:themeColor="text1"/>
          <w:highlight w:val="none"/>
        </w:rPr>
        <w:t>。</w:t>
      </w:r>
    </w:p>
    <w:p>
      <w:pPr>
        <w:rPr>
          <w:color w:val="000000" w:themeColor="text1"/>
          <w:highlight w:val="none"/>
        </w:rPr>
      </w:pPr>
      <w:r>
        <w:rPr>
          <w:rFonts w:hint="eastAsia"/>
          <w:color w:val="000000" w:themeColor="text1"/>
          <w:highlight w:val="none"/>
          <w:lang w:val="en-US" w:eastAsia="zh-CN"/>
        </w:rPr>
        <w:t>5、</w:t>
      </w:r>
      <w:r>
        <w:rPr>
          <w:rFonts w:hint="eastAsia"/>
          <w:color w:val="000000" w:themeColor="text1"/>
          <w:highlight w:val="none"/>
        </w:rPr>
        <w:t>表土堆存及养护</w:t>
      </w:r>
    </w:p>
    <w:p>
      <w:pPr>
        <w:rPr>
          <w:color w:val="000000" w:themeColor="text1"/>
          <w:kern w:val="0"/>
          <w:highlight w:val="none"/>
        </w:rPr>
      </w:pPr>
      <w:r>
        <w:rPr>
          <w:color w:val="000000" w:themeColor="text1"/>
          <w:kern w:val="0"/>
          <w:highlight w:val="none"/>
        </w:rPr>
        <w:t>根据本项目复垦区实际情况，本方案拟在</w:t>
      </w:r>
      <w:r>
        <w:rPr>
          <w:rFonts w:hint="eastAsia"/>
          <w:color w:val="000000" w:themeColor="text1"/>
          <w:kern w:val="0"/>
          <w:highlight w:val="none"/>
          <w:lang w:eastAsia="zh-CN"/>
        </w:rPr>
        <w:t>现已开采的露天采场设置一个</w:t>
      </w:r>
      <w:r>
        <w:rPr>
          <w:color w:val="000000" w:themeColor="text1"/>
          <w:kern w:val="0"/>
          <w:highlight w:val="none"/>
        </w:rPr>
        <w:t>堆土区，堆土区堆高</w:t>
      </w:r>
      <w:r>
        <w:rPr>
          <w:rFonts w:hint="eastAsia"/>
          <w:color w:val="000000" w:themeColor="text1"/>
          <w:kern w:val="0"/>
          <w:highlight w:val="none"/>
        </w:rPr>
        <w:t>4~5</w:t>
      </w:r>
      <w:r>
        <w:rPr>
          <w:color w:val="000000" w:themeColor="text1"/>
          <w:kern w:val="0"/>
          <w:highlight w:val="none"/>
        </w:rPr>
        <w:t>m，预计表土堆占地面积</w:t>
      </w:r>
      <w:r>
        <w:rPr>
          <w:rFonts w:hint="eastAsia"/>
          <w:color w:val="000000" w:themeColor="text1"/>
          <w:kern w:val="0"/>
          <w:highlight w:val="none"/>
        </w:rPr>
        <w:t>约</w:t>
      </w:r>
      <w:r>
        <w:rPr>
          <w:rFonts w:hint="eastAsia"/>
          <w:color w:val="000000" w:themeColor="text1"/>
          <w:highlight w:val="none"/>
          <w:lang w:val="en-US" w:eastAsia="zh-CN"/>
        </w:rPr>
        <w:t>0.58</w:t>
      </w:r>
      <w:r>
        <w:rPr>
          <w:color w:val="000000" w:themeColor="text1"/>
          <w:kern w:val="0"/>
          <w:highlight w:val="none"/>
        </w:rPr>
        <w:t>hm</w:t>
      </w:r>
      <w:r>
        <w:rPr>
          <w:color w:val="000000" w:themeColor="text1"/>
          <w:kern w:val="0"/>
          <w:highlight w:val="none"/>
          <w:vertAlign w:val="superscript"/>
        </w:rPr>
        <w:t>2</w:t>
      </w:r>
      <w:r>
        <w:rPr>
          <w:color w:val="000000" w:themeColor="text1"/>
          <w:kern w:val="0"/>
          <w:highlight w:val="none"/>
        </w:rPr>
        <w:t>，</w:t>
      </w:r>
      <w:r>
        <w:rPr>
          <w:rFonts w:hint="eastAsia"/>
          <w:color w:val="000000" w:themeColor="text1"/>
          <w:kern w:val="0"/>
          <w:highlight w:val="none"/>
          <w:lang w:eastAsia="zh-CN"/>
        </w:rPr>
        <w:t>由于矿山边开采边剥离边复垦，同一时间内表土堆场内的最大堆土方量小于</w:t>
      </w:r>
      <w:r>
        <w:rPr>
          <w:rFonts w:hint="eastAsia"/>
          <w:color w:val="000000" w:themeColor="text1"/>
          <w:kern w:val="0"/>
          <w:highlight w:val="none"/>
          <w:lang w:val="en-US" w:eastAsia="zh-CN"/>
        </w:rPr>
        <w:t>2万m</w:t>
      </w:r>
      <w:r>
        <w:rPr>
          <w:rFonts w:hint="eastAsia"/>
          <w:color w:val="000000" w:themeColor="text1"/>
          <w:kern w:val="0"/>
          <w:highlight w:val="none"/>
          <w:vertAlign w:val="superscript"/>
          <w:lang w:val="en-US" w:eastAsia="zh-CN"/>
        </w:rPr>
        <w:t>3</w:t>
      </w:r>
      <w:r>
        <w:rPr>
          <w:color w:val="000000" w:themeColor="text1"/>
          <w:kern w:val="0"/>
          <w:highlight w:val="none"/>
        </w:rPr>
        <w:t>。</w:t>
      </w:r>
    </w:p>
    <w:p>
      <w:pPr>
        <w:rPr>
          <w:rFonts w:hint="eastAsia"/>
          <w:color w:val="000000" w:themeColor="text1"/>
          <w:highlight w:val="none"/>
          <w:lang w:eastAsia="zh-CN"/>
        </w:rPr>
      </w:pPr>
      <w:r>
        <w:rPr>
          <w:rFonts w:hint="eastAsia"/>
          <w:color w:val="000000" w:themeColor="text1"/>
          <w:highlight w:val="none"/>
          <w:lang w:eastAsia="zh-CN"/>
        </w:rPr>
        <w:t>①表土堆场挡土措施</w:t>
      </w:r>
    </w:p>
    <w:p>
      <w:pPr>
        <w:rPr>
          <w:rFonts w:hint="eastAsia" w:eastAsia="宋体"/>
          <w:color w:val="000000" w:themeColor="text1"/>
          <w:highlight w:val="none"/>
          <w:lang w:eastAsia="zh-CN"/>
        </w:rPr>
      </w:pPr>
      <w:r>
        <w:rPr>
          <w:color w:val="000000" w:themeColor="text1"/>
          <w:highlight w:val="none"/>
        </w:rPr>
        <w:t>表土堆存时需注意在堆场周边坡脚修筑拦挡墙，挡土墙均采用</w:t>
      </w:r>
      <w:r>
        <w:rPr>
          <w:rFonts w:hint="eastAsia"/>
          <w:color w:val="000000" w:themeColor="text1"/>
          <w:highlight w:val="none"/>
          <w:lang w:eastAsia="zh-CN"/>
        </w:rPr>
        <w:t>浆砌块石</w:t>
      </w:r>
      <w:r>
        <w:rPr>
          <w:color w:val="000000" w:themeColor="text1"/>
          <w:highlight w:val="none"/>
        </w:rPr>
        <w:t>，挡土墙设计为顶宽</w:t>
      </w:r>
      <w:r>
        <w:rPr>
          <w:rFonts w:hint="eastAsia"/>
          <w:color w:val="000000" w:themeColor="text1"/>
          <w:highlight w:val="none"/>
          <w:lang w:val="en-US" w:eastAsia="zh-CN"/>
        </w:rPr>
        <w:t>0.5</w:t>
      </w:r>
      <w:r>
        <w:rPr>
          <w:color w:val="000000" w:themeColor="text1"/>
          <w:highlight w:val="none"/>
        </w:rPr>
        <w:t>米，底宽</w:t>
      </w:r>
      <w:r>
        <w:rPr>
          <w:rFonts w:hint="eastAsia"/>
          <w:color w:val="000000" w:themeColor="text1"/>
          <w:highlight w:val="none"/>
          <w:lang w:val="en-US" w:eastAsia="zh-CN"/>
        </w:rPr>
        <w:t>1.0</w:t>
      </w:r>
      <w:r>
        <w:rPr>
          <w:color w:val="000000" w:themeColor="text1"/>
          <w:highlight w:val="none"/>
        </w:rPr>
        <w:t>米，净高2.0米，墙背坡比采用直墙，墙体体积为</w:t>
      </w:r>
      <w:r>
        <w:rPr>
          <w:rFonts w:hint="eastAsia"/>
          <w:color w:val="000000" w:themeColor="text1"/>
          <w:highlight w:val="none"/>
          <w:lang w:val="en-US" w:eastAsia="zh-CN"/>
        </w:rPr>
        <w:t>1</w:t>
      </w:r>
      <w:r>
        <w:rPr>
          <w:color w:val="000000" w:themeColor="text1"/>
          <w:highlight w:val="none"/>
        </w:rPr>
        <w:t>.5m</w:t>
      </w:r>
      <w:r>
        <w:rPr>
          <w:color w:val="000000" w:themeColor="text1"/>
          <w:highlight w:val="none"/>
          <w:vertAlign w:val="superscript"/>
        </w:rPr>
        <w:t>3</w:t>
      </w:r>
      <w:r>
        <w:rPr>
          <w:color w:val="000000" w:themeColor="text1"/>
          <w:highlight w:val="none"/>
        </w:rPr>
        <w:t>/m。挡土墙长约</w:t>
      </w:r>
      <w:r>
        <w:rPr>
          <w:rFonts w:hint="eastAsia"/>
          <w:color w:val="000000" w:themeColor="text1"/>
          <w:highlight w:val="none"/>
          <w:lang w:val="en-US" w:eastAsia="zh-CN"/>
        </w:rPr>
        <w:t>110</w:t>
      </w:r>
      <w:r>
        <w:rPr>
          <w:color w:val="000000" w:themeColor="text1"/>
          <w:highlight w:val="none"/>
        </w:rPr>
        <w:t>m，</w:t>
      </w:r>
      <w:r>
        <w:rPr>
          <w:rFonts w:hint="eastAsia"/>
          <w:color w:val="000000" w:themeColor="text1"/>
          <w:highlight w:val="none"/>
          <w:lang w:eastAsia="zh-CN"/>
        </w:rPr>
        <w:t>需要浆砌块石</w:t>
      </w:r>
      <w:r>
        <w:rPr>
          <w:color w:val="000000" w:themeColor="text1"/>
          <w:highlight w:val="none"/>
        </w:rPr>
        <w:t>方量</w:t>
      </w:r>
      <w:r>
        <w:rPr>
          <w:rFonts w:hint="eastAsia"/>
          <w:color w:val="000000" w:themeColor="text1"/>
          <w:highlight w:val="none"/>
          <w:lang w:val="en-US" w:eastAsia="zh-CN"/>
        </w:rPr>
        <w:t>165</w:t>
      </w:r>
      <w:r>
        <w:rPr>
          <w:color w:val="000000" w:themeColor="text1"/>
          <w:highlight w:val="none"/>
        </w:rPr>
        <w:t>m</w:t>
      </w:r>
      <w:r>
        <w:rPr>
          <w:color w:val="000000" w:themeColor="text1"/>
          <w:highlight w:val="none"/>
          <w:vertAlign w:val="superscript"/>
        </w:rPr>
        <w:t>3</w:t>
      </w:r>
      <w:r>
        <w:rPr>
          <w:color w:val="000000" w:themeColor="text1"/>
          <w:highlight w:val="none"/>
        </w:rPr>
        <w:t>。</w:t>
      </w:r>
      <w:r>
        <w:rPr>
          <w:rFonts w:hint="eastAsia"/>
          <w:color w:val="000000" w:themeColor="text1"/>
          <w:highlight w:val="none"/>
          <w:lang w:eastAsia="zh-CN"/>
        </w:rPr>
        <w:t>挡土墙修建时在其内部预留泄水孔。详见附图（挡土墙剖面图）。</w:t>
      </w:r>
    </w:p>
    <w:p>
      <w:pPr>
        <w:pStyle w:val="5"/>
        <w:spacing w:before="82" w:after="82"/>
        <w:rPr>
          <w:color w:val="000000" w:themeColor="text1"/>
          <w:highlight w:val="none"/>
        </w:rPr>
      </w:pPr>
      <w:bookmarkStart w:id="216" w:name="_Toc14266"/>
      <w:bookmarkStart w:id="217" w:name="_Toc27174"/>
      <w:r>
        <w:rPr>
          <w:color w:val="000000" w:themeColor="text1"/>
          <w:highlight w:val="none"/>
        </w:rPr>
        <w:t>5.3.3技术措施</w:t>
      </w:r>
      <w:bookmarkEnd w:id="216"/>
      <w:bookmarkEnd w:id="217"/>
    </w:p>
    <w:p>
      <w:pPr>
        <w:rPr>
          <w:color w:val="000000" w:themeColor="text1"/>
          <w:highlight w:val="none"/>
        </w:rPr>
      </w:pPr>
      <w:r>
        <w:rPr>
          <w:rFonts w:hint="eastAsia"/>
          <w:color w:val="000000" w:themeColor="text1"/>
          <w:highlight w:val="none"/>
        </w:rPr>
        <w:t>1</w:t>
      </w:r>
      <w:r>
        <w:rPr>
          <w:color w:val="000000" w:themeColor="text1"/>
          <w:highlight w:val="none"/>
        </w:rPr>
        <w:t>、露天采场</w:t>
      </w:r>
      <w:r>
        <w:rPr>
          <w:rFonts w:hint="eastAsia"/>
          <w:color w:val="000000" w:themeColor="text1"/>
          <w:highlight w:val="none"/>
        </w:rPr>
        <w:t>平台</w:t>
      </w:r>
    </w:p>
    <w:p>
      <w:pPr>
        <w:rPr>
          <w:color w:val="000000" w:themeColor="text1"/>
          <w:highlight w:val="none"/>
        </w:rPr>
      </w:pPr>
      <w:r>
        <w:rPr>
          <w:color w:val="000000" w:themeColor="text1"/>
          <w:highlight w:val="none"/>
        </w:rPr>
        <w:t>（1）表土回覆工程设计</w:t>
      </w:r>
    </w:p>
    <w:p>
      <w:pPr>
        <w:rPr>
          <w:color w:val="000000" w:themeColor="text1"/>
          <w:highlight w:val="none"/>
        </w:rPr>
      </w:pPr>
      <w:r>
        <w:rPr>
          <w:rFonts w:hint="eastAsia" w:ascii="宋体" w:hAnsi="宋体"/>
          <w:color w:val="000000" w:themeColor="text1"/>
          <w:highlight w:val="none"/>
        </w:rPr>
        <w:t>露天采场上部分台阶复垦为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，复垦林地面积</w:t>
      </w:r>
      <w:r>
        <w:rPr>
          <w:rFonts w:hint="eastAsia"/>
          <w:color w:val="000000" w:themeColor="text1"/>
          <w:highlight w:val="none"/>
          <w:lang w:eastAsia="zh-CN"/>
        </w:rPr>
        <w:t>7.6345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，覆土厚度</w:t>
      </w:r>
      <w:r>
        <w:rPr>
          <w:rFonts w:hint="eastAsia"/>
          <w:color w:val="000000" w:themeColor="text1"/>
          <w:highlight w:val="none"/>
        </w:rPr>
        <w:t>30cm</w:t>
      </w:r>
      <w:r>
        <w:rPr>
          <w:rFonts w:hint="eastAsia" w:ascii="宋体" w:hAnsi="宋体"/>
          <w:color w:val="000000" w:themeColor="text1"/>
          <w:highlight w:val="none"/>
        </w:rPr>
        <w:t>，</w:t>
      </w:r>
      <w:r>
        <w:rPr>
          <w:rFonts w:ascii="宋体" w:hAnsi="宋体"/>
          <w:color w:val="000000" w:themeColor="text1"/>
          <w:highlight w:val="none"/>
        </w:rPr>
        <w:t>表土回覆量</w:t>
      </w:r>
      <w:r>
        <w:rPr>
          <w:rFonts w:hint="eastAsia"/>
          <w:color w:val="000000" w:themeColor="text1"/>
          <w:highlight w:val="none"/>
          <w:lang w:val="en-US" w:eastAsia="zh-CN"/>
        </w:rPr>
        <w:t>22903.5</w:t>
      </w:r>
      <w:r>
        <w:rPr>
          <w:color w:val="000000" w:themeColor="text1"/>
          <w:highlight w:val="none"/>
        </w:rPr>
        <w:t>m</w:t>
      </w:r>
      <w:r>
        <w:rPr>
          <w:color w:val="000000" w:themeColor="text1"/>
          <w:highlight w:val="none"/>
          <w:vertAlign w:val="superscript"/>
        </w:rPr>
        <w:t>3</w:t>
      </w:r>
      <w:r>
        <w:rPr>
          <w:rFonts w:ascii="宋体" w:hAnsi="宋体"/>
          <w:color w:val="000000" w:themeColor="text1"/>
          <w:highlight w:val="none"/>
        </w:rPr>
        <w:t>。</w:t>
      </w:r>
    </w:p>
    <w:p>
      <w:pPr>
        <w:rPr>
          <w:color w:val="000000" w:themeColor="text1"/>
          <w:highlight w:val="none"/>
        </w:rPr>
      </w:pPr>
      <w:r>
        <w:rPr>
          <w:color w:val="000000" w:themeColor="text1"/>
          <w:highlight w:val="none"/>
        </w:rPr>
        <w:t>（</w:t>
      </w:r>
      <w:r>
        <w:rPr>
          <w:rFonts w:hint="eastAsia"/>
          <w:color w:val="000000" w:themeColor="text1"/>
          <w:highlight w:val="none"/>
          <w:lang w:val="en-US" w:eastAsia="zh-CN"/>
        </w:rPr>
        <w:t>2</w:t>
      </w:r>
      <w:r>
        <w:rPr>
          <w:color w:val="000000" w:themeColor="text1"/>
          <w:highlight w:val="none"/>
        </w:rPr>
        <w:t>）生物化学工程</w:t>
      </w:r>
    </w:p>
    <w:p>
      <w:pPr>
        <w:rPr>
          <w:color w:val="000000" w:themeColor="text1"/>
          <w:highlight w:val="none"/>
        </w:rPr>
      </w:pPr>
      <w:r>
        <w:rPr>
          <w:color w:val="000000" w:themeColor="text1"/>
          <w:highlight w:val="none"/>
        </w:rPr>
        <w:t>复垦后需要对土壤进行培肥改良，</w:t>
      </w:r>
      <w:r>
        <w:rPr>
          <w:rFonts w:hint="eastAsia"/>
          <w:color w:val="000000" w:themeColor="text1"/>
          <w:highlight w:val="none"/>
          <w:lang w:eastAsia="zh-CN"/>
        </w:rPr>
        <w:t>乔木林地</w:t>
      </w:r>
      <w:r>
        <w:rPr>
          <w:color w:val="000000" w:themeColor="text1"/>
          <w:highlight w:val="none"/>
        </w:rPr>
        <w:t>按照</w:t>
      </w:r>
      <w:r>
        <w:rPr>
          <w:rFonts w:hint="eastAsia"/>
          <w:color w:val="000000" w:themeColor="text1"/>
          <w:highlight w:val="none"/>
        </w:rPr>
        <w:t>1500kg</w:t>
      </w:r>
      <w:r>
        <w:rPr>
          <w:color w:val="000000" w:themeColor="text1"/>
          <w:highlight w:val="none"/>
        </w:rPr>
        <w:t>/hm</w:t>
      </w:r>
      <w:r>
        <w:rPr>
          <w:color w:val="000000" w:themeColor="text1"/>
          <w:highlight w:val="none"/>
          <w:vertAlign w:val="superscript"/>
        </w:rPr>
        <w:t>2</w:t>
      </w:r>
      <w:r>
        <w:rPr>
          <w:color w:val="000000" w:themeColor="text1"/>
          <w:highlight w:val="none"/>
        </w:rPr>
        <w:t>，追施商品有机肥</w:t>
      </w:r>
      <w:r>
        <w:rPr>
          <w:rFonts w:hint="eastAsia"/>
          <w:color w:val="000000" w:themeColor="text1"/>
          <w:highlight w:val="none"/>
        </w:rPr>
        <w:t>，</w:t>
      </w:r>
      <w:r>
        <w:rPr>
          <w:color w:val="000000" w:themeColor="text1"/>
          <w:highlight w:val="none"/>
        </w:rPr>
        <w:t>连续施肥</w:t>
      </w:r>
      <w:r>
        <w:rPr>
          <w:rFonts w:hint="eastAsia"/>
          <w:color w:val="000000" w:themeColor="text1"/>
          <w:highlight w:val="none"/>
        </w:rPr>
        <w:t>3年</w:t>
      </w:r>
      <w:r>
        <w:rPr>
          <w:color w:val="000000" w:themeColor="text1"/>
          <w:highlight w:val="none"/>
        </w:rPr>
        <w:t>。</w:t>
      </w:r>
    </w:p>
    <w:p>
      <w:pPr>
        <w:rPr>
          <w:color w:val="000000" w:themeColor="text1"/>
          <w:highlight w:val="none"/>
        </w:rPr>
      </w:pPr>
      <w:r>
        <w:rPr>
          <w:rFonts w:hint="eastAsia" w:ascii="宋体" w:hAnsi="宋体"/>
          <w:color w:val="000000" w:themeColor="text1"/>
          <w:highlight w:val="none"/>
        </w:rPr>
        <w:t>（</w:t>
      </w:r>
      <w:r>
        <w:rPr>
          <w:rFonts w:hint="eastAsia"/>
          <w:color w:val="000000" w:themeColor="text1"/>
          <w:highlight w:val="none"/>
        </w:rPr>
        <w:t>4</w:t>
      </w:r>
      <w:r>
        <w:rPr>
          <w:rFonts w:hint="eastAsia" w:ascii="宋体" w:hAnsi="宋体"/>
          <w:color w:val="000000" w:themeColor="text1"/>
          <w:highlight w:val="none"/>
        </w:rPr>
        <w:t>）植被重建工程</w:t>
      </w:r>
    </w:p>
    <w:p>
      <w:pPr>
        <w:rPr>
          <w:rFonts w:hint="default" w:eastAsia="宋体"/>
          <w:color w:val="000000" w:themeColor="text1"/>
          <w:highlight w:val="none"/>
          <w:lang w:val="en-US" w:eastAsia="zh-CN"/>
        </w:rPr>
      </w:pPr>
      <w:r>
        <w:rPr>
          <w:rFonts w:hint="eastAsia" w:ascii="宋体" w:hAnsi="宋体"/>
          <w:color w:val="000000" w:themeColor="text1"/>
          <w:highlight w:val="none"/>
        </w:rPr>
        <w:t>露天采场台阶部分复垦为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，复垦面积为</w:t>
      </w:r>
      <w:r>
        <w:rPr>
          <w:rFonts w:hint="eastAsia"/>
          <w:color w:val="000000" w:themeColor="text1"/>
          <w:highlight w:val="none"/>
          <w:lang w:eastAsia="zh-CN"/>
        </w:rPr>
        <w:t>7.6345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，按</w:t>
      </w:r>
      <w:r>
        <w:rPr>
          <w:rFonts w:hint="eastAsia"/>
          <w:color w:val="000000" w:themeColor="text1"/>
          <w:highlight w:val="none"/>
        </w:rPr>
        <w:t>2500</w:t>
      </w:r>
      <w:r>
        <w:rPr>
          <w:rFonts w:hint="eastAsia" w:ascii="宋体" w:hAnsi="宋体"/>
          <w:color w:val="000000" w:themeColor="text1"/>
          <w:highlight w:val="none"/>
        </w:rPr>
        <w:t>株</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种植马</w:t>
      </w:r>
      <w:r>
        <w:rPr>
          <w:rFonts w:hint="eastAsia"/>
          <w:color w:val="000000" w:themeColor="text1"/>
          <w:highlight w:val="none"/>
        </w:rPr>
        <w:t>尾松。</w:t>
      </w:r>
      <w:r>
        <w:rPr>
          <w:rFonts w:hint="eastAsia"/>
          <w:color w:val="000000" w:themeColor="text1"/>
          <w:highlight w:val="none"/>
          <w:lang w:eastAsia="zh-CN"/>
        </w:rPr>
        <w:t>需种植马尾松</w:t>
      </w:r>
      <w:r>
        <w:rPr>
          <w:rFonts w:hint="eastAsia"/>
          <w:color w:val="000000" w:themeColor="text1"/>
          <w:highlight w:val="none"/>
          <w:lang w:val="en-US" w:eastAsia="zh-CN"/>
        </w:rPr>
        <w:t>19086株。</w:t>
      </w:r>
    </w:p>
    <w:p>
      <w:pPr>
        <w:rPr>
          <w:color w:val="000000" w:themeColor="text1"/>
          <w:highlight w:val="none"/>
        </w:rPr>
      </w:pPr>
      <w:r>
        <w:rPr>
          <w:rFonts w:hint="eastAsia"/>
          <w:color w:val="000000" w:themeColor="text1"/>
          <w:highlight w:val="none"/>
        </w:rPr>
        <w:t>2</w:t>
      </w:r>
      <w:r>
        <w:rPr>
          <w:color w:val="000000" w:themeColor="text1"/>
          <w:highlight w:val="none"/>
        </w:rPr>
        <w:t>、</w:t>
      </w:r>
      <w:r>
        <w:rPr>
          <w:rFonts w:hint="eastAsia"/>
          <w:color w:val="000000" w:themeColor="text1"/>
          <w:highlight w:val="none"/>
        </w:rPr>
        <w:t>露天采场边坡</w:t>
      </w:r>
    </w:p>
    <w:p>
      <w:pPr>
        <w:rPr>
          <w:color w:val="000000" w:themeColor="text1"/>
          <w:highlight w:val="none"/>
        </w:rPr>
      </w:pPr>
      <w:r>
        <w:rPr>
          <w:color w:val="000000" w:themeColor="text1"/>
          <w:highlight w:val="none"/>
        </w:rPr>
        <w:t>（</w:t>
      </w:r>
      <w:r>
        <w:rPr>
          <w:rFonts w:hint="eastAsia"/>
          <w:color w:val="000000" w:themeColor="text1"/>
          <w:highlight w:val="none"/>
        </w:rPr>
        <w:t>1</w:t>
      </w:r>
      <w:r>
        <w:rPr>
          <w:color w:val="000000" w:themeColor="text1"/>
          <w:highlight w:val="none"/>
        </w:rPr>
        <w:t>）土壤重构工程</w:t>
      </w:r>
    </w:p>
    <w:p>
      <w:pPr>
        <w:rPr>
          <w:color w:val="000000" w:themeColor="text1"/>
          <w:highlight w:val="none"/>
        </w:rPr>
      </w:pPr>
      <w:r>
        <w:rPr>
          <w:rFonts w:hint="eastAsia"/>
          <w:color w:val="000000" w:themeColor="text1"/>
          <w:highlight w:val="none"/>
        </w:rPr>
        <w:t>1</w:t>
      </w:r>
      <w:r>
        <w:rPr>
          <w:color w:val="000000" w:themeColor="text1"/>
          <w:highlight w:val="none"/>
        </w:rPr>
        <w:t>）覆土工程</w:t>
      </w:r>
    </w:p>
    <w:p>
      <w:pPr>
        <w:rPr>
          <w:color w:val="000000" w:themeColor="text1"/>
          <w:highlight w:val="none"/>
          <w:lang w:val="en-GB"/>
        </w:rPr>
      </w:pPr>
      <w:r>
        <w:rPr>
          <w:rFonts w:hint="eastAsia"/>
          <w:color w:val="000000" w:themeColor="text1"/>
          <w:highlight w:val="none"/>
        </w:rPr>
        <w:t>复垦为</w:t>
      </w:r>
      <w:r>
        <w:rPr>
          <w:rFonts w:hint="eastAsia"/>
          <w:color w:val="000000" w:themeColor="text1"/>
          <w:highlight w:val="none"/>
          <w:lang w:eastAsia="zh-CN"/>
        </w:rPr>
        <w:t>其他草地</w:t>
      </w:r>
      <w:r>
        <w:rPr>
          <w:rFonts w:hint="eastAsia"/>
          <w:color w:val="000000" w:themeColor="text1"/>
          <w:highlight w:val="none"/>
        </w:rPr>
        <w:t>，种植</w:t>
      </w:r>
      <w:r>
        <w:rPr>
          <w:rFonts w:hint="eastAsia"/>
          <w:color w:val="000000" w:themeColor="text1"/>
          <w:highlight w:val="none"/>
          <w:lang w:eastAsia="zh-CN"/>
        </w:rPr>
        <w:t>蔷薇</w:t>
      </w:r>
      <w:r>
        <w:rPr>
          <w:rFonts w:hint="eastAsia"/>
          <w:color w:val="000000" w:themeColor="text1"/>
          <w:highlight w:val="none"/>
        </w:rPr>
        <w:t>，因边坡坡度较大，不覆土，</w:t>
      </w:r>
      <w:r>
        <w:rPr>
          <w:rFonts w:hint="eastAsia"/>
          <w:color w:val="000000" w:themeColor="text1"/>
          <w:highlight w:val="none"/>
          <w:lang w:eastAsia="zh-CN"/>
        </w:rPr>
        <w:t>蔷薇</w:t>
      </w:r>
      <w:r>
        <w:rPr>
          <w:rFonts w:hint="eastAsia"/>
          <w:color w:val="000000" w:themeColor="text1"/>
          <w:highlight w:val="none"/>
        </w:rPr>
        <w:t>种植在台阶边坡坡底位置，以满足复垦为</w:t>
      </w:r>
      <w:r>
        <w:rPr>
          <w:rFonts w:hint="eastAsia"/>
          <w:color w:val="000000" w:themeColor="text1"/>
          <w:highlight w:val="none"/>
          <w:lang w:eastAsia="zh-CN"/>
        </w:rPr>
        <w:t>其他草地</w:t>
      </w:r>
      <w:r>
        <w:rPr>
          <w:rFonts w:hint="eastAsia"/>
          <w:color w:val="000000" w:themeColor="text1"/>
          <w:highlight w:val="none"/>
        </w:rPr>
        <w:t>的条件</w:t>
      </w:r>
      <w:r>
        <w:rPr>
          <w:color w:val="000000" w:themeColor="text1"/>
          <w:highlight w:val="none"/>
        </w:rPr>
        <w:t>。</w:t>
      </w:r>
    </w:p>
    <w:p>
      <w:pPr>
        <w:rPr>
          <w:color w:val="000000" w:themeColor="text1"/>
          <w:highlight w:val="none"/>
          <w:lang w:val="en-GB"/>
        </w:rPr>
      </w:pPr>
      <w:r>
        <w:rPr>
          <w:color w:val="000000" w:themeColor="text1"/>
          <w:highlight w:val="none"/>
        </w:rPr>
        <w:t>（</w:t>
      </w:r>
      <w:r>
        <w:rPr>
          <w:rFonts w:hint="eastAsia"/>
          <w:color w:val="000000" w:themeColor="text1"/>
          <w:highlight w:val="none"/>
        </w:rPr>
        <w:t>2</w:t>
      </w:r>
      <w:r>
        <w:rPr>
          <w:color w:val="000000" w:themeColor="text1"/>
          <w:highlight w:val="none"/>
        </w:rPr>
        <w:t>）植被重建工程</w:t>
      </w:r>
    </w:p>
    <w:p>
      <w:pPr>
        <w:rPr>
          <w:rFonts w:hint="default" w:eastAsia="宋体"/>
          <w:color w:val="000000" w:themeColor="text1"/>
          <w:highlight w:val="none"/>
          <w:lang w:val="en-US" w:eastAsia="zh-CN"/>
        </w:rPr>
      </w:pPr>
      <w:r>
        <w:rPr>
          <w:rFonts w:hint="eastAsia"/>
          <w:color w:val="000000" w:themeColor="text1"/>
          <w:highlight w:val="none"/>
        </w:rPr>
        <w:t>露天采场边坡</w:t>
      </w:r>
      <w:r>
        <w:rPr>
          <w:color w:val="000000" w:themeColor="text1"/>
          <w:highlight w:val="none"/>
        </w:rPr>
        <w:t>复垦为</w:t>
      </w:r>
      <w:r>
        <w:rPr>
          <w:rFonts w:hint="eastAsia"/>
          <w:color w:val="000000" w:themeColor="text1"/>
          <w:highlight w:val="none"/>
          <w:lang w:eastAsia="zh-CN"/>
        </w:rPr>
        <w:t>其他草地</w:t>
      </w:r>
      <w:r>
        <w:rPr>
          <w:color w:val="000000" w:themeColor="text1"/>
          <w:highlight w:val="none"/>
        </w:rPr>
        <w:t>，</w:t>
      </w:r>
      <w:r>
        <w:rPr>
          <w:rFonts w:hint="eastAsia"/>
          <w:color w:val="000000" w:themeColor="text1"/>
          <w:highlight w:val="none"/>
        </w:rPr>
        <w:t>种植</w:t>
      </w:r>
      <w:r>
        <w:rPr>
          <w:rFonts w:hint="eastAsia"/>
          <w:color w:val="000000" w:themeColor="text1"/>
          <w:highlight w:val="none"/>
          <w:lang w:eastAsia="zh-CN"/>
        </w:rPr>
        <w:t>蔷薇</w:t>
      </w:r>
      <w:r>
        <w:rPr>
          <w:rFonts w:hint="eastAsia"/>
          <w:color w:val="000000" w:themeColor="text1"/>
          <w:highlight w:val="none"/>
        </w:rPr>
        <w:t>，为提高成活率，选择1年生幼苗，栽种间距为1.0m/株。</w:t>
      </w:r>
      <w:r>
        <w:rPr>
          <w:rFonts w:hint="eastAsia"/>
          <w:color w:val="000000" w:themeColor="text1"/>
          <w:highlight w:val="none"/>
          <w:lang w:eastAsia="zh-CN"/>
        </w:rPr>
        <w:t>经测算，台阶边坡线总长约</w:t>
      </w:r>
      <w:r>
        <w:rPr>
          <w:rFonts w:hint="eastAsia"/>
          <w:color w:val="000000" w:themeColor="text1"/>
          <w:highlight w:val="none"/>
          <w:lang w:val="en-US" w:eastAsia="zh-CN"/>
        </w:rPr>
        <w:t>6710m，所需</w:t>
      </w:r>
      <w:r>
        <w:rPr>
          <w:rFonts w:hint="eastAsia"/>
          <w:color w:val="000000" w:themeColor="text1"/>
          <w:highlight w:val="none"/>
          <w:lang w:eastAsia="zh-CN"/>
        </w:rPr>
        <w:t>种植蔷薇</w:t>
      </w:r>
      <w:r>
        <w:rPr>
          <w:rFonts w:hint="eastAsia"/>
          <w:color w:val="000000" w:themeColor="text1"/>
          <w:highlight w:val="none"/>
          <w:lang w:val="en-US" w:eastAsia="zh-CN"/>
        </w:rPr>
        <w:t>6710株.</w:t>
      </w:r>
    </w:p>
    <w:p>
      <w:pPr>
        <w:rPr>
          <w:rFonts w:hint="eastAsia" w:eastAsia="宋体"/>
          <w:color w:val="000000" w:themeColor="text1"/>
          <w:highlight w:val="none"/>
          <w:lang w:eastAsia="zh-CN"/>
        </w:rPr>
      </w:pPr>
      <w:r>
        <w:rPr>
          <w:rFonts w:hint="eastAsia"/>
          <w:color w:val="000000" w:themeColor="text1"/>
          <w:highlight w:val="none"/>
          <w:lang w:val="en-US" w:eastAsia="zh-CN"/>
        </w:rPr>
        <w:t>3</w:t>
      </w:r>
      <w:r>
        <w:rPr>
          <w:color w:val="000000" w:themeColor="text1"/>
          <w:highlight w:val="none"/>
        </w:rPr>
        <w:t>、</w:t>
      </w:r>
      <w:r>
        <w:rPr>
          <w:rFonts w:hint="eastAsia"/>
          <w:color w:val="000000" w:themeColor="text1"/>
          <w:highlight w:val="none"/>
          <w:lang w:eastAsia="zh-CN"/>
        </w:rPr>
        <w:t>矿山公路</w:t>
      </w:r>
    </w:p>
    <w:p>
      <w:pPr>
        <w:rPr>
          <w:color w:val="000000" w:themeColor="text1"/>
          <w:highlight w:val="none"/>
        </w:rPr>
      </w:pPr>
      <w:r>
        <w:rPr>
          <w:rFonts w:hint="eastAsia"/>
          <w:color w:val="000000" w:themeColor="text1"/>
          <w:highlight w:val="none"/>
          <w:lang w:eastAsia="zh-CN"/>
        </w:rPr>
        <w:t>矿山公路</w:t>
      </w:r>
      <w:r>
        <w:rPr>
          <w:rFonts w:hint="eastAsia"/>
          <w:color w:val="000000" w:themeColor="text1"/>
          <w:highlight w:val="none"/>
        </w:rPr>
        <w:t>附近复垦为</w:t>
      </w:r>
      <w:r>
        <w:rPr>
          <w:rFonts w:hint="eastAsia"/>
          <w:color w:val="000000" w:themeColor="text1"/>
          <w:highlight w:val="none"/>
          <w:lang w:eastAsia="zh-CN"/>
        </w:rPr>
        <w:t>乔木林地</w:t>
      </w:r>
      <w:r>
        <w:rPr>
          <w:rFonts w:hint="eastAsia"/>
          <w:color w:val="000000" w:themeColor="text1"/>
          <w:highlight w:val="none"/>
        </w:rPr>
        <w:t>，覆土厚度30cm，</w:t>
      </w:r>
      <w:r>
        <w:rPr>
          <w:rFonts w:hint="eastAsia" w:ascii="宋体" w:hAnsi="宋体"/>
          <w:color w:val="000000" w:themeColor="text1"/>
          <w:highlight w:val="none"/>
        </w:rPr>
        <w:t>复垦面积为</w:t>
      </w:r>
      <w:r>
        <w:rPr>
          <w:rFonts w:hint="eastAsia"/>
          <w:color w:val="000000" w:themeColor="text1"/>
          <w:highlight w:val="none"/>
          <w:lang w:val="en-US"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w:t>
      </w:r>
      <w:r>
        <w:rPr>
          <w:rFonts w:ascii="宋体" w:hAnsi="宋体"/>
          <w:color w:val="000000" w:themeColor="text1"/>
          <w:highlight w:val="none"/>
        </w:rPr>
        <w:t>表土回覆量</w:t>
      </w:r>
      <w:r>
        <w:rPr>
          <w:rFonts w:hint="eastAsia"/>
          <w:color w:val="000000" w:themeColor="text1"/>
          <w:highlight w:val="none"/>
          <w:lang w:val="en-US" w:eastAsia="zh-CN"/>
        </w:rPr>
        <w:t>1639.5</w:t>
      </w:r>
      <w:r>
        <w:rPr>
          <w:color w:val="000000" w:themeColor="text1"/>
          <w:highlight w:val="none"/>
        </w:rPr>
        <w:t>m</w:t>
      </w:r>
      <w:r>
        <w:rPr>
          <w:color w:val="000000" w:themeColor="text1"/>
          <w:highlight w:val="none"/>
          <w:vertAlign w:val="superscript"/>
        </w:rPr>
        <w:t>3</w:t>
      </w:r>
      <w:r>
        <w:rPr>
          <w:rFonts w:ascii="宋体" w:hAnsi="宋体"/>
          <w:color w:val="000000" w:themeColor="text1"/>
          <w:highlight w:val="none"/>
        </w:rPr>
        <w:t>。</w:t>
      </w:r>
    </w:p>
    <w:p>
      <w:pPr>
        <w:rPr>
          <w:color w:val="000000" w:themeColor="text1"/>
          <w:highlight w:val="none"/>
        </w:rPr>
      </w:pPr>
      <w:r>
        <w:rPr>
          <w:rFonts w:hint="eastAsia"/>
          <w:color w:val="000000" w:themeColor="text1"/>
          <w:highlight w:val="none"/>
        </w:rPr>
        <w:t>2</w:t>
      </w:r>
      <w:r>
        <w:rPr>
          <w:rFonts w:ascii="宋体" w:hAnsi="宋体"/>
          <w:color w:val="000000" w:themeColor="text1"/>
          <w:highlight w:val="none"/>
        </w:rPr>
        <w:t>）生物化学工程</w:t>
      </w:r>
    </w:p>
    <w:p>
      <w:pPr>
        <w:rPr>
          <w:color w:val="000000" w:themeColor="text1"/>
          <w:highlight w:val="none"/>
        </w:rPr>
      </w:pPr>
      <w:r>
        <w:rPr>
          <w:rFonts w:ascii="宋体" w:hAnsi="宋体"/>
          <w:color w:val="000000" w:themeColor="text1"/>
          <w:highlight w:val="none"/>
        </w:rPr>
        <w:t>复垦后需要对土壤进行培肥改良，</w:t>
      </w:r>
      <w:r>
        <w:rPr>
          <w:rFonts w:hint="eastAsia" w:ascii="宋体" w:hAnsi="宋体"/>
          <w:color w:val="000000" w:themeColor="text1"/>
          <w:highlight w:val="none"/>
        </w:rPr>
        <w:t>对于复垦为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部分按照</w:t>
      </w:r>
      <w:r>
        <w:rPr>
          <w:rFonts w:hint="eastAsia"/>
          <w:color w:val="000000" w:themeColor="text1"/>
          <w:highlight w:val="none"/>
        </w:rPr>
        <w:t>1500</w:t>
      </w:r>
      <w:r>
        <w:rPr>
          <w:color w:val="000000" w:themeColor="text1"/>
          <w:highlight w:val="none"/>
        </w:rPr>
        <w:t>kg/hm</w:t>
      </w:r>
      <w:r>
        <w:rPr>
          <w:color w:val="000000" w:themeColor="text1"/>
          <w:highlight w:val="none"/>
          <w:vertAlign w:val="superscript"/>
        </w:rPr>
        <w:t>2</w:t>
      </w:r>
      <w:r>
        <w:rPr>
          <w:rFonts w:ascii="宋体" w:hAnsi="宋体"/>
          <w:color w:val="000000" w:themeColor="text1"/>
          <w:highlight w:val="none"/>
        </w:rPr>
        <w:t>追施商品有机肥，以增加土壤有机质含量</w:t>
      </w:r>
      <w:r>
        <w:rPr>
          <w:rFonts w:hint="eastAsia" w:ascii="宋体" w:hAnsi="宋体"/>
          <w:color w:val="000000" w:themeColor="text1"/>
          <w:highlight w:val="none"/>
        </w:rPr>
        <w:t>，</w:t>
      </w:r>
      <w:r>
        <w:rPr>
          <w:rFonts w:ascii="宋体" w:hAnsi="宋体"/>
          <w:color w:val="000000" w:themeColor="text1"/>
          <w:highlight w:val="none"/>
        </w:rPr>
        <w:t>连续施肥</w:t>
      </w:r>
      <w:r>
        <w:rPr>
          <w:rFonts w:hint="eastAsia"/>
          <w:color w:val="000000" w:themeColor="text1"/>
          <w:highlight w:val="none"/>
        </w:rPr>
        <w:t>3</w:t>
      </w:r>
      <w:r>
        <w:rPr>
          <w:rFonts w:hint="eastAsia" w:ascii="宋体" w:hAnsi="宋体"/>
          <w:color w:val="000000" w:themeColor="text1"/>
          <w:highlight w:val="none"/>
        </w:rPr>
        <w:t>年</w:t>
      </w:r>
      <w:r>
        <w:rPr>
          <w:rFonts w:ascii="宋体" w:hAnsi="宋体"/>
          <w:color w:val="000000" w:themeColor="text1"/>
          <w:highlight w:val="none"/>
        </w:rPr>
        <w:t>。</w:t>
      </w:r>
    </w:p>
    <w:p>
      <w:pPr>
        <w:pStyle w:val="20"/>
        <w:autoSpaceDE w:val="0"/>
        <w:spacing w:after="0" w:line="360" w:lineRule="auto"/>
        <w:ind w:left="0" w:leftChars="0"/>
        <w:rPr>
          <w:color w:val="000000" w:themeColor="text1"/>
          <w:highlight w:val="none"/>
        </w:rPr>
      </w:pPr>
      <w:r>
        <w:rPr>
          <w:rFonts w:hint="eastAsia" w:ascii="宋体" w:hAnsi="宋体"/>
          <w:color w:val="000000" w:themeColor="text1"/>
          <w:highlight w:val="none"/>
        </w:rPr>
        <w:t>（</w:t>
      </w:r>
      <w:r>
        <w:rPr>
          <w:rFonts w:hint="eastAsia"/>
          <w:color w:val="000000" w:themeColor="text1"/>
          <w:highlight w:val="none"/>
        </w:rPr>
        <w:t>2</w:t>
      </w:r>
      <w:r>
        <w:rPr>
          <w:rFonts w:hint="eastAsia" w:ascii="宋体" w:hAnsi="宋体"/>
          <w:color w:val="000000" w:themeColor="text1"/>
          <w:highlight w:val="none"/>
        </w:rPr>
        <w:t>）植被重建工程</w:t>
      </w:r>
    </w:p>
    <w:p>
      <w:pPr>
        <w:rPr>
          <w:color w:val="000000" w:themeColor="text1"/>
          <w:highlight w:val="none"/>
          <w:lang w:val="en-GB"/>
        </w:rPr>
      </w:pPr>
      <w:r>
        <w:rPr>
          <w:rFonts w:hint="eastAsia"/>
          <w:color w:val="000000" w:themeColor="text1"/>
          <w:highlight w:val="none"/>
          <w:lang w:eastAsia="zh-CN"/>
        </w:rPr>
        <w:t>矿山公路</w:t>
      </w:r>
      <w:r>
        <w:rPr>
          <w:rFonts w:hint="eastAsia" w:ascii="宋体" w:hAnsi="宋体"/>
          <w:color w:val="000000" w:themeColor="text1"/>
          <w:highlight w:val="none"/>
        </w:rPr>
        <w:t>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采用穴植，圆柱形坑穴，规格为0.6×0.6m（直径×深度）</w:t>
      </w:r>
      <w:r>
        <w:rPr>
          <w:rFonts w:hint="eastAsia" w:ascii="宋体" w:hAnsi="宋体"/>
          <w:color w:val="000000" w:themeColor="text1"/>
          <w:highlight w:val="none"/>
          <w:lang w:eastAsia="zh-CN"/>
        </w:rPr>
        <w:t>，</w:t>
      </w:r>
      <w:r>
        <w:rPr>
          <w:rFonts w:hint="eastAsia" w:ascii="宋体" w:hAnsi="宋体"/>
          <w:color w:val="000000" w:themeColor="text1"/>
          <w:highlight w:val="none"/>
        </w:rPr>
        <w:t>复垦面积为</w:t>
      </w:r>
      <w:r>
        <w:rPr>
          <w:rFonts w:hint="eastAsia"/>
          <w:color w:val="000000" w:themeColor="text1"/>
          <w:highlight w:val="none"/>
          <w:lang w:val="en-US"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，按</w:t>
      </w:r>
      <w:r>
        <w:rPr>
          <w:rFonts w:hint="eastAsia"/>
          <w:color w:val="000000" w:themeColor="text1"/>
          <w:highlight w:val="none"/>
        </w:rPr>
        <w:t>2500</w:t>
      </w:r>
      <w:r>
        <w:rPr>
          <w:rFonts w:hint="eastAsia" w:ascii="宋体" w:hAnsi="宋体"/>
          <w:color w:val="000000" w:themeColor="text1"/>
          <w:highlight w:val="none"/>
        </w:rPr>
        <w:t>株</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种植马尾松</w:t>
      </w:r>
      <w:r>
        <w:rPr>
          <w:rFonts w:hint="eastAsia"/>
          <w:color w:val="000000" w:themeColor="text1"/>
          <w:highlight w:val="none"/>
          <w:lang w:eastAsia="zh-CN"/>
        </w:rPr>
        <w:t>（1年生马尾松营养袋（杯）苗）</w:t>
      </w:r>
      <w:r>
        <w:rPr>
          <w:color w:val="000000" w:themeColor="text1"/>
          <w:highlight w:val="none"/>
        </w:rPr>
        <w:t>。</w:t>
      </w:r>
      <w:r>
        <w:rPr>
          <w:rFonts w:hint="eastAsia"/>
          <w:color w:val="000000" w:themeColor="text1"/>
          <w:highlight w:val="none"/>
          <w:lang w:eastAsia="zh-CN"/>
        </w:rPr>
        <w:t>需种植马尾松</w:t>
      </w:r>
      <w:r>
        <w:rPr>
          <w:rFonts w:hint="eastAsia"/>
          <w:color w:val="000000" w:themeColor="text1"/>
          <w:highlight w:val="none"/>
          <w:lang w:val="en-US" w:eastAsia="zh-CN"/>
        </w:rPr>
        <w:t>1366株。</w:t>
      </w:r>
    </w:p>
    <w:p>
      <w:pPr>
        <w:autoSpaceDE w:val="0"/>
        <w:rPr>
          <w:rFonts w:hint="eastAsia" w:eastAsia="宋体"/>
          <w:color w:val="000000" w:themeColor="text1"/>
          <w:highlight w:val="none"/>
          <w:lang w:eastAsia="zh-CN"/>
        </w:rPr>
      </w:pPr>
      <w:bookmarkStart w:id="218" w:name="_Toc23007"/>
      <w:r>
        <w:rPr>
          <w:rFonts w:hint="eastAsia"/>
          <w:color w:val="000000" w:themeColor="text1"/>
          <w:highlight w:val="none"/>
          <w:lang w:val="en-US" w:eastAsia="zh-CN"/>
        </w:rPr>
        <w:t>4</w:t>
      </w:r>
      <w:r>
        <w:rPr>
          <w:rFonts w:hint="eastAsia" w:ascii="宋体" w:hAnsi="宋体"/>
          <w:color w:val="000000" w:themeColor="text1"/>
          <w:highlight w:val="none"/>
        </w:rPr>
        <w:t>、</w:t>
      </w:r>
      <w:r>
        <w:rPr>
          <w:rFonts w:hint="eastAsia" w:ascii="宋体" w:hAnsi="宋体"/>
          <w:color w:val="000000" w:themeColor="text1"/>
          <w:highlight w:val="none"/>
          <w:lang w:eastAsia="zh-CN"/>
        </w:rPr>
        <w:t>表土堆存</w:t>
      </w:r>
    </w:p>
    <w:p>
      <w:pPr>
        <w:pStyle w:val="20"/>
        <w:autoSpaceDE w:val="0"/>
        <w:spacing w:after="0" w:line="360" w:lineRule="auto"/>
        <w:ind w:left="0" w:leftChars="0"/>
        <w:rPr>
          <w:color w:val="000000" w:themeColor="text1"/>
          <w:highlight w:val="none"/>
        </w:rPr>
      </w:pPr>
      <w:r>
        <w:rPr>
          <w:color w:val="000000" w:themeColor="text1"/>
          <w:highlight w:val="none"/>
        </w:rPr>
        <w:t>表土堆存时需注意在堆场周边坡脚修筑拦挡墙，挡土墙均采用</w:t>
      </w:r>
      <w:r>
        <w:rPr>
          <w:rFonts w:hint="eastAsia"/>
          <w:color w:val="000000" w:themeColor="text1"/>
          <w:highlight w:val="none"/>
          <w:lang w:eastAsia="zh-CN"/>
        </w:rPr>
        <w:t>浆砌块石</w:t>
      </w:r>
      <w:r>
        <w:rPr>
          <w:color w:val="000000" w:themeColor="text1"/>
          <w:highlight w:val="none"/>
        </w:rPr>
        <w:t>，挡土墙设计为顶宽</w:t>
      </w:r>
      <w:r>
        <w:rPr>
          <w:rFonts w:hint="eastAsia"/>
          <w:color w:val="000000" w:themeColor="text1"/>
          <w:highlight w:val="none"/>
          <w:lang w:val="en-US" w:eastAsia="zh-CN"/>
        </w:rPr>
        <w:t>0.5</w:t>
      </w:r>
      <w:r>
        <w:rPr>
          <w:color w:val="000000" w:themeColor="text1"/>
          <w:highlight w:val="none"/>
        </w:rPr>
        <w:t>米，底宽</w:t>
      </w:r>
      <w:r>
        <w:rPr>
          <w:rFonts w:hint="eastAsia"/>
          <w:color w:val="000000" w:themeColor="text1"/>
          <w:highlight w:val="none"/>
          <w:lang w:val="en-US" w:eastAsia="zh-CN"/>
        </w:rPr>
        <w:t>1.0</w:t>
      </w:r>
      <w:r>
        <w:rPr>
          <w:color w:val="000000" w:themeColor="text1"/>
          <w:highlight w:val="none"/>
        </w:rPr>
        <w:t>米，净高2.0米，墙背坡比采用直墙，墙体体积为</w:t>
      </w:r>
      <w:r>
        <w:rPr>
          <w:rFonts w:hint="eastAsia"/>
          <w:color w:val="000000" w:themeColor="text1"/>
          <w:highlight w:val="none"/>
          <w:lang w:val="en-US" w:eastAsia="zh-CN"/>
        </w:rPr>
        <w:t>1</w:t>
      </w:r>
      <w:r>
        <w:rPr>
          <w:color w:val="000000" w:themeColor="text1"/>
          <w:highlight w:val="none"/>
        </w:rPr>
        <w:t>.5m</w:t>
      </w:r>
      <w:r>
        <w:rPr>
          <w:color w:val="000000" w:themeColor="text1"/>
          <w:highlight w:val="none"/>
          <w:vertAlign w:val="superscript"/>
        </w:rPr>
        <w:t>3</w:t>
      </w:r>
      <w:r>
        <w:rPr>
          <w:color w:val="000000" w:themeColor="text1"/>
          <w:highlight w:val="none"/>
        </w:rPr>
        <w:t>/m。挡土墙长约</w:t>
      </w:r>
      <w:r>
        <w:rPr>
          <w:rFonts w:hint="eastAsia"/>
          <w:color w:val="000000" w:themeColor="text1"/>
          <w:highlight w:val="none"/>
          <w:lang w:val="en-US" w:eastAsia="zh-CN"/>
        </w:rPr>
        <w:t>110</w:t>
      </w:r>
      <w:r>
        <w:rPr>
          <w:color w:val="000000" w:themeColor="text1"/>
          <w:highlight w:val="none"/>
        </w:rPr>
        <w:t>m，</w:t>
      </w:r>
      <w:r>
        <w:rPr>
          <w:rFonts w:hint="eastAsia"/>
          <w:color w:val="000000" w:themeColor="text1"/>
          <w:highlight w:val="none"/>
          <w:lang w:eastAsia="zh-CN"/>
        </w:rPr>
        <w:t>需要浆砌块石</w:t>
      </w:r>
      <w:r>
        <w:rPr>
          <w:color w:val="000000" w:themeColor="text1"/>
          <w:highlight w:val="none"/>
        </w:rPr>
        <w:t>方量</w:t>
      </w:r>
      <w:r>
        <w:rPr>
          <w:rFonts w:hint="eastAsia"/>
          <w:color w:val="000000" w:themeColor="text1"/>
          <w:highlight w:val="none"/>
          <w:lang w:val="en-US" w:eastAsia="zh-CN"/>
        </w:rPr>
        <w:t>165</w:t>
      </w:r>
      <w:r>
        <w:rPr>
          <w:color w:val="000000" w:themeColor="text1"/>
          <w:highlight w:val="none"/>
        </w:rPr>
        <w:t>m</w:t>
      </w:r>
      <w:r>
        <w:rPr>
          <w:color w:val="000000" w:themeColor="text1"/>
          <w:highlight w:val="none"/>
          <w:vertAlign w:val="superscript"/>
        </w:rPr>
        <w:t>3</w:t>
      </w:r>
      <w:r>
        <w:rPr>
          <w:color w:val="000000" w:themeColor="text1"/>
          <w:highlight w:val="none"/>
        </w:rPr>
        <w:t>。</w:t>
      </w:r>
    </w:p>
    <w:p>
      <w:pPr>
        <w:pStyle w:val="5"/>
        <w:spacing w:before="82" w:after="82"/>
        <w:rPr>
          <w:color w:val="000000" w:themeColor="text1"/>
          <w:highlight w:val="none"/>
        </w:rPr>
      </w:pPr>
      <w:bookmarkStart w:id="219" w:name="_Toc31429"/>
      <w:r>
        <w:rPr>
          <w:color w:val="000000" w:themeColor="text1"/>
          <w:highlight w:val="none"/>
        </w:rPr>
        <w:t>5.3.4主要工程量</w:t>
      </w:r>
      <w:bookmarkEnd w:id="218"/>
      <w:bookmarkEnd w:id="219"/>
    </w:p>
    <w:p>
      <w:pPr>
        <w:rPr>
          <w:color w:val="000000" w:themeColor="text1"/>
          <w:highlight w:val="none"/>
        </w:rPr>
      </w:pPr>
      <w:r>
        <w:rPr>
          <w:color w:val="000000" w:themeColor="text1"/>
          <w:highlight w:val="none"/>
        </w:rPr>
        <w:t>根据制定的工程技术及生物化学措施，分阶段、分单元对各损毁区域进行复垦，各阶段的复垦工程量如下：</w:t>
      </w:r>
    </w:p>
    <w:p>
      <w:pPr>
        <w:rPr>
          <w:color w:val="000000" w:themeColor="text1"/>
          <w:highlight w:val="none"/>
        </w:rPr>
      </w:pPr>
      <w:r>
        <w:rPr>
          <w:color w:val="000000" w:themeColor="text1"/>
          <w:highlight w:val="none"/>
        </w:rPr>
        <w:t>1、土壤重构工程</w:t>
      </w:r>
    </w:p>
    <w:p>
      <w:pPr>
        <w:rPr>
          <w:color w:val="000000" w:themeColor="text1"/>
          <w:highlight w:val="none"/>
        </w:rPr>
      </w:pPr>
      <w:r>
        <w:rPr>
          <w:color w:val="000000" w:themeColor="text1"/>
          <w:highlight w:val="none"/>
        </w:rPr>
        <w:t>（1）表土剥离</w:t>
      </w:r>
      <w:r>
        <w:rPr>
          <w:color w:val="000000" w:themeColor="text1"/>
          <w:highlight w:val="none"/>
          <w:lang w:bidi="en-US"/>
        </w:rPr>
        <w:t>及回覆工程</w:t>
      </w:r>
    </w:p>
    <w:p>
      <w:pPr>
        <w:rPr>
          <w:color w:val="000000" w:themeColor="text1"/>
          <w:highlight w:val="none"/>
        </w:rPr>
      </w:pPr>
      <w:r>
        <w:rPr>
          <w:color w:val="000000" w:themeColor="text1"/>
          <w:highlight w:val="none"/>
        </w:rPr>
        <w:t>1）</w:t>
      </w:r>
      <w:r>
        <w:rPr>
          <w:rFonts w:hint="eastAsia"/>
          <w:color w:val="000000" w:themeColor="text1"/>
          <w:highlight w:val="none"/>
        </w:rPr>
        <w:t>表土剥离</w:t>
      </w:r>
    </w:p>
    <w:p>
      <w:pPr>
        <w:rPr>
          <w:rFonts w:hint="eastAsia"/>
          <w:color w:val="000000" w:themeColor="text1"/>
          <w:highlight w:val="none"/>
          <w:lang w:eastAsia="zh-CN"/>
        </w:rPr>
      </w:pPr>
      <w:r>
        <w:rPr>
          <w:rFonts w:hint="eastAsia"/>
          <w:color w:val="000000" w:themeColor="text1"/>
          <w:highlight w:val="none"/>
        </w:rPr>
        <w:t>矿山持续开采新增开挖面积</w:t>
      </w:r>
      <w:r>
        <w:rPr>
          <w:rFonts w:hint="eastAsia"/>
          <w:color w:val="000000" w:themeColor="text1"/>
          <w:highlight w:val="none"/>
          <w:lang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，开采过程中进行表土剥离，按照</w:t>
      </w:r>
      <w:r>
        <w:rPr>
          <w:rFonts w:hint="eastAsia"/>
          <w:color w:val="000000" w:themeColor="text1"/>
          <w:highlight w:val="none"/>
          <w:lang w:val="en-US" w:eastAsia="zh-CN"/>
        </w:rPr>
        <w:t>0.72</w:t>
      </w:r>
      <w:r>
        <w:rPr>
          <w:rFonts w:hint="eastAsia"/>
          <w:color w:val="000000" w:themeColor="text1"/>
          <w:highlight w:val="none"/>
        </w:rPr>
        <w:t>m剥离表土</w:t>
      </w:r>
      <w:r>
        <w:rPr>
          <w:rFonts w:hint="eastAsia"/>
          <w:color w:val="000000" w:themeColor="text1"/>
          <w:highlight w:val="none"/>
          <w:lang w:eastAsia="zh-CN"/>
        </w:rPr>
        <w:t>，</w:t>
      </w:r>
      <w:r>
        <w:rPr>
          <w:rFonts w:hint="eastAsia"/>
          <w:color w:val="000000" w:themeColor="text1"/>
          <w:highlight w:val="none"/>
        </w:rPr>
        <w:t>可剥离表土约</w:t>
      </w:r>
      <w:r>
        <w:rPr>
          <w:rFonts w:hint="eastAsia"/>
          <w:color w:val="000000" w:themeColor="text1"/>
          <w:highlight w:val="none"/>
          <w:lang w:val="en-US" w:eastAsia="zh-CN"/>
        </w:rPr>
        <w:t>24711</w:t>
      </w:r>
      <w:r>
        <w:rPr>
          <w:rFonts w:hint="eastAsia"/>
          <w:color w:val="000000" w:themeColor="text1"/>
          <w:highlight w:val="none"/>
        </w:rPr>
        <w:t>m</w:t>
      </w:r>
      <w:r>
        <w:rPr>
          <w:rFonts w:hint="eastAsia"/>
          <w:color w:val="000000" w:themeColor="text1"/>
          <w:highlight w:val="none"/>
          <w:vertAlign w:val="superscript"/>
        </w:rPr>
        <w:t>3</w:t>
      </w:r>
      <w:r>
        <w:rPr>
          <w:rFonts w:hint="eastAsia"/>
          <w:color w:val="000000" w:themeColor="text1"/>
          <w:highlight w:val="none"/>
          <w:lang w:eastAsia="zh-CN"/>
        </w:rPr>
        <w:t>。</w:t>
      </w:r>
    </w:p>
    <w:p>
      <w:pPr>
        <w:autoSpaceDE w:val="0"/>
        <w:rPr>
          <w:rFonts w:hint="eastAsia" w:eastAsia="宋体"/>
          <w:color w:val="000000" w:themeColor="text1"/>
          <w:highlight w:val="none"/>
          <w:lang w:eastAsia="zh-CN"/>
        </w:rPr>
      </w:pPr>
      <w:r>
        <w:rPr>
          <w:rFonts w:hint="eastAsia"/>
          <w:color w:val="000000" w:themeColor="text1"/>
          <w:highlight w:val="none"/>
          <w:lang w:val="en-US" w:eastAsia="zh-CN"/>
        </w:rPr>
        <w:t>2）</w:t>
      </w:r>
      <w:r>
        <w:rPr>
          <w:rFonts w:hint="eastAsia" w:ascii="宋体" w:hAnsi="宋体"/>
          <w:color w:val="000000" w:themeColor="text1"/>
          <w:highlight w:val="none"/>
          <w:lang w:eastAsia="zh-CN"/>
        </w:rPr>
        <w:t>表土堆存</w:t>
      </w:r>
    </w:p>
    <w:p>
      <w:pPr>
        <w:rPr>
          <w:color w:val="000000" w:themeColor="text1"/>
          <w:highlight w:val="none"/>
        </w:rPr>
      </w:pPr>
      <w:r>
        <w:rPr>
          <w:color w:val="000000" w:themeColor="text1"/>
          <w:highlight w:val="none"/>
        </w:rPr>
        <w:t>表土堆存时需注意在堆场周边坡脚修筑拦挡墙，挡土墙均采用</w:t>
      </w:r>
      <w:r>
        <w:rPr>
          <w:rFonts w:hint="eastAsia"/>
          <w:color w:val="000000" w:themeColor="text1"/>
          <w:highlight w:val="none"/>
          <w:lang w:eastAsia="zh-CN"/>
        </w:rPr>
        <w:t>浆砌块石</w:t>
      </w:r>
      <w:r>
        <w:rPr>
          <w:color w:val="000000" w:themeColor="text1"/>
          <w:highlight w:val="none"/>
        </w:rPr>
        <w:t>，挡土墙设计为顶宽</w:t>
      </w:r>
      <w:r>
        <w:rPr>
          <w:rFonts w:hint="eastAsia"/>
          <w:color w:val="000000" w:themeColor="text1"/>
          <w:highlight w:val="none"/>
          <w:lang w:val="en-US" w:eastAsia="zh-CN"/>
        </w:rPr>
        <w:t>0.5</w:t>
      </w:r>
      <w:r>
        <w:rPr>
          <w:color w:val="000000" w:themeColor="text1"/>
          <w:highlight w:val="none"/>
        </w:rPr>
        <w:t>米，底宽</w:t>
      </w:r>
      <w:r>
        <w:rPr>
          <w:rFonts w:hint="eastAsia"/>
          <w:color w:val="000000" w:themeColor="text1"/>
          <w:highlight w:val="none"/>
          <w:lang w:val="en-US" w:eastAsia="zh-CN"/>
        </w:rPr>
        <w:t>1.0</w:t>
      </w:r>
      <w:r>
        <w:rPr>
          <w:color w:val="000000" w:themeColor="text1"/>
          <w:highlight w:val="none"/>
        </w:rPr>
        <w:t>米，净高2.0米，墙背坡比采用直墙，墙体体积为</w:t>
      </w:r>
      <w:r>
        <w:rPr>
          <w:rFonts w:hint="eastAsia"/>
          <w:color w:val="000000" w:themeColor="text1"/>
          <w:highlight w:val="none"/>
          <w:lang w:val="en-US" w:eastAsia="zh-CN"/>
        </w:rPr>
        <w:t>1</w:t>
      </w:r>
      <w:r>
        <w:rPr>
          <w:color w:val="000000" w:themeColor="text1"/>
          <w:highlight w:val="none"/>
        </w:rPr>
        <w:t>.5m</w:t>
      </w:r>
      <w:r>
        <w:rPr>
          <w:color w:val="000000" w:themeColor="text1"/>
          <w:highlight w:val="none"/>
          <w:vertAlign w:val="superscript"/>
        </w:rPr>
        <w:t>3</w:t>
      </w:r>
      <w:r>
        <w:rPr>
          <w:color w:val="000000" w:themeColor="text1"/>
          <w:highlight w:val="none"/>
        </w:rPr>
        <w:t>/m。挡土墙长约</w:t>
      </w:r>
      <w:r>
        <w:rPr>
          <w:rFonts w:hint="eastAsia"/>
          <w:color w:val="000000" w:themeColor="text1"/>
          <w:highlight w:val="none"/>
          <w:lang w:val="en-US" w:eastAsia="zh-CN"/>
        </w:rPr>
        <w:t>110</w:t>
      </w:r>
      <w:r>
        <w:rPr>
          <w:color w:val="000000" w:themeColor="text1"/>
          <w:highlight w:val="none"/>
        </w:rPr>
        <w:t>m，</w:t>
      </w:r>
      <w:r>
        <w:rPr>
          <w:rFonts w:hint="eastAsia"/>
          <w:color w:val="000000" w:themeColor="text1"/>
          <w:highlight w:val="none"/>
          <w:lang w:eastAsia="zh-CN"/>
        </w:rPr>
        <w:t>需要浆砌块石</w:t>
      </w:r>
      <w:r>
        <w:rPr>
          <w:color w:val="000000" w:themeColor="text1"/>
          <w:highlight w:val="none"/>
        </w:rPr>
        <w:t>方量</w:t>
      </w:r>
      <w:r>
        <w:rPr>
          <w:rFonts w:hint="eastAsia"/>
          <w:color w:val="000000" w:themeColor="text1"/>
          <w:highlight w:val="none"/>
          <w:lang w:val="en-US" w:eastAsia="zh-CN"/>
        </w:rPr>
        <w:t>165</w:t>
      </w:r>
      <w:r>
        <w:rPr>
          <w:color w:val="000000" w:themeColor="text1"/>
          <w:highlight w:val="none"/>
        </w:rPr>
        <w:t>m</w:t>
      </w:r>
      <w:r>
        <w:rPr>
          <w:color w:val="000000" w:themeColor="text1"/>
          <w:highlight w:val="none"/>
          <w:vertAlign w:val="superscript"/>
        </w:rPr>
        <w:t>3</w:t>
      </w:r>
      <w:r>
        <w:rPr>
          <w:color w:val="000000" w:themeColor="text1"/>
          <w:highlight w:val="none"/>
        </w:rPr>
        <w:t>。</w:t>
      </w:r>
    </w:p>
    <w:p>
      <w:pPr>
        <w:rPr>
          <w:color w:val="000000" w:themeColor="text1"/>
          <w:highlight w:val="none"/>
          <w:lang w:bidi="en-US"/>
        </w:rPr>
      </w:pPr>
      <w:r>
        <w:rPr>
          <w:rFonts w:hint="eastAsia"/>
          <w:color w:val="000000" w:themeColor="text1"/>
          <w:highlight w:val="none"/>
          <w:lang w:val="en-US" w:eastAsia="zh-CN" w:bidi="en-US"/>
        </w:rPr>
        <w:t>3</w:t>
      </w:r>
      <w:r>
        <w:rPr>
          <w:color w:val="000000" w:themeColor="text1"/>
          <w:highlight w:val="none"/>
          <w:lang w:bidi="en-US"/>
        </w:rPr>
        <w:t>）表土回覆</w:t>
      </w:r>
    </w:p>
    <w:p>
      <w:pPr>
        <w:rPr>
          <w:color w:val="000000" w:themeColor="text1"/>
          <w:highlight w:val="none"/>
        </w:rPr>
      </w:pPr>
      <w:r>
        <w:rPr>
          <w:color w:val="000000" w:themeColor="text1"/>
          <w:highlight w:val="none"/>
        </w:rPr>
        <w:t>表土回覆方量</w:t>
      </w:r>
      <w:r>
        <w:rPr>
          <w:rFonts w:hint="eastAsia"/>
          <w:color w:val="000000" w:themeColor="text1"/>
          <w:highlight w:val="none"/>
          <w:lang w:val="en-US" w:eastAsia="zh-CN"/>
        </w:rPr>
        <w:t>24711</w:t>
      </w:r>
      <w:r>
        <w:rPr>
          <w:color w:val="000000" w:themeColor="text1"/>
          <w:highlight w:val="none"/>
        </w:rPr>
        <w:t>m</w:t>
      </w:r>
      <w:r>
        <w:rPr>
          <w:color w:val="000000" w:themeColor="text1"/>
          <w:highlight w:val="none"/>
          <w:vertAlign w:val="superscript"/>
        </w:rPr>
        <w:t>3</w:t>
      </w:r>
      <w:r>
        <w:rPr>
          <w:color w:val="000000" w:themeColor="text1"/>
          <w:highlight w:val="none"/>
        </w:rPr>
        <w:t>。</w:t>
      </w:r>
    </w:p>
    <w:p>
      <w:pPr>
        <w:rPr>
          <w:color w:val="000000" w:themeColor="text1"/>
          <w:highlight w:val="none"/>
        </w:rPr>
      </w:pPr>
      <w:r>
        <w:rPr>
          <w:color w:val="000000" w:themeColor="text1"/>
          <w:highlight w:val="none"/>
        </w:rPr>
        <w:t>（2）生物化学工程</w:t>
      </w:r>
    </w:p>
    <w:p>
      <w:pPr>
        <w:rPr>
          <w:color w:val="000000" w:themeColor="text1"/>
          <w:highlight w:val="none"/>
        </w:rPr>
      </w:pPr>
      <w:r>
        <w:rPr>
          <w:rFonts w:ascii="宋体" w:hAnsi="宋体"/>
          <w:color w:val="000000" w:themeColor="text1"/>
          <w:highlight w:val="none"/>
        </w:rPr>
        <w:t>林地培肥</w:t>
      </w:r>
      <w:r>
        <w:rPr>
          <w:rFonts w:hint="eastAsia"/>
          <w:color w:val="000000" w:themeColor="text1"/>
          <w:highlight w:val="none"/>
          <w:lang w:val="en-US" w:eastAsia="zh-CN"/>
        </w:rPr>
        <w:t>8.179</w:t>
      </w:r>
      <w:r>
        <w:rPr>
          <w:color w:val="000000" w:themeColor="text1"/>
          <w:highlight w:val="none"/>
        </w:rPr>
        <w:t>hm</w:t>
      </w:r>
      <w:r>
        <w:rPr>
          <w:color w:val="000000" w:themeColor="text1"/>
          <w:highlight w:val="none"/>
          <w:vertAlign w:val="superscript"/>
        </w:rPr>
        <w:t>2</w:t>
      </w:r>
      <w:r>
        <w:rPr>
          <w:rFonts w:hint="eastAsia" w:ascii="宋体" w:hAnsi="宋体"/>
          <w:color w:val="000000" w:themeColor="text1"/>
          <w:highlight w:val="none"/>
        </w:rPr>
        <w:t>均连续培肥</w:t>
      </w:r>
      <w:r>
        <w:rPr>
          <w:rFonts w:hint="eastAsia"/>
          <w:color w:val="000000" w:themeColor="text1"/>
          <w:highlight w:val="none"/>
        </w:rPr>
        <w:t>3</w:t>
      </w:r>
      <w:r>
        <w:rPr>
          <w:rFonts w:hint="eastAsia" w:ascii="宋体" w:hAnsi="宋体"/>
          <w:color w:val="000000" w:themeColor="text1"/>
          <w:highlight w:val="none"/>
        </w:rPr>
        <w:t>年，所以林地培肥量共计</w:t>
      </w:r>
      <w:r>
        <w:rPr>
          <w:rFonts w:hint="eastAsia"/>
          <w:color w:val="000000" w:themeColor="text1"/>
          <w:highlight w:val="none"/>
          <w:lang w:eastAsia="zh-CN"/>
        </w:rPr>
        <w:t>8.179</w:t>
      </w:r>
      <w:r>
        <w:rPr>
          <w:rFonts w:hint="eastAsia"/>
          <w:color w:val="000000" w:themeColor="text1"/>
          <w:highlight w:val="none"/>
          <w:lang w:val="en-US" w:eastAsia="zh-CN"/>
        </w:rPr>
        <w:t>×</w:t>
      </w:r>
      <w:r>
        <w:rPr>
          <w:rFonts w:hint="eastAsia"/>
          <w:color w:val="000000" w:themeColor="text1"/>
          <w:highlight w:val="none"/>
        </w:rPr>
        <w:t>3</w:t>
      </w:r>
      <w:r>
        <w:rPr>
          <w:color w:val="000000" w:themeColor="text1"/>
          <w:highlight w:val="none"/>
        </w:rPr>
        <w:t>hm</w:t>
      </w:r>
      <w:r>
        <w:rPr>
          <w:color w:val="000000" w:themeColor="text1"/>
          <w:highlight w:val="none"/>
          <w:vertAlign w:val="superscript"/>
        </w:rPr>
        <w:t>2</w:t>
      </w:r>
      <w:r>
        <w:rPr>
          <w:rFonts w:hint="eastAsia" w:ascii="宋体" w:hAnsi="宋体"/>
          <w:color w:val="000000" w:themeColor="text1"/>
          <w:highlight w:val="none"/>
        </w:rPr>
        <w:t>。</w:t>
      </w:r>
    </w:p>
    <w:p>
      <w:pPr>
        <w:rPr>
          <w:color w:val="000000" w:themeColor="text1"/>
          <w:highlight w:val="none"/>
          <w:lang w:bidi="en-US"/>
        </w:rPr>
      </w:pPr>
      <w:r>
        <w:rPr>
          <w:color w:val="000000" w:themeColor="text1"/>
          <w:highlight w:val="none"/>
          <w:lang w:bidi="en-US"/>
        </w:rPr>
        <w:t>2、植被重建工程</w:t>
      </w:r>
    </w:p>
    <w:p>
      <w:pPr>
        <w:rPr>
          <w:rFonts w:hint="default" w:ascii="Times New Roman" w:hAnsi="Times New Roman" w:cs="Times New Roman"/>
          <w:color w:val="000000" w:themeColor="text1"/>
          <w:highlight w:val="none"/>
          <w:lang w:val="en-US" w:eastAsia="zh-CN"/>
        </w:rPr>
      </w:pPr>
      <w:r>
        <w:rPr>
          <w:rFonts w:hint="eastAsia" w:ascii="宋体" w:hAnsi="宋体"/>
          <w:color w:val="000000" w:themeColor="text1"/>
          <w:highlight w:val="none"/>
        </w:rPr>
        <w:t>对于复垦为</w:t>
      </w:r>
      <w:r>
        <w:rPr>
          <w:rFonts w:hint="eastAsia" w:ascii="宋体" w:hAnsi="宋体"/>
          <w:color w:val="000000" w:themeColor="text1"/>
          <w:highlight w:val="none"/>
          <w:lang w:eastAsia="zh-CN"/>
        </w:rPr>
        <w:t>乔木林地</w:t>
      </w:r>
      <w:r>
        <w:rPr>
          <w:rFonts w:hint="eastAsia" w:ascii="宋体" w:hAnsi="宋体"/>
          <w:color w:val="000000" w:themeColor="text1"/>
          <w:highlight w:val="none"/>
        </w:rPr>
        <w:t>部分种植马尾松，其</w:t>
      </w:r>
      <w:r>
        <w:rPr>
          <w:rFonts w:ascii="宋体" w:hAnsi="宋体"/>
          <w:color w:val="000000" w:themeColor="text1"/>
          <w:highlight w:val="none"/>
        </w:rPr>
        <w:t>种植株行距</w:t>
      </w:r>
      <w:r>
        <w:rPr>
          <w:rFonts w:hint="eastAsia"/>
          <w:color w:val="000000" w:themeColor="text1"/>
          <w:highlight w:val="none"/>
        </w:rPr>
        <w:t>2</w:t>
      </w:r>
      <w:r>
        <w:rPr>
          <w:color w:val="000000" w:themeColor="text1"/>
          <w:highlight w:val="none"/>
        </w:rPr>
        <w:t>.0×</w:t>
      </w:r>
      <w:r>
        <w:rPr>
          <w:rFonts w:hint="eastAsia"/>
          <w:color w:val="000000" w:themeColor="text1"/>
          <w:highlight w:val="none"/>
        </w:rPr>
        <w:t>2</w:t>
      </w:r>
      <w:r>
        <w:rPr>
          <w:color w:val="000000" w:themeColor="text1"/>
          <w:highlight w:val="none"/>
        </w:rPr>
        <w:t>.0m</w:t>
      </w:r>
      <w:r>
        <w:rPr>
          <w:rFonts w:hint="eastAsia" w:ascii="宋体" w:hAnsi="宋体"/>
          <w:color w:val="000000" w:themeColor="text1"/>
          <w:highlight w:val="none"/>
        </w:rPr>
        <w:t>即</w:t>
      </w:r>
      <w:r>
        <w:rPr>
          <w:rFonts w:ascii="宋体" w:hAnsi="宋体"/>
          <w:color w:val="000000" w:themeColor="text1"/>
          <w:highlight w:val="none"/>
        </w:rPr>
        <w:t>种植密度</w:t>
      </w:r>
      <w:r>
        <w:rPr>
          <w:rFonts w:hint="eastAsia" w:ascii="Times New Roman" w:hAnsi="Times New Roman" w:cs="Times New Roman"/>
          <w:color w:val="000000" w:themeColor="text1"/>
          <w:highlight w:val="none"/>
          <w:lang w:eastAsia="zh-CN"/>
        </w:rPr>
        <w:t>2500株/hm</w:t>
      </w:r>
      <w:r>
        <w:rPr>
          <w:rFonts w:hint="eastAsia" w:ascii="Times New Roman" w:hAnsi="Times New Roman" w:cs="Times New Roman"/>
          <w:color w:val="000000" w:themeColor="text1"/>
          <w:highlight w:val="none"/>
          <w:vertAlign w:val="superscript"/>
          <w:lang w:eastAsia="zh-CN"/>
        </w:rPr>
        <w:t>2</w:t>
      </w:r>
      <w:r>
        <w:rPr>
          <w:rFonts w:hint="eastAsia" w:ascii="Times New Roman" w:hAnsi="Times New Roman" w:cs="Times New Roman"/>
          <w:color w:val="000000" w:themeColor="text1"/>
          <w:highlight w:val="none"/>
          <w:lang w:eastAsia="zh-CN"/>
        </w:rPr>
        <w:t>，面积</w:t>
      </w:r>
      <w:r>
        <w:rPr>
          <w:rFonts w:hint="eastAsia"/>
          <w:color w:val="000000" w:themeColor="text1"/>
          <w:highlight w:val="none"/>
          <w:lang w:val="en-US" w:eastAsia="zh-CN"/>
        </w:rPr>
        <w:t>8.179</w:t>
      </w:r>
      <w:r>
        <w:rPr>
          <w:rFonts w:hint="eastAsia" w:ascii="Times New Roman" w:hAnsi="Times New Roman" w:cs="Times New Roman"/>
          <w:color w:val="000000" w:themeColor="text1"/>
          <w:highlight w:val="none"/>
          <w:lang w:eastAsia="zh-CN"/>
        </w:rPr>
        <w:t>hm</w:t>
      </w:r>
      <w:r>
        <w:rPr>
          <w:rFonts w:hint="eastAsia" w:ascii="Times New Roman" w:hAnsi="Times New Roman" w:cs="Times New Roman"/>
          <w:color w:val="000000" w:themeColor="text1"/>
          <w:highlight w:val="none"/>
          <w:vertAlign w:val="superscript"/>
          <w:lang w:eastAsia="zh-CN"/>
        </w:rPr>
        <w:t>2</w:t>
      </w:r>
      <w:r>
        <w:rPr>
          <w:rFonts w:hint="eastAsia" w:ascii="Times New Roman" w:hAnsi="Times New Roman" w:cs="Times New Roman"/>
          <w:color w:val="000000" w:themeColor="text1"/>
          <w:highlight w:val="none"/>
          <w:lang w:eastAsia="zh-CN"/>
        </w:rPr>
        <w:t>，总计</w:t>
      </w:r>
      <w:r>
        <w:rPr>
          <w:rFonts w:hint="eastAsia" w:cs="Times New Roman"/>
          <w:color w:val="000000" w:themeColor="text1"/>
          <w:highlight w:val="none"/>
          <w:lang w:val="en-US" w:eastAsia="zh-CN"/>
        </w:rPr>
        <w:t>20452</w:t>
      </w:r>
      <w:r>
        <w:rPr>
          <w:rFonts w:hint="eastAsia" w:ascii="Times New Roman" w:hAnsi="Times New Roman" w:cs="Times New Roman"/>
          <w:color w:val="000000" w:themeColor="text1"/>
          <w:highlight w:val="none"/>
          <w:lang w:eastAsia="zh-CN"/>
        </w:rPr>
        <w:t>株；需预留苗木补植，建设马尾松苗木数量在原有基础上增加5</w:t>
      </w:r>
      <w:r>
        <w:rPr>
          <w:rFonts w:hint="eastAsia" w:ascii="Times New Roman" w:hAnsi="Times New Roman" w:cs="Times New Roman"/>
          <w:color w:val="000000" w:themeColor="text1"/>
          <w:highlight w:val="none"/>
          <w:lang w:val="en-US" w:eastAsia="zh-CN"/>
        </w:rPr>
        <w:t>%</w:t>
      </w:r>
      <w:r>
        <w:rPr>
          <w:rFonts w:hint="eastAsia" w:ascii="Times New Roman" w:hAnsi="Times New Roman" w:cs="Times New Roman"/>
          <w:color w:val="000000" w:themeColor="text1"/>
          <w:highlight w:val="none"/>
          <w:lang w:eastAsia="zh-CN"/>
        </w:rPr>
        <w:t>-10%，本次设计预留约</w:t>
      </w:r>
      <w:r>
        <w:rPr>
          <w:rFonts w:hint="eastAsia" w:cs="Times New Roman"/>
          <w:color w:val="000000" w:themeColor="text1"/>
          <w:highlight w:val="none"/>
          <w:lang w:val="en-US" w:eastAsia="zh-CN"/>
        </w:rPr>
        <w:t>1600</w:t>
      </w:r>
      <w:r>
        <w:rPr>
          <w:rFonts w:hint="eastAsia" w:ascii="Times New Roman" w:hAnsi="Times New Roman" w:cs="Times New Roman"/>
          <w:color w:val="000000" w:themeColor="text1"/>
          <w:highlight w:val="none"/>
          <w:lang w:val="en-US" w:eastAsia="zh-CN"/>
        </w:rPr>
        <w:t>株</w:t>
      </w:r>
      <w:r>
        <w:rPr>
          <w:rFonts w:hint="eastAsia" w:ascii="Times New Roman" w:hAnsi="Times New Roman" w:cs="Times New Roman"/>
          <w:color w:val="000000" w:themeColor="text1"/>
          <w:highlight w:val="none"/>
          <w:lang w:eastAsia="zh-CN"/>
        </w:rPr>
        <w:t>。故总计需要马尾松树苗</w:t>
      </w:r>
      <w:r>
        <w:rPr>
          <w:rFonts w:hint="eastAsia" w:cs="Times New Roman"/>
          <w:color w:val="000000" w:themeColor="text1"/>
          <w:highlight w:val="none"/>
          <w:lang w:val="en-US" w:eastAsia="zh-CN"/>
        </w:rPr>
        <w:t>22052</w:t>
      </w:r>
      <w:r>
        <w:rPr>
          <w:rFonts w:hint="eastAsia" w:ascii="Times New Roman" w:hAnsi="Times New Roman" w:cs="Times New Roman"/>
          <w:color w:val="000000" w:themeColor="text1"/>
          <w:highlight w:val="none"/>
          <w:lang w:val="en-US" w:eastAsia="zh-CN"/>
        </w:rPr>
        <w:t>株。</w:t>
      </w:r>
    </w:p>
    <w:p>
      <w:pPr>
        <w:rPr>
          <w:color w:val="000000" w:themeColor="text1"/>
          <w:highlight w:val="none"/>
          <w:vertAlign w:val="superscript"/>
        </w:rPr>
      </w:pPr>
      <w:r>
        <w:rPr>
          <w:rFonts w:hint="eastAsia" w:ascii="宋体" w:hAnsi="宋体"/>
          <w:color w:val="000000" w:themeColor="text1"/>
          <w:highlight w:val="none"/>
        </w:rPr>
        <w:t>对于采场台阶复垦为</w:t>
      </w:r>
      <w:r>
        <w:rPr>
          <w:rFonts w:hint="eastAsia" w:ascii="宋体" w:hAnsi="宋体"/>
          <w:color w:val="000000" w:themeColor="text1"/>
          <w:highlight w:val="none"/>
          <w:lang w:eastAsia="zh-CN"/>
        </w:rPr>
        <w:t>其他草地</w:t>
      </w:r>
      <w:r>
        <w:rPr>
          <w:rFonts w:hint="eastAsia" w:ascii="宋体" w:hAnsi="宋体"/>
          <w:color w:val="000000" w:themeColor="text1"/>
          <w:highlight w:val="none"/>
        </w:rPr>
        <w:t>的部分种植</w:t>
      </w:r>
      <w:r>
        <w:rPr>
          <w:rFonts w:hint="eastAsia" w:ascii="宋体" w:hAnsi="宋体"/>
          <w:color w:val="000000" w:themeColor="text1"/>
          <w:highlight w:val="none"/>
          <w:lang w:eastAsia="zh-CN"/>
        </w:rPr>
        <w:t>蔷薇</w:t>
      </w:r>
      <w:r>
        <w:rPr>
          <w:rFonts w:hint="eastAsia" w:ascii="宋体" w:hAnsi="宋体"/>
          <w:color w:val="000000" w:themeColor="text1"/>
          <w:highlight w:val="none"/>
        </w:rPr>
        <w:t>，面积</w:t>
      </w:r>
      <w:r>
        <w:rPr>
          <w:rFonts w:hint="eastAsia"/>
          <w:color w:val="000000" w:themeColor="text1"/>
          <w:highlight w:val="none"/>
          <w:lang w:eastAsia="zh-CN"/>
        </w:rPr>
        <w:t>1.3434</w:t>
      </w:r>
      <w:r>
        <w:rPr>
          <w:rFonts w:hint="eastAsia"/>
          <w:color w:val="000000" w:themeColor="text1"/>
          <w:highlight w:val="none"/>
        </w:rPr>
        <w:t>hm</w:t>
      </w:r>
      <w:r>
        <w:rPr>
          <w:rFonts w:hint="eastAsia"/>
          <w:color w:val="000000" w:themeColor="text1"/>
          <w:highlight w:val="none"/>
          <w:vertAlign w:val="superscript"/>
        </w:rPr>
        <w:t>2</w:t>
      </w:r>
      <w:r>
        <w:rPr>
          <w:rFonts w:hint="eastAsia" w:ascii="宋体" w:hAnsi="宋体"/>
          <w:color w:val="000000" w:themeColor="text1"/>
          <w:highlight w:val="none"/>
        </w:rPr>
        <w:t>，边坡线长共计</w:t>
      </w:r>
      <w:r>
        <w:rPr>
          <w:rFonts w:hint="eastAsia"/>
          <w:color w:val="000000" w:themeColor="text1"/>
          <w:highlight w:val="none"/>
          <w:lang w:val="en-US" w:eastAsia="zh-CN"/>
        </w:rPr>
        <w:t>6710</w:t>
      </w:r>
      <w:r>
        <w:rPr>
          <w:rFonts w:hint="eastAsia"/>
          <w:color w:val="000000" w:themeColor="text1"/>
          <w:highlight w:val="none"/>
        </w:rPr>
        <w:t>m</w:t>
      </w:r>
      <w:r>
        <w:rPr>
          <w:rFonts w:hint="eastAsia" w:ascii="宋体" w:hAnsi="宋体"/>
          <w:color w:val="000000" w:themeColor="text1"/>
          <w:highlight w:val="none"/>
        </w:rPr>
        <w:t>，株距</w:t>
      </w:r>
      <w:r>
        <w:rPr>
          <w:rFonts w:hint="eastAsia"/>
          <w:color w:val="000000" w:themeColor="text1"/>
          <w:highlight w:val="none"/>
          <w:lang w:val="en-US" w:eastAsia="zh-CN"/>
        </w:rPr>
        <w:t>1</w:t>
      </w:r>
      <w:r>
        <w:rPr>
          <w:rFonts w:hint="eastAsia"/>
          <w:color w:val="000000" w:themeColor="text1"/>
          <w:highlight w:val="none"/>
        </w:rPr>
        <w:t>m</w:t>
      </w:r>
      <w:r>
        <w:rPr>
          <w:rFonts w:hint="eastAsia" w:ascii="宋体" w:hAnsi="宋体"/>
          <w:color w:val="000000" w:themeColor="text1"/>
          <w:highlight w:val="none"/>
        </w:rPr>
        <w:t>，总计</w:t>
      </w:r>
      <w:r>
        <w:rPr>
          <w:rFonts w:hint="eastAsia"/>
          <w:color w:val="000000" w:themeColor="text1"/>
          <w:highlight w:val="none"/>
          <w:lang w:val="en-US" w:eastAsia="zh-CN"/>
        </w:rPr>
        <w:t>6710</w:t>
      </w:r>
      <w:r>
        <w:rPr>
          <w:rFonts w:hint="eastAsia" w:ascii="宋体" w:hAnsi="宋体"/>
          <w:color w:val="000000" w:themeColor="text1"/>
          <w:highlight w:val="none"/>
        </w:rPr>
        <w:t>株</w:t>
      </w:r>
      <w:r>
        <w:rPr>
          <w:rFonts w:ascii="宋体" w:hAnsi="宋体"/>
          <w:color w:val="000000" w:themeColor="text1"/>
          <w:highlight w:val="none"/>
        </w:rPr>
        <w:t>。</w:t>
      </w:r>
    </w:p>
    <w:p>
      <w:pPr>
        <w:rPr>
          <w:color w:val="000000" w:themeColor="text1"/>
          <w:highlight w:val="none"/>
        </w:rPr>
      </w:pPr>
      <w:r>
        <w:rPr>
          <w:rFonts w:hint="eastAsia"/>
          <w:color w:val="000000" w:themeColor="text1"/>
          <w:highlight w:val="none"/>
          <w:lang w:val="en-US" w:eastAsia="zh-CN"/>
        </w:rPr>
        <w:t>3</w:t>
      </w:r>
      <w:r>
        <w:rPr>
          <w:color w:val="000000" w:themeColor="text1"/>
          <w:highlight w:val="none"/>
        </w:rPr>
        <w:t>、工作量汇总</w:t>
      </w:r>
    </w:p>
    <w:p>
      <w:pPr>
        <w:rPr>
          <w:rFonts w:eastAsia="黑体"/>
          <w:color w:val="000000" w:themeColor="text1"/>
          <w:sz w:val="21"/>
          <w:szCs w:val="21"/>
          <w:highlight w:val="none"/>
        </w:rPr>
      </w:pPr>
      <w:r>
        <w:rPr>
          <w:color w:val="000000" w:themeColor="text1"/>
          <w:highlight w:val="none"/>
        </w:rPr>
        <w:t>土地复垦工作量汇总见表5-</w:t>
      </w:r>
      <w:r>
        <w:rPr>
          <w:rFonts w:hint="eastAsia"/>
          <w:color w:val="000000" w:themeColor="text1"/>
          <w:highlight w:val="none"/>
          <w:lang w:val="en-US" w:eastAsia="zh-CN"/>
        </w:rPr>
        <w:t>3</w:t>
      </w:r>
      <w:r>
        <w:rPr>
          <w:color w:val="000000" w:themeColor="text1"/>
          <w:highlight w:val="none"/>
        </w:rPr>
        <w:t>。</w:t>
      </w:r>
    </w:p>
    <w:p>
      <w:pPr>
        <w:pStyle w:val="67"/>
        <w:rPr>
          <w:color w:val="000000" w:themeColor="text1"/>
          <w:highlight w:val="none"/>
        </w:rPr>
      </w:pPr>
      <w:r>
        <w:rPr>
          <w:color w:val="000000" w:themeColor="text1"/>
          <w:highlight w:val="none"/>
        </w:rPr>
        <w:t>表5-</w:t>
      </w:r>
      <w:r>
        <w:rPr>
          <w:rFonts w:hint="eastAsia"/>
          <w:color w:val="000000" w:themeColor="text1"/>
          <w:highlight w:val="none"/>
          <w:lang w:val="en-US" w:eastAsia="zh-CN"/>
        </w:rPr>
        <w:t>3</w:t>
      </w:r>
      <w:r>
        <w:rPr>
          <w:rFonts w:hint="eastAsia"/>
          <w:color w:val="000000" w:themeColor="text1"/>
          <w:highlight w:val="none"/>
        </w:rPr>
        <w:t xml:space="preserve">  </w:t>
      </w:r>
      <w:r>
        <w:rPr>
          <w:color w:val="000000" w:themeColor="text1"/>
          <w:highlight w:val="none"/>
        </w:rPr>
        <w:t>土地复垦工程量表</w:t>
      </w:r>
      <w:bookmarkStart w:id="220" w:name="_Toc25494"/>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681"/>
        <w:gridCol w:w="2262"/>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480"/>
              <w:rPr>
                <w:color w:val="000000" w:themeColor="text1"/>
                <w:highlight w:val="none"/>
              </w:rPr>
            </w:pPr>
            <w:r>
              <w:rPr>
                <w:rFonts w:hint="eastAsia"/>
                <w:color w:val="000000" w:themeColor="text1"/>
                <w:highlight w:val="none"/>
              </w:rPr>
              <w:t>序号</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名称及规格</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单位</w:t>
            </w: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工程量合计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一</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土壤重构工程</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1</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土壤剥覆工程</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rPr>
              <w:t>（</w:t>
            </w:r>
            <w:r>
              <w:rPr>
                <w:rFonts w:hint="eastAsia"/>
                <w:color w:val="000000" w:themeColor="text1"/>
                <w:highlight w:val="none"/>
                <w:lang w:val="en-US" w:eastAsia="zh-CN"/>
              </w:rPr>
              <w:t>1</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表土剥离</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81"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rPr>
              <w:t>（</w:t>
            </w:r>
            <w:r>
              <w:rPr>
                <w:rFonts w:hint="eastAsia"/>
                <w:color w:val="000000" w:themeColor="text1"/>
                <w:highlight w:val="none"/>
                <w:lang w:val="en-US" w:eastAsia="zh-CN"/>
              </w:rPr>
              <w:t>2</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表土养护</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281"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w:t>
            </w:r>
            <w:r>
              <w:rPr>
                <w:rFonts w:hint="eastAsia"/>
                <w:color w:val="000000" w:themeColor="text1"/>
                <w:highlight w:val="none"/>
                <w:lang w:val="en-US" w:eastAsia="zh-CN"/>
              </w:rPr>
              <w:t>3</w:t>
            </w:r>
            <w:r>
              <w:rPr>
                <w:rFonts w:hint="eastAsia"/>
                <w:color w:val="000000" w:themeColor="text1"/>
                <w:highlight w:val="none"/>
                <w:lang w:eastAsia="zh-CN"/>
              </w:rPr>
              <w:t>）</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表土回覆</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81"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（4</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表土挡墙</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①</w:t>
            </w:r>
          </w:p>
        </w:tc>
        <w:tc>
          <w:tcPr>
            <w:tcW w:w="1574"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浆砌块石挡土墙</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81"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2</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生物化学工程</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林地培肥（3</w:t>
            </w:r>
            <w:r>
              <w:rPr>
                <w:rFonts w:hint="eastAsia" w:ascii="宋体" w:hAnsi="宋体"/>
                <w:color w:val="000000" w:themeColor="text1"/>
                <w:highlight w:val="none"/>
              </w:rPr>
              <w:t>年）</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lang w:eastAsia="zh-CN"/>
              </w:rPr>
              <w:t>8.179</w:t>
            </w:r>
            <w:r>
              <w:rPr>
                <w:rFonts w:hint="eastAsia"/>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二</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植被重建工程</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林地种植</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马尾松种植</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株</w:t>
            </w:r>
          </w:p>
        </w:tc>
        <w:tc>
          <w:tcPr>
            <w:tcW w:w="1281"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22052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574"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其他草地种植</w:t>
            </w:r>
          </w:p>
        </w:tc>
        <w:tc>
          <w:tcPr>
            <w:tcW w:w="1328"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81"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w:t>
            </w:r>
            <w:r>
              <w:rPr>
                <w:rFonts w:hint="eastAsia"/>
                <w:color w:val="000000" w:themeColor="text1"/>
                <w:highlight w:val="none"/>
                <w:lang w:val="en-US" w:eastAsia="zh-CN"/>
              </w:rPr>
              <w:t>1</w:t>
            </w:r>
            <w:r>
              <w:rPr>
                <w:rFonts w:hint="eastAsia" w:ascii="宋体" w:hAnsi="宋体"/>
                <w:color w:val="000000" w:themeColor="text1"/>
                <w:highlight w:val="none"/>
              </w:rPr>
              <w:t>）</w:t>
            </w:r>
          </w:p>
        </w:tc>
        <w:tc>
          <w:tcPr>
            <w:tcW w:w="1574"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蔷薇</w:t>
            </w:r>
          </w:p>
        </w:tc>
        <w:tc>
          <w:tcPr>
            <w:tcW w:w="1328"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株</w:t>
            </w:r>
          </w:p>
        </w:tc>
        <w:tc>
          <w:tcPr>
            <w:tcW w:w="1281" w:type="pct"/>
            <w:tcBorders>
              <w:top w:val="single" w:color="auto" w:sz="4" w:space="0"/>
              <w:left w:val="nil"/>
              <w:bottom w:val="single" w:color="auto" w:sz="4" w:space="0"/>
              <w:right w:val="single" w:color="auto" w:sz="4" w:space="0"/>
            </w:tcBorders>
            <w:noWrap/>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6710</w:t>
            </w:r>
          </w:p>
        </w:tc>
      </w:tr>
    </w:tbl>
    <w:p>
      <w:pPr>
        <w:pStyle w:val="4"/>
        <w:spacing w:before="82" w:after="82"/>
        <w:rPr>
          <w:color w:val="000000" w:themeColor="text1"/>
          <w:highlight w:val="none"/>
        </w:rPr>
      </w:pPr>
      <w:bookmarkStart w:id="221" w:name="_Toc14942"/>
      <w:r>
        <w:rPr>
          <w:color w:val="000000" w:themeColor="text1"/>
          <w:highlight w:val="none"/>
        </w:rPr>
        <w:t>5.4含水层破坏修复</w:t>
      </w:r>
      <w:bookmarkEnd w:id="220"/>
      <w:bookmarkEnd w:id="221"/>
    </w:p>
    <w:p>
      <w:pPr>
        <w:rPr>
          <w:color w:val="000000" w:themeColor="text1"/>
          <w:highlight w:val="none"/>
        </w:rPr>
      </w:pPr>
      <w:r>
        <w:rPr>
          <w:color w:val="000000" w:themeColor="text1"/>
          <w:highlight w:val="none"/>
        </w:rPr>
        <w:t>根据矿山地质环境现状及预测，未来</w:t>
      </w:r>
      <w:r>
        <w:rPr>
          <w:rFonts w:hint="eastAsia"/>
          <w:color w:val="000000" w:themeColor="text1"/>
          <w:highlight w:val="none"/>
        </w:rPr>
        <w:t>石灰岩矿</w:t>
      </w:r>
      <w:r>
        <w:rPr>
          <w:color w:val="000000" w:themeColor="text1"/>
          <w:highlight w:val="none"/>
        </w:rPr>
        <w:t>的生产对当地含水层破坏较轻，不影响当地居民生产生活用水。本方案以监测预防为主，不单独设置治理工程，在矿山地质环境监测章节中布设了相应的监测工程。</w:t>
      </w:r>
    </w:p>
    <w:p>
      <w:pPr>
        <w:pStyle w:val="4"/>
        <w:spacing w:before="82" w:after="82"/>
        <w:rPr>
          <w:color w:val="000000" w:themeColor="text1"/>
          <w:highlight w:val="none"/>
        </w:rPr>
      </w:pPr>
      <w:bookmarkStart w:id="222" w:name="_Toc1426"/>
      <w:bookmarkStart w:id="223" w:name="_Toc14711"/>
      <w:r>
        <w:rPr>
          <w:color w:val="000000" w:themeColor="text1"/>
          <w:highlight w:val="none"/>
        </w:rPr>
        <w:t>5.5水土环境污染修复</w:t>
      </w:r>
      <w:bookmarkEnd w:id="222"/>
      <w:bookmarkEnd w:id="223"/>
    </w:p>
    <w:p>
      <w:pPr>
        <w:rPr>
          <w:color w:val="000000" w:themeColor="text1"/>
          <w:highlight w:val="none"/>
        </w:rPr>
      </w:pPr>
      <w:r>
        <w:rPr>
          <w:color w:val="000000" w:themeColor="text1"/>
          <w:highlight w:val="none"/>
        </w:rPr>
        <w:t>根据矿山地质环境现状及预测，未来</w:t>
      </w:r>
      <w:r>
        <w:rPr>
          <w:rFonts w:hint="eastAsia"/>
          <w:color w:val="000000" w:themeColor="text1"/>
          <w:highlight w:val="none"/>
        </w:rPr>
        <w:t>石灰岩矿</w:t>
      </w:r>
      <w:r>
        <w:rPr>
          <w:color w:val="000000" w:themeColor="text1"/>
          <w:highlight w:val="none"/>
        </w:rPr>
        <w:t>的生产对当地水土环境污染较轻。本方案以监测预防为主，不单独设置治理工程，在矿山地质环境监测章节中布设了相应的监测工程。</w:t>
      </w:r>
    </w:p>
    <w:p>
      <w:pPr>
        <w:pStyle w:val="4"/>
        <w:spacing w:before="82" w:after="82"/>
        <w:rPr>
          <w:color w:val="000000" w:themeColor="text1"/>
          <w:highlight w:val="none"/>
        </w:rPr>
      </w:pPr>
      <w:bookmarkStart w:id="224" w:name="_Toc9653"/>
      <w:bookmarkStart w:id="225" w:name="_Toc22893"/>
      <w:r>
        <w:rPr>
          <w:color w:val="000000" w:themeColor="text1"/>
          <w:highlight w:val="none"/>
        </w:rPr>
        <w:t>5.6矿山地质环境监测</w:t>
      </w:r>
      <w:bookmarkEnd w:id="224"/>
      <w:bookmarkEnd w:id="225"/>
    </w:p>
    <w:p>
      <w:pPr>
        <w:rPr>
          <w:color w:val="000000" w:themeColor="text1"/>
          <w:highlight w:val="none"/>
        </w:rPr>
      </w:pPr>
      <w:r>
        <w:rPr>
          <w:color w:val="000000" w:themeColor="text1"/>
          <w:highlight w:val="none"/>
        </w:rPr>
        <w:t>根据矿山地质环境现状及预测，未来</w:t>
      </w:r>
      <w:r>
        <w:rPr>
          <w:rFonts w:hint="eastAsia"/>
          <w:color w:val="000000" w:themeColor="text1"/>
          <w:highlight w:val="none"/>
        </w:rPr>
        <w:t>石灰岩矿</w:t>
      </w:r>
      <w:r>
        <w:rPr>
          <w:color w:val="000000" w:themeColor="text1"/>
          <w:highlight w:val="none"/>
        </w:rPr>
        <w:t>的开采有</w:t>
      </w:r>
      <w:r>
        <w:rPr>
          <w:rFonts w:hint="eastAsia"/>
          <w:color w:val="000000" w:themeColor="text1"/>
          <w:highlight w:val="none"/>
        </w:rPr>
        <w:t>发生</w:t>
      </w:r>
      <w:r>
        <w:rPr>
          <w:color w:val="000000" w:themeColor="text1"/>
          <w:highlight w:val="none"/>
        </w:rPr>
        <w:t>崩塌</w:t>
      </w:r>
      <w:r>
        <w:rPr>
          <w:rFonts w:hint="eastAsia"/>
          <w:color w:val="000000" w:themeColor="text1"/>
          <w:highlight w:val="none"/>
        </w:rPr>
        <w:t>、</w:t>
      </w:r>
      <w:r>
        <w:rPr>
          <w:color w:val="000000" w:themeColor="text1"/>
          <w:highlight w:val="none"/>
        </w:rPr>
        <w:t>滑坡的可能性，从而对地下含水层、水土环境等产生影响，因而，矿山环境监测包括地质灾害监测、含水层监测、水土污染的监测。监测工作由</w:t>
      </w:r>
      <w:r>
        <w:rPr>
          <w:rFonts w:hint="eastAsia"/>
          <w:color w:val="000000" w:themeColor="text1"/>
          <w:highlight w:val="none"/>
          <w:lang w:eastAsia="zh-CN"/>
        </w:rPr>
        <w:t>旺苍县华隆建材有限公司</w:t>
      </w:r>
      <w:r>
        <w:rPr>
          <w:color w:val="000000" w:themeColor="text1"/>
          <w:highlight w:val="none"/>
        </w:rPr>
        <w:t>负责并组织实施，并成立专职机构，加强对本方案实施的组织管理和行政管理。矿产资源管理部门负责监督管理。</w:t>
      </w:r>
    </w:p>
    <w:p>
      <w:pPr>
        <w:pStyle w:val="5"/>
        <w:spacing w:before="82" w:after="82"/>
        <w:rPr>
          <w:color w:val="000000" w:themeColor="text1"/>
          <w:highlight w:val="none"/>
        </w:rPr>
      </w:pPr>
      <w:bookmarkStart w:id="226" w:name="_Toc648"/>
      <w:bookmarkStart w:id="227" w:name="_Toc811"/>
      <w:r>
        <w:rPr>
          <w:color w:val="000000" w:themeColor="text1"/>
          <w:highlight w:val="none"/>
        </w:rPr>
        <w:t>5.6.1目标任务</w:t>
      </w:r>
      <w:bookmarkEnd w:id="226"/>
      <w:bookmarkEnd w:id="227"/>
    </w:p>
    <w:p>
      <w:pPr>
        <w:rPr>
          <w:color w:val="000000" w:themeColor="text1"/>
          <w:highlight w:val="none"/>
        </w:rPr>
      </w:pPr>
      <w:r>
        <w:rPr>
          <w:rFonts w:hint="eastAsia"/>
          <w:color w:val="000000" w:themeColor="text1"/>
          <w:highlight w:val="none"/>
        </w:rPr>
        <w:t>1</w:t>
      </w:r>
      <w:r>
        <w:rPr>
          <w:color w:val="000000" w:themeColor="text1"/>
          <w:highlight w:val="none"/>
        </w:rPr>
        <w:t>、观测矿山开采边坡</w:t>
      </w:r>
      <w:r>
        <w:rPr>
          <w:rFonts w:hint="eastAsia"/>
          <w:color w:val="000000" w:themeColor="text1"/>
          <w:highlight w:val="none"/>
        </w:rPr>
        <w:t>、</w:t>
      </w:r>
      <w:r>
        <w:rPr>
          <w:color w:val="000000" w:themeColor="text1"/>
          <w:highlight w:val="none"/>
        </w:rPr>
        <w:t>加工区等</w:t>
      </w:r>
      <w:r>
        <w:rPr>
          <w:rFonts w:hint="eastAsia"/>
          <w:color w:val="000000" w:themeColor="text1"/>
          <w:highlight w:val="none"/>
        </w:rPr>
        <w:t>区域</w:t>
      </w:r>
      <w:r>
        <w:rPr>
          <w:color w:val="000000" w:themeColor="text1"/>
          <w:highlight w:val="none"/>
        </w:rPr>
        <w:t>可能发生的地质灾害</w:t>
      </w:r>
      <w:r>
        <w:rPr>
          <w:rFonts w:hint="eastAsia"/>
          <w:color w:val="000000" w:themeColor="text1"/>
          <w:highlight w:val="none"/>
        </w:rPr>
        <w:t>。</w:t>
      </w:r>
    </w:p>
    <w:p>
      <w:pPr>
        <w:rPr>
          <w:color w:val="000000" w:themeColor="text1"/>
          <w:highlight w:val="none"/>
        </w:rPr>
      </w:pPr>
      <w:r>
        <w:rPr>
          <w:rFonts w:hint="eastAsia"/>
          <w:color w:val="000000" w:themeColor="text1"/>
          <w:highlight w:val="none"/>
        </w:rPr>
        <w:t>2、</w:t>
      </w:r>
      <w:r>
        <w:rPr>
          <w:color w:val="000000" w:themeColor="text1"/>
          <w:highlight w:val="none"/>
        </w:rPr>
        <w:t>了解地下水水位、水质情况。</w:t>
      </w:r>
    </w:p>
    <w:p>
      <w:pPr>
        <w:rPr>
          <w:color w:val="000000" w:themeColor="text1"/>
          <w:highlight w:val="none"/>
        </w:rPr>
      </w:pPr>
      <w:r>
        <w:rPr>
          <w:rFonts w:hint="eastAsia"/>
          <w:color w:val="000000" w:themeColor="text1"/>
          <w:highlight w:val="none"/>
        </w:rPr>
        <w:t>3</w:t>
      </w:r>
      <w:r>
        <w:rPr>
          <w:color w:val="000000" w:themeColor="text1"/>
          <w:highlight w:val="none"/>
        </w:rPr>
        <w:t>、了解水土污染情况。</w:t>
      </w:r>
    </w:p>
    <w:p>
      <w:pPr>
        <w:pStyle w:val="5"/>
        <w:spacing w:before="82" w:after="82"/>
        <w:rPr>
          <w:color w:val="000000" w:themeColor="text1"/>
          <w:highlight w:val="none"/>
        </w:rPr>
      </w:pPr>
      <w:bookmarkStart w:id="228" w:name="_Toc1496"/>
      <w:bookmarkStart w:id="229" w:name="_Toc1266"/>
      <w:r>
        <w:rPr>
          <w:color w:val="000000" w:themeColor="text1"/>
          <w:highlight w:val="none"/>
        </w:rPr>
        <w:t>5.6.2工程设计</w:t>
      </w:r>
      <w:bookmarkEnd w:id="228"/>
      <w:bookmarkEnd w:id="229"/>
    </w:p>
    <w:p>
      <w:pPr>
        <w:rPr>
          <w:color w:val="000000" w:themeColor="text1"/>
          <w:highlight w:val="none"/>
        </w:rPr>
      </w:pPr>
      <w:r>
        <w:rPr>
          <w:rFonts w:hint="eastAsia"/>
          <w:color w:val="000000" w:themeColor="text1"/>
          <w:highlight w:val="none"/>
        </w:rPr>
        <w:t>1、矿山地质灾害监测设计</w:t>
      </w:r>
    </w:p>
    <w:p>
      <w:pPr>
        <w:rPr>
          <w:color w:val="000000" w:themeColor="text1"/>
          <w:highlight w:val="none"/>
        </w:rPr>
      </w:pPr>
      <w:r>
        <w:rPr>
          <w:rFonts w:hint="eastAsia"/>
          <w:color w:val="000000" w:themeColor="text1"/>
          <w:highlight w:val="none"/>
        </w:rPr>
        <w:t>（1）监测方法</w:t>
      </w:r>
    </w:p>
    <w:p>
      <w:pPr>
        <w:rPr>
          <w:rFonts w:hint="default" w:eastAsia="宋体"/>
          <w:color w:val="000000" w:themeColor="text1"/>
          <w:highlight w:val="none"/>
          <w:lang w:val="en-US" w:eastAsia="zh-CN"/>
        </w:rPr>
      </w:pPr>
      <w:r>
        <w:rPr>
          <w:rFonts w:hint="eastAsia"/>
          <w:color w:val="000000" w:themeColor="text1"/>
          <w:highlight w:val="none"/>
        </w:rPr>
        <w:t>采用人工巡视监测，针对边坡周边可能发生地质灾害区域进行重点巡查，并做好巡查记录，及时汇总汇报巡查结果。巡视监测的对象为露天采场边坡和加工区；监测频率为：非汛期（每年10~次年5月）每月监测2次，汛期（每年6~9月）每月监测4次。雨季，尤其是持续降雨或大暴雨时，每天或雨后一次加密巡视监测。监测时间为</w:t>
      </w:r>
      <w:r>
        <w:rPr>
          <w:rFonts w:hint="eastAsia"/>
          <w:color w:val="000000" w:themeColor="text1"/>
          <w:highlight w:val="none"/>
          <w:lang w:val="en-US" w:eastAsia="zh-CN"/>
        </w:rPr>
        <w:t>4.2</w:t>
      </w:r>
      <w:r>
        <w:rPr>
          <w:rFonts w:hint="eastAsia"/>
          <w:color w:val="000000" w:themeColor="text1"/>
          <w:highlight w:val="none"/>
        </w:rPr>
        <w:t>年。</w:t>
      </w:r>
      <w:r>
        <w:rPr>
          <w:rFonts w:hint="eastAsia"/>
          <w:color w:val="000000" w:themeColor="text1"/>
          <w:highlight w:val="none"/>
          <w:lang w:eastAsia="zh-CN"/>
        </w:rPr>
        <w:t>共计</w:t>
      </w:r>
      <w:r>
        <w:rPr>
          <w:rFonts w:hint="eastAsia"/>
          <w:color w:val="000000" w:themeColor="text1"/>
          <w:highlight w:val="none"/>
          <w:lang w:val="en-US" w:eastAsia="zh-CN"/>
        </w:rPr>
        <w:t>132次。</w:t>
      </w:r>
    </w:p>
    <w:p>
      <w:pPr>
        <w:rPr>
          <w:color w:val="000000" w:themeColor="text1"/>
          <w:highlight w:val="none"/>
        </w:rPr>
      </w:pPr>
      <w:r>
        <w:rPr>
          <w:rFonts w:hint="eastAsia"/>
          <w:color w:val="000000" w:themeColor="text1"/>
          <w:highlight w:val="none"/>
        </w:rPr>
        <w:t>（2）具体监测措施</w:t>
      </w:r>
    </w:p>
    <w:p>
      <w:pPr>
        <w:rPr>
          <w:color w:val="000000" w:themeColor="text1"/>
          <w:highlight w:val="none"/>
        </w:rPr>
      </w:pPr>
      <w:r>
        <w:rPr>
          <w:rFonts w:hint="eastAsia"/>
          <w:color w:val="000000" w:themeColor="text1"/>
          <w:highlight w:val="none"/>
        </w:rPr>
        <w:t>①加强矿山监测管理工作，完善矿山环境监测的各项规章制度；</w:t>
      </w:r>
    </w:p>
    <w:p>
      <w:pPr>
        <w:rPr>
          <w:color w:val="000000" w:themeColor="text1"/>
          <w:highlight w:val="none"/>
        </w:rPr>
      </w:pPr>
      <w:r>
        <w:rPr>
          <w:rFonts w:hint="eastAsia"/>
          <w:color w:val="000000" w:themeColor="text1"/>
          <w:highlight w:val="none"/>
        </w:rPr>
        <w:t>②明确矿区地质环境监测人员，把责任落实到人、到岗，针对可能诱发地质灾害的地段，派人巡检，发现安全隐患应及时通报处理。监测人员必须经过技术培训，能够熟练掌握监测方法；</w:t>
      </w:r>
    </w:p>
    <w:p>
      <w:pPr>
        <w:rPr>
          <w:color w:val="000000" w:themeColor="text1"/>
          <w:highlight w:val="none"/>
        </w:rPr>
      </w:pPr>
      <w:r>
        <w:rPr>
          <w:rFonts w:hint="eastAsia"/>
          <w:color w:val="000000" w:themeColor="text1"/>
          <w:highlight w:val="none"/>
        </w:rPr>
        <w:t>③及时探访矿区周边群众，注意收集矿区周边环境变化的有关信息，并加以综合分析，提出应对和解决措施；</w:t>
      </w:r>
    </w:p>
    <w:p>
      <w:pPr>
        <w:rPr>
          <w:color w:val="000000" w:themeColor="text1"/>
          <w:highlight w:val="none"/>
        </w:rPr>
      </w:pPr>
      <w:r>
        <w:rPr>
          <w:rFonts w:hint="eastAsia"/>
          <w:color w:val="000000" w:themeColor="text1"/>
          <w:highlight w:val="none"/>
        </w:rPr>
        <w:t>④主要采用人工监测巡视法。做好标记，观测边坡上的裂缝、位移、坍塌等现象以及采场地形地貌景观变化，监测结果要做好记录。发现异常情况，应及时通报处理。</w:t>
      </w:r>
    </w:p>
    <w:p>
      <w:pPr>
        <w:autoSpaceDE w:val="0"/>
        <w:rPr>
          <w:color w:val="000000" w:themeColor="text1"/>
          <w:highlight w:val="none"/>
        </w:rPr>
      </w:pPr>
      <w:r>
        <w:rPr>
          <w:rFonts w:hint="eastAsia"/>
          <w:color w:val="000000" w:themeColor="text1"/>
          <w:highlight w:val="none"/>
        </w:rPr>
        <w:t>2</w:t>
      </w:r>
      <w:r>
        <w:rPr>
          <w:rFonts w:ascii="宋体" w:hAnsi="宋体"/>
          <w:color w:val="000000" w:themeColor="text1"/>
          <w:highlight w:val="none"/>
        </w:rPr>
        <w:t>、雨量监测设计</w:t>
      </w:r>
    </w:p>
    <w:p>
      <w:pPr>
        <w:rPr>
          <w:rFonts w:ascii="Calibri" w:hAnsi="Calibri" w:cs="Calibri"/>
          <w:color w:val="000000" w:themeColor="text1"/>
          <w:sz w:val="22"/>
          <w:szCs w:val="22"/>
          <w:highlight w:val="none"/>
        </w:rPr>
      </w:pPr>
      <w:r>
        <w:rPr>
          <w:rFonts w:ascii="宋体" w:hAnsi="宋体"/>
          <w:color w:val="000000" w:themeColor="text1"/>
          <w:highlight w:val="none"/>
        </w:rPr>
        <w:t>主要对项目区的雨量进行动态监测，本方案设计在</w:t>
      </w:r>
      <w:r>
        <w:rPr>
          <w:rFonts w:hint="eastAsia" w:ascii="宋体" w:hAnsi="宋体"/>
          <w:color w:val="000000" w:themeColor="text1"/>
          <w:highlight w:val="none"/>
        </w:rPr>
        <w:t>露天采场</w:t>
      </w:r>
      <w:r>
        <w:rPr>
          <w:rFonts w:ascii="宋体" w:hAnsi="宋体"/>
          <w:color w:val="000000" w:themeColor="text1"/>
          <w:highlight w:val="none"/>
        </w:rPr>
        <w:t>区域上安装一套太阳能电子雨量监测系统实现对项目区雨量的实时监控，以便</w:t>
      </w:r>
      <w:r>
        <w:rPr>
          <w:rFonts w:hint="eastAsia" w:ascii="宋体" w:hAnsi="宋体"/>
          <w:color w:val="000000" w:themeColor="text1"/>
          <w:highlight w:val="none"/>
        </w:rPr>
        <w:t>当</w:t>
      </w:r>
      <w:r>
        <w:rPr>
          <w:rFonts w:ascii="宋体" w:hAnsi="宋体"/>
          <w:color w:val="000000" w:themeColor="text1"/>
          <w:highlight w:val="none"/>
        </w:rPr>
        <w:t>雨量达到报警后及时组织受威胁人员安全转移，确保人民生命财产安全。</w:t>
      </w:r>
    </w:p>
    <w:p>
      <w:pPr>
        <w:rPr>
          <w:color w:val="000000" w:themeColor="text1"/>
          <w:highlight w:val="none"/>
        </w:rPr>
      </w:pPr>
      <w:r>
        <w:rPr>
          <w:rFonts w:hint="eastAsia"/>
          <w:color w:val="000000" w:themeColor="text1"/>
          <w:highlight w:val="none"/>
        </w:rPr>
        <w:t>3、GNSS变形监测</w:t>
      </w:r>
    </w:p>
    <w:p>
      <w:pPr>
        <w:rPr>
          <w:color w:val="000000" w:themeColor="text1"/>
          <w:highlight w:val="none"/>
        </w:rPr>
      </w:pPr>
      <w:r>
        <w:rPr>
          <w:color w:val="000000" w:themeColor="text1"/>
          <w:highlight w:val="none"/>
        </w:rPr>
        <w:t>本方案设计在露天采场边坡每隔两个平台安装一套GNSS监测设备</w:t>
      </w:r>
      <w:r>
        <w:rPr>
          <w:rFonts w:hint="eastAsia"/>
          <w:color w:val="000000" w:themeColor="text1"/>
          <w:highlight w:val="none"/>
        </w:rPr>
        <w:t>，</w:t>
      </w:r>
      <w:r>
        <w:rPr>
          <w:color w:val="000000" w:themeColor="text1"/>
          <w:highlight w:val="none"/>
        </w:rPr>
        <w:t>对露天采场边坡进行适时监测</w:t>
      </w:r>
      <w:r>
        <w:rPr>
          <w:rFonts w:hint="eastAsia"/>
          <w:color w:val="000000" w:themeColor="text1"/>
          <w:highlight w:val="none"/>
        </w:rPr>
        <w:t>，</w:t>
      </w:r>
      <w:r>
        <w:rPr>
          <w:color w:val="000000" w:themeColor="text1"/>
          <w:highlight w:val="none"/>
        </w:rPr>
        <w:t>设计在采场内布设</w:t>
      </w:r>
      <w:r>
        <w:rPr>
          <w:rFonts w:hint="eastAsia"/>
          <w:color w:val="000000" w:themeColor="text1"/>
          <w:highlight w:val="none"/>
        </w:rPr>
        <w:t>4个点，在矿山项目部布设一个基站及机房配套设施，共计需要GNSS监测设备</w:t>
      </w:r>
      <w:r>
        <w:rPr>
          <w:rFonts w:hint="eastAsia"/>
          <w:color w:val="000000" w:themeColor="text1"/>
          <w:highlight w:val="none"/>
          <w:lang w:val="en-US" w:eastAsia="zh-CN"/>
        </w:rPr>
        <w:t>5</w:t>
      </w:r>
      <w:r>
        <w:rPr>
          <w:rFonts w:hint="eastAsia"/>
          <w:color w:val="000000" w:themeColor="text1"/>
          <w:highlight w:val="none"/>
        </w:rPr>
        <w:t>套，机房配套设施一套。设计视频监测一套。</w:t>
      </w:r>
    </w:p>
    <w:p>
      <w:pPr>
        <w:rPr>
          <w:color w:val="000000" w:themeColor="text1"/>
          <w:highlight w:val="none"/>
        </w:rPr>
      </w:pPr>
      <w:r>
        <w:rPr>
          <w:rFonts w:hint="eastAsia"/>
          <w:color w:val="000000" w:themeColor="text1"/>
          <w:highlight w:val="none"/>
        </w:rPr>
        <w:t>4</w:t>
      </w:r>
      <w:r>
        <w:rPr>
          <w:color w:val="000000" w:themeColor="text1"/>
          <w:highlight w:val="none"/>
        </w:rPr>
        <w:t>、含水层破坏监测</w:t>
      </w:r>
      <w:r>
        <w:rPr>
          <w:rFonts w:hint="eastAsia"/>
          <w:color w:val="000000" w:themeColor="text1"/>
          <w:highlight w:val="none"/>
        </w:rPr>
        <w:t>设计</w:t>
      </w:r>
    </w:p>
    <w:p>
      <w:pPr>
        <w:rPr>
          <w:color w:val="000000" w:themeColor="text1"/>
          <w:highlight w:val="none"/>
        </w:rPr>
      </w:pPr>
      <w:r>
        <w:rPr>
          <w:color w:val="000000" w:themeColor="text1"/>
          <w:highlight w:val="none"/>
        </w:rPr>
        <w:t>（1）监测点布设</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地表水</w:t>
      </w:r>
    </w:p>
    <w:p>
      <w:pPr>
        <w:rPr>
          <w:color w:val="000000" w:themeColor="text1"/>
          <w:highlight w:val="none"/>
        </w:rPr>
      </w:pPr>
      <w:r>
        <w:rPr>
          <w:color w:val="000000" w:themeColor="text1"/>
          <w:highlight w:val="none"/>
        </w:rPr>
        <w:t>根据污水排放去向，结合地表水系流向及纳污水体的有关功能要求，在</w:t>
      </w:r>
      <w:r>
        <w:rPr>
          <w:rFonts w:hint="eastAsia"/>
          <w:color w:val="000000" w:themeColor="text1"/>
          <w:highlight w:val="none"/>
          <w:lang w:eastAsia="zh-CN"/>
        </w:rPr>
        <w:t>矿山</w:t>
      </w:r>
      <w:r>
        <w:rPr>
          <w:color w:val="000000" w:themeColor="text1"/>
          <w:highlight w:val="none"/>
        </w:rPr>
        <w:t>下游布设1个监测</w:t>
      </w:r>
      <w:r>
        <w:rPr>
          <w:rFonts w:hint="eastAsia"/>
          <w:color w:val="000000" w:themeColor="text1"/>
          <w:highlight w:val="none"/>
          <w:lang w:eastAsia="zh-CN"/>
        </w:rPr>
        <w:t>点</w:t>
      </w:r>
      <w:r>
        <w:rPr>
          <w:color w:val="000000" w:themeColor="text1"/>
          <w:highlight w:val="none"/>
        </w:rPr>
        <w:t>。监测频率为每年一次。总计布设地表水水质监测点</w:t>
      </w:r>
      <w:r>
        <w:rPr>
          <w:rFonts w:hint="eastAsia"/>
          <w:color w:val="000000" w:themeColor="text1"/>
          <w:highlight w:val="none"/>
          <w:lang w:val="en-US" w:eastAsia="zh-CN"/>
        </w:rPr>
        <w:t>1</w:t>
      </w:r>
      <w:r>
        <w:rPr>
          <w:color w:val="000000" w:themeColor="text1"/>
          <w:highlight w:val="none"/>
        </w:rPr>
        <w:t>点，每年监测总次数</w:t>
      </w:r>
      <w:r>
        <w:rPr>
          <w:rFonts w:hint="eastAsia"/>
          <w:color w:val="000000" w:themeColor="text1"/>
          <w:highlight w:val="none"/>
        </w:rPr>
        <w:t>2</w:t>
      </w:r>
      <w:r>
        <w:rPr>
          <w:color w:val="000000" w:themeColor="text1"/>
          <w:highlight w:val="none"/>
        </w:rPr>
        <w:t>次。</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地下水</w:t>
      </w:r>
    </w:p>
    <w:p>
      <w:pPr>
        <w:rPr>
          <w:color w:val="000000" w:themeColor="text1"/>
          <w:highlight w:val="none"/>
        </w:rPr>
      </w:pPr>
      <w:r>
        <w:rPr>
          <w:color w:val="000000" w:themeColor="text1"/>
          <w:highlight w:val="none"/>
        </w:rPr>
        <w:t>为及时了解掌握对工业场地及附近孔隙地下水环境的影响，矿山开采是否会导致区内孔隙水地下水位下降，利用矿山勘探钻孔、村庄供水井和已有的农业灌溉井，设计在矿区范围内布设</w:t>
      </w:r>
      <w:r>
        <w:rPr>
          <w:rFonts w:hint="eastAsia"/>
          <w:color w:val="000000" w:themeColor="text1"/>
          <w:highlight w:val="none"/>
          <w:lang w:val="en-US" w:eastAsia="zh-CN"/>
        </w:rPr>
        <w:t>1</w:t>
      </w:r>
      <w:r>
        <w:rPr>
          <w:color w:val="000000" w:themeColor="text1"/>
          <w:highlight w:val="none"/>
        </w:rPr>
        <w:t>个孔隙地下水监测点，</w:t>
      </w:r>
      <w:r>
        <w:rPr>
          <w:rFonts w:hint="eastAsia"/>
          <w:color w:val="000000" w:themeColor="text1"/>
          <w:highlight w:val="none"/>
        </w:rPr>
        <w:t>1</w:t>
      </w:r>
      <w:r>
        <w:rPr>
          <w:color w:val="000000" w:themeColor="text1"/>
          <w:highlight w:val="none"/>
        </w:rPr>
        <w:t>个基岩含水层监测点，共计布设地下水水位、水质监测点</w:t>
      </w:r>
      <w:r>
        <w:rPr>
          <w:rFonts w:hint="eastAsia"/>
          <w:color w:val="000000" w:themeColor="text1"/>
          <w:highlight w:val="none"/>
          <w:lang w:val="en-US" w:eastAsia="zh-CN"/>
        </w:rPr>
        <w:t>2</w:t>
      </w:r>
      <w:r>
        <w:rPr>
          <w:color w:val="000000" w:themeColor="text1"/>
          <w:highlight w:val="none"/>
        </w:rPr>
        <w:t>个，表5-</w:t>
      </w:r>
      <w:r>
        <w:rPr>
          <w:rFonts w:hint="eastAsia"/>
          <w:color w:val="000000" w:themeColor="text1"/>
          <w:highlight w:val="none"/>
          <w:lang w:val="en-US" w:eastAsia="zh-CN"/>
        </w:rPr>
        <w:t>4</w:t>
      </w:r>
      <w:r>
        <w:rPr>
          <w:color w:val="000000" w:themeColor="text1"/>
          <w:highlight w:val="none"/>
        </w:rPr>
        <w:t>。</w:t>
      </w:r>
    </w:p>
    <w:p>
      <w:pPr>
        <w:rPr>
          <w:color w:val="000000" w:themeColor="text1"/>
          <w:highlight w:val="none"/>
        </w:rPr>
      </w:pPr>
      <w:r>
        <w:rPr>
          <w:color w:val="000000" w:themeColor="text1"/>
          <w:highlight w:val="none"/>
        </w:rPr>
        <w:t>水位监测频率为汛期每月一次</w:t>
      </w:r>
      <w:r>
        <w:rPr>
          <w:rFonts w:hint="eastAsia"/>
          <w:color w:val="000000" w:themeColor="text1"/>
          <w:highlight w:val="none"/>
        </w:rPr>
        <w:t>，</w:t>
      </w:r>
      <w:r>
        <w:rPr>
          <w:color w:val="000000" w:themeColor="text1"/>
          <w:highlight w:val="none"/>
        </w:rPr>
        <w:t>非汛期每三月一次</w:t>
      </w:r>
      <w:r>
        <w:rPr>
          <w:rFonts w:hint="eastAsia"/>
          <w:color w:val="000000" w:themeColor="text1"/>
          <w:highlight w:val="none"/>
        </w:rPr>
        <w:t>，</w:t>
      </w:r>
      <w:r>
        <w:rPr>
          <w:color w:val="000000" w:themeColor="text1"/>
          <w:highlight w:val="none"/>
        </w:rPr>
        <w:t>总计</w:t>
      </w:r>
      <w:r>
        <w:rPr>
          <w:rFonts w:hint="eastAsia"/>
          <w:color w:val="000000" w:themeColor="text1"/>
          <w:highlight w:val="none"/>
        </w:rPr>
        <w:t>6次</w:t>
      </w:r>
      <w:r>
        <w:rPr>
          <w:color w:val="000000" w:themeColor="text1"/>
          <w:highlight w:val="none"/>
        </w:rPr>
        <w:t>，水质监测频率为每年一次。监测工作由矿山企业进行监测或委托有资质单位的专业人员进行监测。</w:t>
      </w:r>
    </w:p>
    <w:p>
      <w:pPr>
        <w:pStyle w:val="67"/>
        <w:rPr>
          <w:color w:val="000000" w:themeColor="text1"/>
          <w:highlight w:val="none"/>
        </w:rPr>
      </w:pPr>
      <w:r>
        <w:rPr>
          <w:color w:val="000000" w:themeColor="text1"/>
          <w:highlight w:val="none"/>
        </w:rPr>
        <w:t>表5-</w:t>
      </w:r>
      <w:r>
        <w:rPr>
          <w:rFonts w:hint="eastAsia"/>
          <w:color w:val="000000" w:themeColor="text1"/>
          <w:highlight w:val="none"/>
          <w:lang w:val="en-US" w:eastAsia="zh-CN"/>
        </w:rPr>
        <w:t>4</w:t>
      </w:r>
      <w:r>
        <w:rPr>
          <w:rFonts w:hint="eastAsia"/>
          <w:color w:val="000000" w:themeColor="text1"/>
          <w:highlight w:val="none"/>
        </w:rPr>
        <w:t xml:space="preserve">  </w:t>
      </w:r>
      <w:r>
        <w:rPr>
          <w:color w:val="000000" w:themeColor="text1"/>
          <w:highlight w:val="none"/>
        </w:rPr>
        <w:t>含水层破坏监测点一览表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1368"/>
        <w:gridCol w:w="2274"/>
        <w:gridCol w:w="1515"/>
        <w:gridCol w:w="2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63"/>
              <w:rPr>
                <w:color w:val="000000" w:themeColor="text1"/>
                <w:highlight w:val="none"/>
              </w:rPr>
            </w:pPr>
            <w:r>
              <w:rPr>
                <w:color w:val="000000" w:themeColor="text1"/>
                <w:highlight w:val="none"/>
              </w:rPr>
              <w:t>编号</w:t>
            </w:r>
          </w:p>
        </w:tc>
        <w:tc>
          <w:tcPr>
            <w:tcW w:w="803" w:type="pct"/>
            <w:vAlign w:val="center"/>
          </w:tcPr>
          <w:p>
            <w:pPr>
              <w:pStyle w:val="63"/>
              <w:rPr>
                <w:color w:val="000000" w:themeColor="text1"/>
                <w:highlight w:val="none"/>
              </w:rPr>
            </w:pPr>
            <w:r>
              <w:rPr>
                <w:color w:val="000000" w:themeColor="text1"/>
                <w:highlight w:val="none"/>
              </w:rPr>
              <w:t>监测点位置</w:t>
            </w:r>
          </w:p>
        </w:tc>
        <w:tc>
          <w:tcPr>
            <w:tcW w:w="1335" w:type="pct"/>
            <w:vAlign w:val="center"/>
          </w:tcPr>
          <w:p>
            <w:pPr>
              <w:pStyle w:val="63"/>
              <w:rPr>
                <w:color w:val="000000" w:themeColor="text1"/>
                <w:highlight w:val="none"/>
              </w:rPr>
            </w:pPr>
            <w:r>
              <w:rPr>
                <w:color w:val="000000" w:themeColor="text1"/>
                <w:highlight w:val="none"/>
              </w:rPr>
              <w:t>监测对象</w:t>
            </w:r>
          </w:p>
        </w:tc>
        <w:tc>
          <w:tcPr>
            <w:tcW w:w="889" w:type="pct"/>
            <w:vAlign w:val="center"/>
          </w:tcPr>
          <w:p>
            <w:pPr>
              <w:pStyle w:val="63"/>
              <w:rPr>
                <w:color w:val="000000" w:themeColor="text1"/>
                <w:highlight w:val="none"/>
              </w:rPr>
            </w:pPr>
            <w:r>
              <w:rPr>
                <w:color w:val="000000" w:themeColor="text1"/>
                <w:highlight w:val="none"/>
              </w:rPr>
              <w:t>监测内容</w:t>
            </w:r>
          </w:p>
        </w:tc>
        <w:tc>
          <w:tcPr>
            <w:tcW w:w="1368" w:type="pct"/>
            <w:vAlign w:val="center"/>
          </w:tcPr>
          <w:p>
            <w:pPr>
              <w:pStyle w:val="63"/>
              <w:rPr>
                <w:color w:val="000000" w:themeColor="text1"/>
                <w:highlight w:val="none"/>
              </w:rPr>
            </w:pPr>
            <w:r>
              <w:rPr>
                <w:color w:val="000000" w:themeColor="text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63"/>
              <w:rPr>
                <w:color w:val="000000" w:themeColor="text1"/>
                <w:highlight w:val="none"/>
              </w:rPr>
            </w:pPr>
            <w:r>
              <w:rPr>
                <w:color w:val="000000" w:themeColor="text1"/>
                <w:highlight w:val="none"/>
              </w:rPr>
              <w:t>W1</w:t>
            </w:r>
          </w:p>
        </w:tc>
        <w:tc>
          <w:tcPr>
            <w:tcW w:w="803" w:type="pct"/>
            <w:vAlign w:val="center"/>
          </w:tcPr>
          <w:p>
            <w:pPr>
              <w:pStyle w:val="63"/>
              <w:rPr>
                <w:color w:val="000000" w:themeColor="text1"/>
                <w:highlight w:val="none"/>
              </w:rPr>
            </w:pPr>
            <w:r>
              <w:rPr>
                <w:rFonts w:hint="eastAsia"/>
                <w:color w:val="000000" w:themeColor="text1"/>
                <w:highlight w:val="none"/>
              </w:rPr>
              <w:t>露天采场</w:t>
            </w:r>
          </w:p>
        </w:tc>
        <w:tc>
          <w:tcPr>
            <w:tcW w:w="1335" w:type="pct"/>
            <w:vAlign w:val="center"/>
          </w:tcPr>
          <w:p>
            <w:pPr>
              <w:pStyle w:val="63"/>
              <w:rPr>
                <w:color w:val="000000" w:themeColor="text1"/>
                <w:highlight w:val="none"/>
              </w:rPr>
            </w:pPr>
            <w:r>
              <w:rPr>
                <w:color w:val="000000" w:themeColor="text1"/>
                <w:highlight w:val="none"/>
              </w:rPr>
              <w:t>第四系孔隙水</w:t>
            </w:r>
          </w:p>
        </w:tc>
        <w:tc>
          <w:tcPr>
            <w:tcW w:w="889" w:type="pct"/>
            <w:vAlign w:val="center"/>
          </w:tcPr>
          <w:p>
            <w:pPr>
              <w:pStyle w:val="63"/>
              <w:rPr>
                <w:color w:val="000000" w:themeColor="text1"/>
                <w:highlight w:val="none"/>
              </w:rPr>
            </w:pPr>
            <w:r>
              <w:rPr>
                <w:color w:val="000000" w:themeColor="text1"/>
                <w:highlight w:val="none"/>
              </w:rPr>
              <w:t>水位、水质</w:t>
            </w:r>
          </w:p>
        </w:tc>
        <w:tc>
          <w:tcPr>
            <w:tcW w:w="1368" w:type="pct"/>
            <w:vMerge w:val="restart"/>
            <w:vAlign w:val="center"/>
          </w:tcPr>
          <w:p>
            <w:pPr>
              <w:pStyle w:val="63"/>
              <w:rPr>
                <w:color w:val="000000" w:themeColor="text1"/>
                <w:highlight w:val="none"/>
              </w:rPr>
            </w:pPr>
            <w:r>
              <w:rPr>
                <w:color w:val="000000" w:themeColor="text1"/>
                <w:highlight w:val="none"/>
              </w:rPr>
              <w:t>水位每</w:t>
            </w:r>
            <w:r>
              <w:rPr>
                <w:rFonts w:hint="eastAsia"/>
                <w:color w:val="000000" w:themeColor="text1"/>
                <w:highlight w:val="none"/>
              </w:rPr>
              <w:t>年6</w:t>
            </w:r>
            <w:r>
              <w:rPr>
                <w:color w:val="000000" w:themeColor="text1"/>
                <w:highlight w:val="none"/>
              </w:rPr>
              <w:t>次，水质</w:t>
            </w:r>
            <w:r>
              <w:rPr>
                <w:rFonts w:hint="eastAsia"/>
                <w:color w:val="000000" w:themeColor="text1"/>
                <w:highlight w:val="none"/>
              </w:rPr>
              <w:t>每年1</w:t>
            </w:r>
            <w:r>
              <w:rPr>
                <w:color w:val="000000" w:themeColor="text1"/>
                <w:highlight w:val="none"/>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3" w:type="pct"/>
            <w:vAlign w:val="center"/>
          </w:tcPr>
          <w:p>
            <w:pPr>
              <w:pStyle w:val="63"/>
              <w:rPr>
                <w:color w:val="000000" w:themeColor="text1"/>
                <w:highlight w:val="none"/>
              </w:rPr>
            </w:pPr>
            <w:r>
              <w:rPr>
                <w:color w:val="000000" w:themeColor="text1"/>
                <w:highlight w:val="none"/>
              </w:rPr>
              <w:t>W2</w:t>
            </w:r>
          </w:p>
        </w:tc>
        <w:tc>
          <w:tcPr>
            <w:tcW w:w="803" w:type="pct"/>
            <w:vAlign w:val="center"/>
          </w:tcPr>
          <w:p>
            <w:pPr>
              <w:pStyle w:val="63"/>
              <w:rPr>
                <w:color w:val="000000" w:themeColor="text1"/>
                <w:highlight w:val="none"/>
              </w:rPr>
            </w:pPr>
            <w:r>
              <w:rPr>
                <w:rFonts w:hint="eastAsia"/>
                <w:color w:val="000000" w:themeColor="text1"/>
                <w:highlight w:val="none"/>
              </w:rPr>
              <w:t>露天采场</w:t>
            </w:r>
          </w:p>
        </w:tc>
        <w:tc>
          <w:tcPr>
            <w:tcW w:w="1335" w:type="pct"/>
            <w:vAlign w:val="center"/>
          </w:tcPr>
          <w:p>
            <w:pPr>
              <w:pStyle w:val="63"/>
              <w:rPr>
                <w:color w:val="000000" w:themeColor="text1"/>
                <w:highlight w:val="none"/>
              </w:rPr>
            </w:pPr>
            <w:r>
              <w:rPr>
                <w:color w:val="000000" w:themeColor="text1"/>
                <w:highlight w:val="none"/>
              </w:rPr>
              <w:t>中、粗砂岩溶裂隙水</w:t>
            </w:r>
          </w:p>
        </w:tc>
        <w:tc>
          <w:tcPr>
            <w:tcW w:w="889" w:type="pct"/>
            <w:vAlign w:val="center"/>
          </w:tcPr>
          <w:p>
            <w:pPr>
              <w:pStyle w:val="63"/>
              <w:rPr>
                <w:color w:val="000000" w:themeColor="text1"/>
                <w:highlight w:val="none"/>
              </w:rPr>
            </w:pPr>
            <w:r>
              <w:rPr>
                <w:color w:val="000000" w:themeColor="text1"/>
                <w:highlight w:val="none"/>
              </w:rPr>
              <w:t>水位、水质</w:t>
            </w:r>
          </w:p>
        </w:tc>
        <w:tc>
          <w:tcPr>
            <w:tcW w:w="1368" w:type="pct"/>
            <w:vMerge w:val="continue"/>
            <w:vAlign w:val="center"/>
          </w:tcPr>
          <w:p>
            <w:pPr>
              <w:pStyle w:val="63"/>
              <w:rPr>
                <w:color w:val="000000" w:themeColor="text1"/>
                <w:highlight w:val="none"/>
              </w:rPr>
            </w:pPr>
          </w:p>
        </w:tc>
      </w:tr>
    </w:tbl>
    <w:p>
      <w:pPr>
        <w:rPr>
          <w:color w:val="000000" w:themeColor="text1"/>
          <w:highlight w:val="none"/>
        </w:rPr>
      </w:pPr>
      <w:r>
        <w:rPr>
          <w:color w:val="000000" w:themeColor="text1"/>
          <w:highlight w:val="none"/>
        </w:rPr>
        <w:t>（2）技术要求</w:t>
      </w:r>
    </w:p>
    <w:p>
      <w:pPr>
        <w:rPr>
          <w:color w:val="000000" w:themeColor="text1"/>
          <w:highlight w:val="none"/>
        </w:rPr>
      </w:pPr>
      <w:r>
        <w:rPr>
          <w:color w:val="000000" w:themeColor="text1"/>
          <w:highlight w:val="none"/>
        </w:rPr>
        <w:t>做好各类观测点的保管工作，水位观测点应做标记，使观测位置在同一个点上。地下水监测的方法和精度应满足《地下水动态监测规程》（DZ/T0133—1994）的要求。</w:t>
      </w:r>
    </w:p>
    <w:p>
      <w:pPr>
        <w:rPr>
          <w:color w:val="000000" w:themeColor="text1"/>
          <w:highlight w:val="none"/>
        </w:rPr>
      </w:pPr>
      <w:r>
        <w:rPr>
          <w:color w:val="000000" w:themeColor="text1"/>
          <w:highlight w:val="none"/>
        </w:rPr>
        <w:t>取样工作严格按照国家标准《水质采样、样品的保存和管理技术规定（GB12999-91）》和《水质采样技术指导（GB12998-91）》的规定进行。水质分析工作应由取得省级计量认证的单位完成，测试技术和方法应符合有关规范、规程要求。监测项目分别按《地表水环境质量标准》（GB3838—2002）和地下水质量标准</w:t>
      </w:r>
      <w:r>
        <w:rPr>
          <w:rFonts w:hint="eastAsia"/>
          <w:color w:val="000000" w:themeColor="text1"/>
          <w:highlight w:val="none"/>
        </w:rPr>
        <w:t>（</w:t>
      </w:r>
      <w:r>
        <w:rPr>
          <w:color w:val="000000" w:themeColor="text1"/>
          <w:highlight w:val="none"/>
        </w:rPr>
        <w:t>GB/T14848-93</w:t>
      </w:r>
      <w:r>
        <w:rPr>
          <w:rFonts w:hint="eastAsia"/>
          <w:color w:val="000000" w:themeColor="text1"/>
          <w:highlight w:val="none"/>
        </w:rPr>
        <w:t>）</w:t>
      </w:r>
      <w:r>
        <w:rPr>
          <w:color w:val="000000" w:themeColor="text1"/>
          <w:highlight w:val="none"/>
        </w:rPr>
        <w:t>所列项目进行。监测工作由矿山企业进行监测或委托有资质的单位专业人员进行监测。</w:t>
      </w:r>
    </w:p>
    <w:p>
      <w:pPr>
        <w:rPr>
          <w:color w:val="000000" w:themeColor="text1"/>
          <w:highlight w:val="none"/>
        </w:rPr>
      </w:pPr>
      <w:r>
        <w:rPr>
          <w:rFonts w:hint="eastAsia"/>
          <w:color w:val="000000" w:themeColor="text1"/>
          <w:highlight w:val="none"/>
        </w:rPr>
        <w:t>4</w:t>
      </w:r>
      <w:r>
        <w:rPr>
          <w:color w:val="000000" w:themeColor="text1"/>
          <w:highlight w:val="none"/>
        </w:rPr>
        <w:t>、水土污染监测</w:t>
      </w:r>
      <w:r>
        <w:rPr>
          <w:rFonts w:hint="eastAsia"/>
          <w:color w:val="000000" w:themeColor="text1"/>
          <w:highlight w:val="none"/>
        </w:rPr>
        <w:t>设计</w:t>
      </w:r>
    </w:p>
    <w:p>
      <w:pPr>
        <w:rPr>
          <w:color w:val="000000" w:themeColor="text1"/>
          <w:highlight w:val="none"/>
        </w:rPr>
      </w:pPr>
      <w:r>
        <w:rPr>
          <w:color w:val="000000" w:themeColor="text1"/>
          <w:highlight w:val="none"/>
        </w:rPr>
        <w:t>在区内布设水土污染监测点</w:t>
      </w:r>
      <w:r>
        <w:rPr>
          <w:rFonts w:hint="eastAsia"/>
          <w:color w:val="000000" w:themeColor="text1"/>
          <w:highlight w:val="none"/>
        </w:rPr>
        <w:t>2</w:t>
      </w:r>
      <w:r>
        <w:rPr>
          <w:color w:val="000000" w:themeColor="text1"/>
          <w:highlight w:val="none"/>
        </w:rPr>
        <w:t>个，位于</w:t>
      </w:r>
      <w:r>
        <w:rPr>
          <w:rFonts w:hint="eastAsia"/>
          <w:color w:val="000000" w:themeColor="text1"/>
          <w:highlight w:val="none"/>
          <w:lang w:eastAsia="zh-CN"/>
        </w:rPr>
        <w:t>老</w:t>
      </w:r>
      <w:r>
        <w:rPr>
          <w:rFonts w:hint="eastAsia"/>
          <w:color w:val="000000" w:themeColor="text1"/>
          <w:highlight w:val="none"/>
        </w:rPr>
        <w:t>露天采场和</w:t>
      </w:r>
      <w:r>
        <w:rPr>
          <w:rFonts w:hint="eastAsia"/>
          <w:color w:val="000000" w:themeColor="text1"/>
          <w:highlight w:val="none"/>
          <w:lang w:eastAsia="zh-CN"/>
        </w:rPr>
        <w:t>新露天采场</w:t>
      </w:r>
      <w:r>
        <w:rPr>
          <w:color w:val="000000" w:themeColor="text1"/>
          <w:highlight w:val="none"/>
        </w:rPr>
        <w:t>。每年取土壤测试样</w:t>
      </w:r>
      <w:r>
        <w:rPr>
          <w:rFonts w:hint="eastAsia"/>
          <w:color w:val="000000" w:themeColor="text1"/>
          <w:highlight w:val="none"/>
        </w:rPr>
        <w:t>2</w:t>
      </w:r>
      <w:r>
        <w:rPr>
          <w:color w:val="000000" w:themeColor="text1"/>
          <w:highlight w:val="none"/>
        </w:rPr>
        <w:t>件，</w:t>
      </w:r>
      <w:r>
        <w:rPr>
          <w:rFonts w:hint="eastAsia"/>
          <w:color w:val="000000" w:themeColor="text1"/>
          <w:highlight w:val="none"/>
          <w:lang w:eastAsia="zh-CN"/>
        </w:rPr>
        <w:t>监测时限</w:t>
      </w:r>
      <w:r>
        <w:rPr>
          <w:rFonts w:hint="eastAsia"/>
          <w:color w:val="000000" w:themeColor="text1"/>
          <w:highlight w:val="none"/>
          <w:lang w:val="en-US" w:eastAsia="zh-CN"/>
        </w:rPr>
        <w:t>4.2年，</w:t>
      </w:r>
      <w:r>
        <w:rPr>
          <w:color w:val="000000" w:themeColor="text1"/>
          <w:highlight w:val="none"/>
        </w:rPr>
        <w:t>共</w:t>
      </w:r>
      <w:r>
        <w:rPr>
          <w:rFonts w:hint="eastAsia"/>
          <w:color w:val="000000" w:themeColor="text1"/>
          <w:highlight w:val="none"/>
          <w:lang w:val="en-US" w:eastAsia="zh-CN"/>
        </w:rPr>
        <w:t>8</w:t>
      </w:r>
      <w:r>
        <w:rPr>
          <w:color w:val="000000" w:themeColor="text1"/>
          <w:highlight w:val="none"/>
        </w:rPr>
        <w:t>件。测试项目为Cr、Cu、Zn、Pb、As、Cd、Hg等7种。</w:t>
      </w:r>
    </w:p>
    <w:p>
      <w:pPr>
        <w:pStyle w:val="5"/>
        <w:spacing w:before="82" w:after="82"/>
        <w:rPr>
          <w:color w:val="000000" w:themeColor="text1"/>
          <w:highlight w:val="none"/>
        </w:rPr>
      </w:pPr>
      <w:bookmarkStart w:id="230" w:name="_Toc30150"/>
      <w:bookmarkStart w:id="231" w:name="_Toc29500"/>
      <w:r>
        <w:rPr>
          <w:color w:val="000000" w:themeColor="text1"/>
          <w:highlight w:val="none"/>
        </w:rPr>
        <w:t>5.6.3技术措施</w:t>
      </w:r>
      <w:bookmarkEnd w:id="230"/>
      <w:bookmarkEnd w:id="231"/>
    </w:p>
    <w:p>
      <w:pPr>
        <w:rPr>
          <w:color w:val="000000" w:themeColor="text1"/>
          <w:highlight w:val="none"/>
        </w:rPr>
      </w:pPr>
      <w:r>
        <w:rPr>
          <w:rFonts w:hint="eastAsia"/>
          <w:color w:val="000000" w:themeColor="text1"/>
          <w:highlight w:val="none"/>
        </w:rPr>
        <w:t>1、矿山地质灾害监测措施</w:t>
      </w:r>
    </w:p>
    <w:p>
      <w:pPr>
        <w:rPr>
          <w:color w:val="000000" w:themeColor="text1"/>
          <w:highlight w:val="none"/>
        </w:rPr>
      </w:pPr>
      <w:r>
        <w:rPr>
          <w:rFonts w:hint="eastAsia"/>
          <w:color w:val="000000" w:themeColor="text1"/>
          <w:highlight w:val="none"/>
        </w:rPr>
        <w:t>矿山地质灾害监测露天采场边坡和加工区可能发生地质灾害的区域进行监测。根据矿山地质灾害现状评估和预测评估，露天采场边坡和加工区存在高边坡，虽然发生崩塌、滑坡等地质灾害的可能性小，但也要做好预防工作。因此本次监测的对象主要为露天采场边坡和加工区，监测内容为露天采场边坡和加工区及其周边可能发生地质灾害的情况。</w:t>
      </w:r>
    </w:p>
    <w:p>
      <w:pPr>
        <w:autoSpaceDE w:val="0"/>
        <w:rPr>
          <w:color w:val="000000" w:themeColor="text1"/>
          <w:highlight w:val="none"/>
        </w:rPr>
      </w:pPr>
      <w:r>
        <w:rPr>
          <w:rFonts w:hint="eastAsia"/>
          <w:color w:val="000000" w:themeColor="text1"/>
          <w:highlight w:val="none"/>
        </w:rPr>
        <w:t>2</w:t>
      </w:r>
      <w:r>
        <w:rPr>
          <w:rFonts w:ascii="宋体" w:hAnsi="宋体"/>
          <w:color w:val="000000" w:themeColor="text1"/>
          <w:highlight w:val="none"/>
        </w:rPr>
        <w:t>、雨量监测措施</w:t>
      </w:r>
    </w:p>
    <w:p>
      <w:pPr>
        <w:autoSpaceDE w:val="0"/>
        <w:rPr>
          <w:color w:val="000000" w:themeColor="text1"/>
          <w:highlight w:val="none"/>
        </w:rPr>
      </w:pPr>
      <w:r>
        <w:rPr>
          <w:rFonts w:ascii="宋体" w:hAnsi="宋体"/>
          <w:color w:val="000000" w:themeColor="text1"/>
          <w:highlight w:val="none"/>
        </w:rPr>
        <w:t>在</w:t>
      </w:r>
      <w:r>
        <w:rPr>
          <w:rFonts w:hint="eastAsia" w:ascii="宋体" w:hAnsi="宋体"/>
          <w:color w:val="000000" w:themeColor="text1"/>
          <w:highlight w:val="none"/>
        </w:rPr>
        <w:t>露天采场</w:t>
      </w:r>
      <w:r>
        <w:rPr>
          <w:rFonts w:ascii="宋体" w:hAnsi="宋体"/>
          <w:color w:val="000000" w:themeColor="text1"/>
          <w:highlight w:val="none"/>
        </w:rPr>
        <w:t>区域安装一套太阳能电子雨量监测系统实现对项目区雨量的实时监控，结合当地年降雨特征和洪水警戒值，设定本项目的雨量监测报警值，当雨量超过该报警值后系统将直接以短信的方式进行通知，以便挡雨量达到报警值后及时组织受威胁人员安全转移，确保人民生命财产安全。并且该系统可通过实时监测的雨量数据形成年度降雨记录表和雨量变化曲线，可为项目区年度降雨变化分析提供基础数据，建议矿方主动联系当地自然资源主管部门，获取区域降雨预警信息，同时将矿山设置的雨量监测点数据共享给自然资源局，设置降雨量预警阈值，切实起到预警的作用。</w:t>
      </w:r>
    </w:p>
    <w:p>
      <w:pPr>
        <w:rPr>
          <w:color w:val="000000" w:themeColor="text1"/>
          <w:highlight w:val="none"/>
        </w:rPr>
      </w:pPr>
      <w:r>
        <w:rPr>
          <w:rFonts w:hint="eastAsia"/>
          <w:color w:val="000000" w:themeColor="text1"/>
          <w:highlight w:val="none"/>
        </w:rPr>
        <w:t>3、GNSS变形监测</w:t>
      </w:r>
    </w:p>
    <w:p>
      <w:pPr>
        <w:jc w:val="both"/>
        <w:rPr>
          <w:color w:val="000000" w:themeColor="text1"/>
          <w:highlight w:val="none"/>
        </w:rPr>
      </w:pPr>
      <w:r>
        <w:rPr>
          <w:color w:val="000000" w:themeColor="text1"/>
          <w:highlight w:val="none"/>
        </w:rPr>
        <w:t>主要对露天采场可能存在的潜在不稳定边坡进行监测</w:t>
      </w:r>
      <w:r>
        <w:rPr>
          <w:rFonts w:hint="eastAsia"/>
          <w:color w:val="000000" w:themeColor="text1"/>
          <w:highlight w:val="none"/>
        </w:rPr>
        <w:t>，</w:t>
      </w:r>
      <w:r>
        <w:rPr>
          <w:color w:val="000000" w:themeColor="text1"/>
          <w:highlight w:val="none"/>
        </w:rPr>
        <w:t>本方案设计在露天采场边坡每隔两个平台安装一套GNSS监测设备</w:t>
      </w:r>
      <w:r>
        <w:rPr>
          <w:rFonts w:hint="eastAsia"/>
          <w:color w:val="000000" w:themeColor="text1"/>
          <w:highlight w:val="none"/>
        </w:rPr>
        <w:t>，</w:t>
      </w:r>
      <w:r>
        <w:rPr>
          <w:color w:val="000000" w:themeColor="text1"/>
          <w:highlight w:val="none"/>
        </w:rPr>
        <w:t>对露天采场边坡进行适时监测</w:t>
      </w:r>
      <w:r>
        <w:rPr>
          <w:rFonts w:hint="eastAsia"/>
          <w:color w:val="000000" w:themeColor="text1"/>
          <w:highlight w:val="none"/>
        </w:rPr>
        <w:t>，</w:t>
      </w:r>
      <w:r>
        <w:rPr>
          <w:color w:val="000000" w:themeColor="text1"/>
          <w:highlight w:val="none"/>
        </w:rPr>
        <w:t>设计在采场内布设</w:t>
      </w:r>
      <w:r>
        <w:rPr>
          <w:rFonts w:hint="eastAsia"/>
          <w:color w:val="000000" w:themeColor="text1"/>
          <w:highlight w:val="none"/>
        </w:rPr>
        <w:t>4个点，在矿山项目部布设一个基站及机房配套设施。设计布置视频监测一套。</w:t>
      </w:r>
    </w:p>
    <w:p>
      <w:pPr>
        <w:rPr>
          <w:color w:val="000000" w:themeColor="text1"/>
          <w:highlight w:val="none"/>
        </w:rPr>
      </w:pPr>
      <w:r>
        <w:rPr>
          <w:rFonts w:hint="eastAsia"/>
          <w:color w:val="000000" w:themeColor="text1"/>
          <w:highlight w:val="none"/>
        </w:rPr>
        <w:t>4、</w:t>
      </w:r>
      <w:r>
        <w:rPr>
          <w:color w:val="000000" w:themeColor="text1"/>
          <w:highlight w:val="none"/>
        </w:rPr>
        <w:t>含水层破坏监测</w:t>
      </w:r>
      <w:r>
        <w:rPr>
          <w:rFonts w:hint="eastAsia"/>
          <w:color w:val="000000" w:themeColor="text1"/>
          <w:highlight w:val="none"/>
        </w:rPr>
        <w:t>措施</w:t>
      </w:r>
    </w:p>
    <w:p>
      <w:pPr>
        <w:rPr>
          <w:color w:val="000000" w:themeColor="text1"/>
          <w:highlight w:val="none"/>
        </w:rPr>
      </w:pPr>
      <w:r>
        <w:rPr>
          <w:color w:val="000000" w:themeColor="text1"/>
          <w:highlight w:val="none"/>
        </w:rPr>
        <w:t>防止矿山开采可能对区内主要取水含水层的破坏，应加强对该含水层的监测，监测内容主要为水位和水质监测。由于地下水补给来源主要为大气降水和地表水体渗漏补给，虽然矿坑排水对水环境的影响较小，但亦应考虑污染元素长期积累的影响。因此，也应针对矿坑排水对水环境的影响来布设地表水监测点。</w:t>
      </w:r>
    </w:p>
    <w:p>
      <w:pPr>
        <w:rPr>
          <w:color w:val="000000" w:themeColor="text1"/>
          <w:highlight w:val="none"/>
        </w:rPr>
      </w:pPr>
      <w:r>
        <w:rPr>
          <w:rFonts w:hint="eastAsia"/>
          <w:color w:val="000000" w:themeColor="text1"/>
          <w:highlight w:val="none"/>
        </w:rPr>
        <w:t>5、</w:t>
      </w:r>
      <w:r>
        <w:rPr>
          <w:color w:val="000000" w:themeColor="text1"/>
          <w:highlight w:val="none"/>
        </w:rPr>
        <w:t>水土污染监测</w:t>
      </w:r>
      <w:r>
        <w:rPr>
          <w:rFonts w:hint="eastAsia"/>
          <w:color w:val="000000" w:themeColor="text1"/>
          <w:highlight w:val="none"/>
        </w:rPr>
        <w:t>措施</w:t>
      </w:r>
    </w:p>
    <w:p>
      <w:pPr>
        <w:rPr>
          <w:color w:val="000000" w:themeColor="text1"/>
          <w:highlight w:val="none"/>
        </w:rPr>
      </w:pPr>
      <w:r>
        <w:rPr>
          <w:rFonts w:hint="eastAsia"/>
          <w:color w:val="000000" w:themeColor="text1"/>
          <w:highlight w:val="none"/>
        </w:rPr>
        <w:t>矿区</w:t>
      </w:r>
      <w:r>
        <w:rPr>
          <w:color w:val="000000" w:themeColor="text1"/>
          <w:highlight w:val="none"/>
        </w:rPr>
        <w:t>周围土地会因矿山排放废水和废渣的影响可能受到不同程度的污染。为了掌握区内土壤环境治理状况和受污染程度，在区内布设水土污染监测点。</w:t>
      </w:r>
    </w:p>
    <w:p>
      <w:pPr>
        <w:pStyle w:val="5"/>
        <w:spacing w:before="82" w:after="82"/>
        <w:rPr>
          <w:color w:val="000000" w:themeColor="text1"/>
          <w:highlight w:val="none"/>
        </w:rPr>
      </w:pPr>
      <w:bookmarkStart w:id="232" w:name="_Toc10053"/>
      <w:bookmarkStart w:id="233" w:name="_Toc14085"/>
      <w:r>
        <w:rPr>
          <w:color w:val="000000" w:themeColor="text1"/>
          <w:highlight w:val="none"/>
        </w:rPr>
        <w:t>5.6.4主要工程量</w:t>
      </w:r>
      <w:bookmarkEnd w:id="232"/>
      <w:bookmarkEnd w:id="233"/>
    </w:p>
    <w:p>
      <w:pPr>
        <w:rPr>
          <w:color w:val="000000" w:themeColor="text1"/>
          <w:highlight w:val="none"/>
        </w:rPr>
      </w:pPr>
      <w:r>
        <w:rPr>
          <w:rFonts w:hint="eastAsia"/>
          <w:color w:val="000000" w:themeColor="text1"/>
          <w:highlight w:val="none"/>
        </w:rPr>
        <w:t>1、矿山地质灾害监测工作量</w:t>
      </w:r>
    </w:p>
    <w:p>
      <w:pPr>
        <w:rPr>
          <w:color w:val="000000" w:themeColor="text1"/>
          <w:highlight w:val="none"/>
        </w:rPr>
      </w:pPr>
      <w:r>
        <w:rPr>
          <w:rFonts w:hint="eastAsia"/>
          <w:color w:val="000000" w:themeColor="text1"/>
          <w:highlight w:val="none"/>
        </w:rPr>
        <w:t>本方案采用人工观测巡视的方法，从202</w:t>
      </w:r>
      <w:r>
        <w:rPr>
          <w:rFonts w:hint="eastAsia"/>
          <w:color w:val="000000" w:themeColor="text1"/>
          <w:highlight w:val="none"/>
          <w:lang w:val="en-US" w:eastAsia="zh-CN"/>
        </w:rPr>
        <w:t>2</w:t>
      </w:r>
      <w:r>
        <w:rPr>
          <w:rFonts w:hint="eastAsia"/>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月至20</w:t>
      </w:r>
      <w:r>
        <w:rPr>
          <w:rFonts w:hint="eastAsia"/>
          <w:color w:val="000000" w:themeColor="text1"/>
          <w:highlight w:val="none"/>
          <w:lang w:val="en-US" w:eastAsia="zh-CN"/>
        </w:rPr>
        <w:t>27</w:t>
      </w:r>
      <w:r>
        <w:rPr>
          <w:rFonts w:hint="eastAsia"/>
          <w:color w:val="000000" w:themeColor="text1"/>
          <w:highlight w:val="none"/>
        </w:rPr>
        <w:t>年</w:t>
      </w:r>
      <w:r>
        <w:rPr>
          <w:rFonts w:hint="eastAsia"/>
          <w:color w:val="000000" w:themeColor="text1"/>
          <w:highlight w:val="none"/>
          <w:lang w:val="en-US" w:eastAsia="zh-CN"/>
        </w:rPr>
        <w:t>2</w:t>
      </w:r>
      <w:r>
        <w:rPr>
          <w:rFonts w:hint="eastAsia"/>
          <w:color w:val="000000" w:themeColor="text1"/>
          <w:highlight w:val="none"/>
        </w:rPr>
        <w:t>月，累计监测次数约</w:t>
      </w:r>
      <w:r>
        <w:rPr>
          <w:rFonts w:hint="eastAsia"/>
          <w:color w:val="000000" w:themeColor="text1"/>
          <w:highlight w:val="none"/>
          <w:lang w:val="en-US" w:eastAsia="zh-CN"/>
        </w:rPr>
        <w:t>132</w:t>
      </w:r>
      <w:r>
        <w:rPr>
          <w:rFonts w:hint="eastAsia"/>
          <w:color w:val="000000" w:themeColor="text1"/>
          <w:highlight w:val="none"/>
        </w:rPr>
        <w:t>次。</w:t>
      </w:r>
    </w:p>
    <w:p>
      <w:pPr>
        <w:rPr>
          <w:color w:val="000000" w:themeColor="text1"/>
          <w:highlight w:val="none"/>
        </w:rPr>
      </w:pPr>
      <w:r>
        <w:rPr>
          <w:rFonts w:hint="eastAsia"/>
          <w:color w:val="000000" w:themeColor="text1"/>
          <w:highlight w:val="none"/>
        </w:rPr>
        <w:t>2、雨量监测</w:t>
      </w:r>
    </w:p>
    <w:p>
      <w:pPr>
        <w:rPr>
          <w:color w:val="000000" w:themeColor="text1"/>
          <w:highlight w:val="none"/>
        </w:rPr>
      </w:pPr>
      <w:r>
        <w:rPr>
          <w:rFonts w:ascii="宋体" w:hAnsi="宋体"/>
          <w:color w:val="000000" w:themeColor="text1"/>
          <w:highlight w:val="none"/>
        </w:rPr>
        <w:t>在</w:t>
      </w:r>
      <w:r>
        <w:rPr>
          <w:rFonts w:hint="eastAsia" w:ascii="宋体" w:hAnsi="宋体"/>
          <w:color w:val="000000" w:themeColor="text1"/>
          <w:highlight w:val="none"/>
        </w:rPr>
        <w:t>露天采场</w:t>
      </w:r>
      <w:r>
        <w:rPr>
          <w:rFonts w:ascii="宋体" w:hAnsi="宋体"/>
          <w:color w:val="000000" w:themeColor="text1"/>
          <w:highlight w:val="none"/>
        </w:rPr>
        <w:t>区域安装一套太阳能电子雨量监测系统实现对项目区雨量的实时监控</w:t>
      </w:r>
      <w:r>
        <w:rPr>
          <w:rFonts w:hint="eastAsia" w:ascii="宋体" w:hAnsi="宋体"/>
          <w:color w:val="000000" w:themeColor="text1"/>
          <w:highlight w:val="none"/>
        </w:rPr>
        <w:t>。</w:t>
      </w:r>
    </w:p>
    <w:p>
      <w:pPr>
        <w:rPr>
          <w:color w:val="000000" w:themeColor="text1"/>
          <w:highlight w:val="none"/>
        </w:rPr>
      </w:pPr>
      <w:r>
        <w:rPr>
          <w:rFonts w:hint="eastAsia"/>
          <w:color w:val="000000" w:themeColor="text1"/>
          <w:highlight w:val="none"/>
        </w:rPr>
        <w:t>3、GNSS变形监测</w:t>
      </w:r>
    </w:p>
    <w:p>
      <w:pPr>
        <w:rPr>
          <w:color w:val="000000" w:themeColor="text1"/>
          <w:highlight w:val="none"/>
        </w:rPr>
      </w:pPr>
      <w:r>
        <w:rPr>
          <w:color w:val="000000" w:themeColor="text1"/>
          <w:highlight w:val="none"/>
        </w:rPr>
        <w:t>在采场内布设</w:t>
      </w:r>
      <w:r>
        <w:rPr>
          <w:rFonts w:hint="eastAsia"/>
          <w:color w:val="000000" w:themeColor="text1"/>
          <w:highlight w:val="none"/>
        </w:rPr>
        <w:t>4个点，在矿山项目部布设一个基站及机房配套设施，共计需要GNSS监测设备</w:t>
      </w:r>
      <w:r>
        <w:rPr>
          <w:rFonts w:hint="eastAsia"/>
          <w:color w:val="000000" w:themeColor="text1"/>
          <w:highlight w:val="none"/>
          <w:lang w:val="en-US" w:eastAsia="zh-CN"/>
        </w:rPr>
        <w:t>5</w:t>
      </w:r>
      <w:r>
        <w:rPr>
          <w:rFonts w:hint="eastAsia"/>
          <w:color w:val="000000" w:themeColor="text1"/>
          <w:highlight w:val="none"/>
        </w:rPr>
        <w:t>套，机房及配套设施一套，视频监测设备一套。</w:t>
      </w:r>
    </w:p>
    <w:p>
      <w:pPr>
        <w:rPr>
          <w:color w:val="000000" w:themeColor="text1"/>
          <w:highlight w:val="none"/>
        </w:rPr>
      </w:pPr>
      <w:r>
        <w:rPr>
          <w:rFonts w:hint="eastAsia"/>
          <w:color w:val="000000" w:themeColor="text1"/>
          <w:highlight w:val="none"/>
        </w:rPr>
        <w:t>4</w:t>
      </w:r>
      <w:r>
        <w:rPr>
          <w:color w:val="000000" w:themeColor="text1"/>
          <w:highlight w:val="none"/>
        </w:rPr>
        <w:t>、含水层破坏监测工作量</w:t>
      </w:r>
    </w:p>
    <w:p>
      <w:pPr>
        <w:rPr>
          <w:color w:val="000000" w:themeColor="text1"/>
          <w:highlight w:val="none"/>
        </w:rPr>
      </w:pPr>
      <w:r>
        <w:rPr>
          <w:color w:val="000000" w:themeColor="text1"/>
          <w:highlight w:val="none"/>
        </w:rPr>
        <w:t>本次工作布设地表水水质监测点2处，监测频率每年</w:t>
      </w:r>
      <w:r>
        <w:rPr>
          <w:rFonts w:hint="eastAsia"/>
          <w:color w:val="000000" w:themeColor="text1"/>
          <w:highlight w:val="none"/>
        </w:rPr>
        <w:t>1</w:t>
      </w:r>
      <w:r>
        <w:rPr>
          <w:color w:val="000000" w:themeColor="text1"/>
          <w:highlight w:val="none"/>
        </w:rPr>
        <w:t>次，监测时间为</w:t>
      </w:r>
      <w:r>
        <w:rPr>
          <w:rFonts w:hint="eastAsia"/>
          <w:color w:val="000000" w:themeColor="text1"/>
          <w:highlight w:val="none"/>
          <w:lang w:val="en-US" w:eastAsia="zh-CN"/>
        </w:rPr>
        <w:t>4.2</w:t>
      </w:r>
      <w:r>
        <w:rPr>
          <w:color w:val="000000" w:themeColor="text1"/>
          <w:highlight w:val="none"/>
        </w:rPr>
        <w:t>年，总工作</w:t>
      </w:r>
      <w:r>
        <w:rPr>
          <w:rFonts w:hint="eastAsia"/>
          <w:color w:val="000000" w:themeColor="text1"/>
          <w:highlight w:val="none"/>
          <w:lang w:val="en-US" w:eastAsia="zh-CN"/>
        </w:rPr>
        <w:t>8</w:t>
      </w:r>
      <w:r>
        <w:rPr>
          <w:color w:val="000000" w:themeColor="text1"/>
          <w:highlight w:val="none"/>
        </w:rPr>
        <w:t>点•次。</w:t>
      </w:r>
    </w:p>
    <w:p>
      <w:pPr>
        <w:rPr>
          <w:color w:val="000000" w:themeColor="text1"/>
          <w:highlight w:val="none"/>
        </w:rPr>
      </w:pPr>
      <w:r>
        <w:rPr>
          <w:color w:val="000000" w:themeColor="text1"/>
          <w:highlight w:val="none"/>
        </w:rPr>
        <w:t>本次工作布设地下水监测点</w:t>
      </w:r>
      <w:r>
        <w:rPr>
          <w:rFonts w:hint="eastAsia"/>
          <w:color w:val="000000" w:themeColor="text1"/>
          <w:highlight w:val="none"/>
          <w:lang w:val="en-US" w:eastAsia="zh-CN"/>
        </w:rPr>
        <w:t>2</w:t>
      </w:r>
      <w:r>
        <w:rPr>
          <w:color w:val="000000" w:themeColor="text1"/>
          <w:highlight w:val="none"/>
        </w:rPr>
        <w:t>处，地下水水位测频率每年</w:t>
      </w:r>
      <w:r>
        <w:rPr>
          <w:rFonts w:hint="eastAsia"/>
          <w:color w:val="000000" w:themeColor="text1"/>
          <w:highlight w:val="none"/>
        </w:rPr>
        <w:t>6</w:t>
      </w:r>
      <w:r>
        <w:rPr>
          <w:color w:val="000000" w:themeColor="text1"/>
          <w:highlight w:val="none"/>
        </w:rPr>
        <w:t>次，地下水水质监测频率每年</w:t>
      </w:r>
      <w:r>
        <w:rPr>
          <w:rFonts w:hint="eastAsia"/>
          <w:color w:val="000000" w:themeColor="text1"/>
          <w:highlight w:val="none"/>
        </w:rPr>
        <w:t>1</w:t>
      </w:r>
      <w:r>
        <w:rPr>
          <w:color w:val="000000" w:themeColor="text1"/>
          <w:highlight w:val="none"/>
        </w:rPr>
        <w:t>次，监测时间为</w:t>
      </w:r>
      <w:r>
        <w:rPr>
          <w:rFonts w:hint="eastAsia"/>
          <w:color w:val="000000" w:themeColor="text1"/>
          <w:highlight w:val="none"/>
          <w:lang w:val="en-US" w:eastAsia="zh-CN"/>
        </w:rPr>
        <w:t>4.2</w:t>
      </w:r>
      <w:r>
        <w:rPr>
          <w:color w:val="000000" w:themeColor="text1"/>
          <w:highlight w:val="none"/>
        </w:rPr>
        <w:t>年，总工作量地下水水位监测</w:t>
      </w:r>
      <w:r>
        <w:rPr>
          <w:rFonts w:hint="eastAsia"/>
          <w:color w:val="000000" w:themeColor="text1"/>
          <w:highlight w:val="none"/>
          <w:lang w:val="en-US" w:eastAsia="zh-CN"/>
        </w:rPr>
        <w:t>48</w:t>
      </w:r>
      <w:r>
        <w:rPr>
          <w:color w:val="000000" w:themeColor="text1"/>
          <w:highlight w:val="none"/>
        </w:rPr>
        <w:t>点·次，地下水水质监测</w:t>
      </w:r>
      <w:r>
        <w:rPr>
          <w:rFonts w:hint="eastAsia"/>
          <w:color w:val="000000" w:themeColor="text1"/>
          <w:highlight w:val="none"/>
          <w:lang w:val="en-US" w:eastAsia="zh-CN"/>
        </w:rPr>
        <w:t>8</w:t>
      </w:r>
      <w:r>
        <w:rPr>
          <w:color w:val="000000" w:themeColor="text1"/>
          <w:highlight w:val="none"/>
        </w:rPr>
        <w:t>点·次。</w:t>
      </w:r>
    </w:p>
    <w:p>
      <w:pPr>
        <w:rPr>
          <w:color w:val="000000" w:themeColor="text1"/>
          <w:highlight w:val="none"/>
        </w:rPr>
      </w:pPr>
      <w:r>
        <w:rPr>
          <w:rFonts w:hint="eastAsia"/>
          <w:color w:val="000000" w:themeColor="text1"/>
          <w:highlight w:val="none"/>
        </w:rPr>
        <w:t>5</w:t>
      </w:r>
      <w:r>
        <w:rPr>
          <w:color w:val="000000" w:themeColor="text1"/>
          <w:highlight w:val="none"/>
        </w:rPr>
        <w:t>、水土污染监测工作量</w:t>
      </w:r>
    </w:p>
    <w:p>
      <w:pPr>
        <w:rPr>
          <w:color w:val="000000" w:themeColor="text1"/>
          <w:highlight w:val="none"/>
        </w:rPr>
      </w:pPr>
      <w:r>
        <w:rPr>
          <w:color w:val="000000" w:themeColor="text1"/>
          <w:highlight w:val="none"/>
        </w:rPr>
        <w:t>本次工作布设土壤监测点2处，监测频率每年1次，监测时间为</w:t>
      </w:r>
      <w:r>
        <w:rPr>
          <w:rFonts w:hint="eastAsia"/>
          <w:color w:val="000000" w:themeColor="text1"/>
          <w:highlight w:val="none"/>
          <w:lang w:val="en-US" w:eastAsia="zh-CN"/>
        </w:rPr>
        <w:t>4.2</w:t>
      </w:r>
      <w:r>
        <w:rPr>
          <w:color w:val="000000" w:themeColor="text1"/>
          <w:highlight w:val="none"/>
        </w:rPr>
        <w:t>年，总工作量</w:t>
      </w:r>
      <w:r>
        <w:rPr>
          <w:rFonts w:hint="eastAsia"/>
          <w:color w:val="000000" w:themeColor="text1"/>
          <w:highlight w:val="none"/>
          <w:lang w:val="en-US" w:eastAsia="zh-CN"/>
        </w:rPr>
        <w:t>8</w:t>
      </w:r>
      <w:r>
        <w:rPr>
          <w:color w:val="000000" w:themeColor="text1"/>
          <w:highlight w:val="none"/>
        </w:rPr>
        <w:t>点·次。</w:t>
      </w:r>
    </w:p>
    <w:p>
      <w:pPr>
        <w:rPr>
          <w:color w:val="000000" w:themeColor="text1"/>
          <w:highlight w:val="none"/>
        </w:rPr>
      </w:pPr>
      <w:r>
        <w:rPr>
          <w:rFonts w:hint="eastAsia"/>
          <w:color w:val="000000" w:themeColor="text1"/>
          <w:highlight w:val="none"/>
        </w:rPr>
        <w:t>6</w:t>
      </w:r>
      <w:r>
        <w:rPr>
          <w:color w:val="000000" w:themeColor="text1"/>
          <w:highlight w:val="none"/>
        </w:rPr>
        <w:t>、矿山地质环境监测工程量汇总</w:t>
      </w:r>
    </w:p>
    <w:p>
      <w:pPr>
        <w:rPr>
          <w:color w:val="000000" w:themeColor="text1"/>
          <w:highlight w:val="none"/>
        </w:rPr>
      </w:pPr>
      <w:r>
        <w:rPr>
          <w:color w:val="000000" w:themeColor="text1"/>
          <w:highlight w:val="none"/>
        </w:rPr>
        <w:t>矿山地质环境监测工程量汇总详见表5-</w:t>
      </w:r>
      <w:r>
        <w:rPr>
          <w:rFonts w:hint="eastAsia"/>
          <w:color w:val="000000" w:themeColor="text1"/>
          <w:highlight w:val="none"/>
          <w:lang w:val="en-US" w:eastAsia="zh-CN"/>
        </w:rPr>
        <w:t>5</w:t>
      </w:r>
      <w:r>
        <w:rPr>
          <w:color w:val="000000" w:themeColor="text1"/>
          <w:highlight w:val="none"/>
        </w:rPr>
        <w:t>。</w:t>
      </w:r>
    </w:p>
    <w:p>
      <w:pPr>
        <w:pStyle w:val="67"/>
        <w:rPr>
          <w:color w:val="000000" w:themeColor="text1"/>
          <w:highlight w:val="none"/>
        </w:rPr>
      </w:pPr>
      <w:r>
        <w:rPr>
          <w:color w:val="000000" w:themeColor="text1"/>
          <w:highlight w:val="none"/>
        </w:rPr>
        <w:t>表5</w:t>
      </w:r>
      <w:r>
        <w:rPr>
          <w:rFonts w:hint="eastAsia"/>
          <w:color w:val="000000" w:themeColor="text1"/>
          <w:highlight w:val="none"/>
        </w:rPr>
        <w:t>-</w:t>
      </w:r>
      <w:r>
        <w:rPr>
          <w:rFonts w:hint="eastAsia"/>
          <w:color w:val="000000" w:themeColor="text1"/>
          <w:highlight w:val="none"/>
          <w:lang w:val="en-US" w:eastAsia="zh-CN"/>
        </w:rPr>
        <w:t>5</w:t>
      </w:r>
      <w:r>
        <w:rPr>
          <w:rFonts w:hint="eastAsia"/>
          <w:color w:val="000000" w:themeColor="text1"/>
          <w:highlight w:val="none"/>
        </w:rPr>
        <w:t xml:space="preserve">  </w:t>
      </w:r>
      <w:r>
        <w:rPr>
          <w:color w:val="000000" w:themeColor="text1"/>
          <w:highlight w:val="none"/>
        </w:rPr>
        <w:t>矿山地质环境监测工程量汇总表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序号</w:t>
            </w:r>
          </w:p>
        </w:tc>
        <w:tc>
          <w:tcPr>
            <w:tcW w:w="1250" w:type="pct"/>
            <w:vAlign w:val="center"/>
          </w:tcPr>
          <w:p>
            <w:pPr>
              <w:pStyle w:val="63"/>
              <w:rPr>
                <w:color w:val="000000" w:themeColor="text1"/>
                <w:highlight w:val="none"/>
              </w:rPr>
            </w:pPr>
            <w:r>
              <w:rPr>
                <w:color w:val="000000" w:themeColor="text1"/>
                <w:highlight w:val="none"/>
              </w:rPr>
              <w:t>工程名称</w:t>
            </w:r>
          </w:p>
        </w:tc>
        <w:tc>
          <w:tcPr>
            <w:tcW w:w="1250" w:type="pct"/>
            <w:vAlign w:val="center"/>
          </w:tcPr>
          <w:p>
            <w:pPr>
              <w:pStyle w:val="63"/>
              <w:rPr>
                <w:color w:val="000000" w:themeColor="text1"/>
                <w:highlight w:val="none"/>
              </w:rPr>
            </w:pPr>
            <w:r>
              <w:rPr>
                <w:color w:val="000000" w:themeColor="text1"/>
                <w:highlight w:val="none"/>
              </w:rPr>
              <w:t>单位</w:t>
            </w:r>
          </w:p>
        </w:tc>
        <w:tc>
          <w:tcPr>
            <w:tcW w:w="1250" w:type="pct"/>
            <w:vAlign w:val="center"/>
          </w:tcPr>
          <w:p>
            <w:pPr>
              <w:pStyle w:val="63"/>
              <w:rPr>
                <w:color w:val="000000" w:themeColor="text1"/>
                <w:highlight w:val="none"/>
              </w:rPr>
            </w:pPr>
            <w:r>
              <w:rPr>
                <w:color w:val="000000" w:themeColor="text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地质灾害监测</w:t>
            </w:r>
          </w:p>
        </w:tc>
        <w:tc>
          <w:tcPr>
            <w:tcW w:w="1250" w:type="pct"/>
            <w:vAlign w:val="center"/>
          </w:tcPr>
          <w:p>
            <w:pPr>
              <w:pStyle w:val="63"/>
              <w:rPr>
                <w:color w:val="000000" w:themeColor="text1"/>
                <w:highlight w:val="none"/>
              </w:rPr>
            </w:pPr>
            <w:r>
              <w:rPr>
                <w:color w:val="000000" w:themeColor="text1"/>
                <w:highlight w:val="none"/>
              </w:rPr>
              <w:t>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雨量监测</w:t>
            </w:r>
          </w:p>
        </w:tc>
        <w:tc>
          <w:tcPr>
            <w:tcW w:w="1250" w:type="pct"/>
            <w:vAlign w:val="center"/>
          </w:tcPr>
          <w:p>
            <w:pPr>
              <w:pStyle w:val="63"/>
              <w:rPr>
                <w:color w:val="000000" w:themeColor="text1"/>
                <w:highlight w:val="none"/>
              </w:rPr>
            </w:pPr>
            <w:r>
              <w:rPr>
                <w:color w:val="000000" w:themeColor="text1"/>
                <w:highlight w:val="none"/>
              </w:rPr>
              <w:t>台</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GNSS监测</w:t>
            </w:r>
          </w:p>
        </w:tc>
        <w:tc>
          <w:tcPr>
            <w:tcW w:w="1250" w:type="pct"/>
            <w:vAlign w:val="center"/>
          </w:tcPr>
          <w:p>
            <w:pPr>
              <w:pStyle w:val="63"/>
              <w:rPr>
                <w:color w:val="000000" w:themeColor="text1"/>
                <w:highlight w:val="none"/>
              </w:rPr>
            </w:pPr>
          </w:p>
        </w:tc>
        <w:tc>
          <w:tcPr>
            <w:tcW w:w="1250" w:type="pct"/>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GNSS监测设备</w:t>
            </w:r>
          </w:p>
        </w:tc>
        <w:tc>
          <w:tcPr>
            <w:tcW w:w="1250" w:type="pct"/>
            <w:vAlign w:val="center"/>
          </w:tcPr>
          <w:p>
            <w:pPr>
              <w:pStyle w:val="63"/>
              <w:rPr>
                <w:color w:val="000000" w:themeColor="text1"/>
                <w:highlight w:val="none"/>
              </w:rPr>
            </w:pPr>
            <w:r>
              <w:rPr>
                <w:color w:val="000000" w:themeColor="text1"/>
                <w:highlight w:val="none"/>
              </w:rPr>
              <w:t>套</w:t>
            </w:r>
          </w:p>
        </w:tc>
        <w:tc>
          <w:tcPr>
            <w:tcW w:w="1250"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机房配套设施</w:t>
            </w:r>
          </w:p>
        </w:tc>
        <w:tc>
          <w:tcPr>
            <w:tcW w:w="1250" w:type="pct"/>
            <w:vAlign w:val="center"/>
          </w:tcPr>
          <w:p>
            <w:pPr>
              <w:pStyle w:val="63"/>
              <w:rPr>
                <w:color w:val="000000" w:themeColor="text1"/>
                <w:highlight w:val="none"/>
              </w:rPr>
            </w:pPr>
            <w:r>
              <w:rPr>
                <w:rFonts w:hint="eastAsia"/>
                <w:color w:val="000000" w:themeColor="text1"/>
                <w:highlight w:val="none"/>
              </w:rPr>
              <w:t>套</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视频监测</w:t>
            </w:r>
          </w:p>
        </w:tc>
        <w:tc>
          <w:tcPr>
            <w:tcW w:w="1250" w:type="pct"/>
            <w:vAlign w:val="center"/>
          </w:tcPr>
          <w:p>
            <w:pPr>
              <w:pStyle w:val="63"/>
              <w:rPr>
                <w:color w:val="000000" w:themeColor="text1"/>
                <w:highlight w:val="none"/>
              </w:rPr>
            </w:pPr>
            <w:r>
              <w:rPr>
                <w:rFonts w:hint="eastAsia"/>
                <w:color w:val="000000" w:themeColor="text1"/>
                <w:highlight w:val="none"/>
              </w:rPr>
              <w:t>套</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4</w:t>
            </w:r>
          </w:p>
        </w:tc>
        <w:tc>
          <w:tcPr>
            <w:tcW w:w="1250" w:type="pct"/>
            <w:vAlign w:val="center"/>
          </w:tcPr>
          <w:p>
            <w:pPr>
              <w:pStyle w:val="63"/>
              <w:rPr>
                <w:color w:val="000000" w:themeColor="text1"/>
                <w:highlight w:val="none"/>
              </w:rPr>
            </w:pPr>
            <w:r>
              <w:rPr>
                <w:color w:val="000000" w:themeColor="text1"/>
                <w:highlight w:val="none"/>
              </w:rPr>
              <w:t>含水层破坏监测</w:t>
            </w:r>
          </w:p>
        </w:tc>
        <w:tc>
          <w:tcPr>
            <w:tcW w:w="1250" w:type="pct"/>
            <w:vAlign w:val="center"/>
          </w:tcPr>
          <w:p>
            <w:pPr>
              <w:pStyle w:val="63"/>
              <w:rPr>
                <w:color w:val="000000" w:themeColor="text1"/>
                <w:highlight w:val="none"/>
              </w:rPr>
            </w:pPr>
          </w:p>
        </w:tc>
        <w:tc>
          <w:tcPr>
            <w:tcW w:w="1250" w:type="pct"/>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地下水水位监测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地下水水质监测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地表水水质监测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5</w:t>
            </w:r>
          </w:p>
        </w:tc>
        <w:tc>
          <w:tcPr>
            <w:tcW w:w="1250" w:type="pct"/>
            <w:vAlign w:val="center"/>
          </w:tcPr>
          <w:p>
            <w:pPr>
              <w:pStyle w:val="63"/>
              <w:rPr>
                <w:color w:val="000000" w:themeColor="text1"/>
                <w:highlight w:val="none"/>
              </w:rPr>
            </w:pPr>
            <w:r>
              <w:rPr>
                <w:color w:val="000000" w:themeColor="text1"/>
                <w:highlight w:val="none"/>
              </w:rPr>
              <w:t>水土污染监测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bl>
    <w:p>
      <w:pPr>
        <w:pStyle w:val="4"/>
        <w:spacing w:before="82" w:after="82"/>
        <w:rPr>
          <w:color w:val="000000" w:themeColor="text1"/>
          <w:highlight w:val="none"/>
        </w:rPr>
      </w:pPr>
      <w:bookmarkStart w:id="234" w:name="_Toc12796"/>
      <w:bookmarkStart w:id="235" w:name="_Toc4997"/>
      <w:r>
        <w:rPr>
          <w:color w:val="000000" w:themeColor="text1"/>
          <w:highlight w:val="none"/>
        </w:rPr>
        <w:t>5.7矿区土地复垦监测和管护</w:t>
      </w:r>
      <w:bookmarkEnd w:id="234"/>
      <w:bookmarkEnd w:id="235"/>
    </w:p>
    <w:p>
      <w:pPr>
        <w:pStyle w:val="5"/>
        <w:spacing w:before="82" w:after="82"/>
        <w:rPr>
          <w:color w:val="000000" w:themeColor="text1"/>
          <w:highlight w:val="none"/>
        </w:rPr>
      </w:pPr>
      <w:bookmarkStart w:id="236" w:name="_Toc28562"/>
      <w:bookmarkStart w:id="237" w:name="_Toc26236"/>
      <w:r>
        <w:rPr>
          <w:color w:val="000000" w:themeColor="text1"/>
          <w:highlight w:val="none"/>
        </w:rPr>
        <w:t>5.</w:t>
      </w:r>
      <w:r>
        <w:rPr>
          <w:rFonts w:hint="eastAsia"/>
          <w:color w:val="000000" w:themeColor="text1"/>
          <w:highlight w:val="none"/>
        </w:rPr>
        <w:t xml:space="preserve">7.1 </w:t>
      </w:r>
      <w:r>
        <w:rPr>
          <w:color w:val="000000" w:themeColor="text1"/>
          <w:highlight w:val="none"/>
        </w:rPr>
        <w:t>目标任务</w:t>
      </w:r>
      <w:bookmarkEnd w:id="236"/>
      <w:bookmarkEnd w:id="237"/>
    </w:p>
    <w:p>
      <w:pPr>
        <w:rPr>
          <w:color w:val="000000" w:themeColor="text1"/>
          <w:highlight w:val="none"/>
        </w:rPr>
      </w:pPr>
      <w:r>
        <w:rPr>
          <w:color w:val="000000" w:themeColor="text1"/>
          <w:highlight w:val="none"/>
        </w:rPr>
        <w:t>1、及时掌握地面变形情况，为复垦工程的实施进度提供依据。</w:t>
      </w:r>
    </w:p>
    <w:p>
      <w:pPr>
        <w:rPr>
          <w:color w:val="000000" w:themeColor="text1"/>
          <w:highlight w:val="none"/>
        </w:rPr>
      </w:pPr>
      <w:r>
        <w:rPr>
          <w:color w:val="000000" w:themeColor="text1"/>
          <w:highlight w:val="none"/>
        </w:rPr>
        <w:t>2、了解复垦工程效果，监测复垦后耕地、林地及草地的土壤质量，植被和配套设施情况。</w:t>
      </w:r>
    </w:p>
    <w:p>
      <w:pPr>
        <w:rPr>
          <w:color w:val="000000" w:themeColor="text1"/>
          <w:highlight w:val="none"/>
        </w:rPr>
      </w:pPr>
      <w:r>
        <w:rPr>
          <w:color w:val="000000" w:themeColor="text1"/>
          <w:highlight w:val="none"/>
        </w:rPr>
        <w:t>3、对复垦后的旱地、</w:t>
      </w:r>
      <w:r>
        <w:rPr>
          <w:rFonts w:hint="eastAsia"/>
          <w:color w:val="000000" w:themeColor="text1"/>
          <w:highlight w:val="none"/>
          <w:lang w:eastAsia="zh-CN"/>
        </w:rPr>
        <w:t>乔木林地</w:t>
      </w:r>
      <w:r>
        <w:rPr>
          <w:color w:val="000000" w:themeColor="text1"/>
          <w:highlight w:val="none"/>
        </w:rPr>
        <w:t>和</w:t>
      </w:r>
      <w:r>
        <w:rPr>
          <w:rFonts w:hint="eastAsia"/>
          <w:color w:val="000000" w:themeColor="text1"/>
          <w:highlight w:val="none"/>
          <w:lang w:eastAsia="zh-CN"/>
        </w:rPr>
        <w:t>其他草地</w:t>
      </w:r>
      <w:r>
        <w:rPr>
          <w:color w:val="000000" w:themeColor="text1"/>
          <w:highlight w:val="none"/>
        </w:rPr>
        <w:t>，要进行</w:t>
      </w:r>
      <w:r>
        <w:rPr>
          <w:rFonts w:hint="eastAsia"/>
          <w:color w:val="000000" w:themeColor="text1"/>
          <w:highlight w:val="none"/>
        </w:rPr>
        <w:t>管</w:t>
      </w:r>
      <w:r>
        <w:rPr>
          <w:color w:val="000000" w:themeColor="text1"/>
          <w:highlight w:val="none"/>
        </w:rPr>
        <w:t>护，保障复垦工程质量。</w:t>
      </w:r>
    </w:p>
    <w:p>
      <w:pPr>
        <w:pStyle w:val="5"/>
        <w:spacing w:before="82" w:after="82"/>
        <w:rPr>
          <w:color w:val="000000" w:themeColor="text1"/>
          <w:highlight w:val="none"/>
        </w:rPr>
      </w:pPr>
      <w:bookmarkStart w:id="238" w:name="_Toc26383"/>
      <w:bookmarkStart w:id="239" w:name="_Toc6307"/>
      <w:r>
        <w:rPr>
          <w:color w:val="000000" w:themeColor="text1"/>
          <w:highlight w:val="none"/>
        </w:rPr>
        <w:t>5.7.2工程设计</w:t>
      </w:r>
      <w:bookmarkEnd w:id="238"/>
      <w:bookmarkEnd w:id="239"/>
    </w:p>
    <w:p>
      <w:pPr>
        <w:rPr>
          <w:color w:val="000000" w:themeColor="text1"/>
          <w:highlight w:val="none"/>
        </w:rPr>
      </w:pPr>
      <w:r>
        <w:rPr>
          <w:color w:val="000000" w:themeColor="text1"/>
          <w:highlight w:val="none"/>
        </w:rPr>
        <w:t>1、监测工程设计</w:t>
      </w:r>
    </w:p>
    <w:p>
      <w:pPr>
        <w:rPr>
          <w:color w:val="000000" w:themeColor="text1"/>
          <w:highlight w:val="none"/>
        </w:rPr>
      </w:pPr>
      <w:r>
        <w:rPr>
          <w:color w:val="000000" w:themeColor="text1"/>
          <w:highlight w:val="none"/>
        </w:rPr>
        <w:t>1）土地损毁情况监测</w:t>
      </w:r>
    </w:p>
    <w:p>
      <w:pPr>
        <w:rPr>
          <w:color w:val="000000" w:themeColor="text1"/>
          <w:highlight w:val="none"/>
        </w:rPr>
      </w:pPr>
      <w:r>
        <w:rPr>
          <w:color w:val="000000" w:themeColor="text1"/>
          <w:highlight w:val="none"/>
        </w:rPr>
        <w:t>矿山建设生产过程中，应对损毁土地进行监测。包括对损毁土地位置、损毁土地面积、损毁形式等。若因生产工艺流程改变，对损毁土地的损毁时序、位置产生变化，应对土地复垦方案进行修正。监测过程中，对于涉及到表土剥离区域，应对表土是否剥离进行监测，</w:t>
      </w:r>
      <w:r>
        <w:rPr>
          <w:rFonts w:hint="eastAsia"/>
          <w:color w:val="000000" w:themeColor="text1"/>
          <w:highlight w:val="none"/>
        </w:rPr>
        <w:t>采场</w:t>
      </w:r>
      <w:r>
        <w:rPr>
          <w:color w:val="000000" w:themeColor="text1"/>
          <w:highlight w:val="none"/>
        </w:rPr>
        <w:t>周边应重点对土壤及地下水污染情况进行监测。土地损毁监测年限为</w:t>
      </w:r>
      <w:r>
        <w:rPr>
          <w:rFonts w:hint="eastAsia"/>
          <w:color w:val="000000" w:themeColor="text1"/>
          <w:highlight w:val="none"/>
          <w:lang w:val="en-US" w:eastAsia="zh-CN"/>
        </w:rPr>
        <w:t>4.2</w:t>
      </w:r>
      <w:r>
        <w:rPr>
          <w:rFonts w:hint="eastAsia"/>
          <w:color w:val="000000" w:themeColor="text1"/>
          <w:highlight w:val="none"/>
        </w:rPr>
        <w:t>年</w:t>
      </w:r>
      <w:r>
        <w:rPr>
          <w:color w:val="000000" w:themeColor="text1"/>
          <w:highlight w:val="none"/>
        </w:rPr>
        <w:t>。</w:t>
      </w:r>
    </w:p>
    <w:p>
      <w:pPr>
        <w:rPr>
          <w:color w:val="000000" w:themeColor="text1"/>
          <w:highlight w:val="none"/>
        </w:rPr>
      </w:pPr>
      <w:r>
        <w:rPr>
          <w:color w:val="000000" w:themeColor="text1"/>
          <w:highlight w:val="none"/>
        </w:rPr>
        <w:t>2）复垦效果监测</w:t>
      </w:r>
    </w:p>
    <w:p>
      <w:pPr>
        <w:rPr>
          <w:color w:val="000000" w:themeColor="text1"/>
          <w:highlight w:val="none"/>
        </w:rPr>
      </w:pPr>
      <w:r>
        <w:rPr>
          <w:color w:val="000000" w:themeColor="text1"/>
          <w:highlight w:val="none"/>
        </w:rPr>
        <w:t>随着复垦工程的进行，为了保证工程达标，对已完成复垦工程的区域需要进行复垦效果监测，重点监测复垦后耕地、园地的土壤质量、植被和配套设施情况。</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监测时间</w:t>
      </w:r>
    </w:p>
    <w:p>
      <w:pPr>
        <w:rPr>
          <w:color w:val="000000" w:themeColor="text1"/>
          <w:highlight w:val="none"/>
        </w:rPr>
      </w:pPr>
      <w:r>
        <w:rPr>
          <w:color w:val="000000" w:themeColor="text1"/>
          <w:highlight w:val="none"/>
        </w:rPr>
        <w:t>在复垦工程完成后进行初次监测，每年监测两次，每个复垦单元连续监测3年。</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土壤质量监测</w:t>
      </w:r>
    </w:p>
    <w:p>
      <w:pPr>
        <w:rPr>
          <w:color w:val="000000" w:themeColor="text1"/>
          <w:highlight w:val="none"/>
        </w:rPr>
      </w:pPr>
      <w:r>
        <w:rPr>
          <w:color w:val="000000" w:themeColor="text1"/>
          <w:highlight w:val="none"/>
        </w:rPr>
        <w:t>针对复垦后耕地、林地土壤质量的监测内容如下：</w:t>
      </w:r>
    </w:p>
    <w:p>
      <w:pPr>
        <w:rPr>
          <w:color w:val="000000" w:themeColor="text1"/>
          <w:highlight w:val="none"/>
        </w:rPr>
      </w:pPr>
      <w:r>
        <w:rPr>
          <w:color w:val="000000" w:themeColor="text1"/>
          <w:highlight w:val="none"/>
        </w:rPr>
        <w:t>地面坡度、有效土层厚度、pH值、有机质、全氮、有效磷、速效钾、土壤表层盐分含量。（表5-</w:t>
      </w:r>
      <w:r>
        <w:rPr>
          <w:rFonts w:hint="eastAsia"/>
          <w:color w:val="000000" w:themeColor="text1"/>
          <w:highlight w:val="none"/>
          <w:lang w:val="en-US" w:eastAsia="zh-CN"/>
        </w:rPr>
        <w:t>6</w:t>
      </w:r>
      <w:r>
        <w:rPr>
          <w:color w:val="000000" w:themeColor="text1"/>
          <w:highlight w:val="none"/>
        </w:rPr>
        <w:t>）</w:t>
      </w:r>
    </w:p>
    <w:p>
      <w:pPr>
        <w:pStyle w:val="67"/>
        <w:rPr>
          <w:color w:val="000000" w:themeColor="text1"/>
          <w:highlight w:val="none"/>
        </w:rPr>
      </w:pPr>
      <w:r>
        <w:rPr>
          <w:color w:val="000000" w:themeColor="text1"/>
          <w:highlight w:val="none"/>
        </w:rPr>
        <w:t>表5-</w:t>
      </w:r>
      <w:r>
        <w:rPr>
          <w:rFonts w:hint="eastAsia"/>
          <w:color w:val="000000" w:themeColor="text1"/>
          <w:highlight w:val="none"/>
          <w:lang w:val="en-US" w:eastAsia="zh-CN"/>
        </w:rPr>
        <w:t>6</w:t>
      </w:r>
      <w:r>
        <w:rPr>
          <w:rFonts w:hint="eastAsia"/>
          <w:color w:val="000000" w:themeColor="text1"/>
          <w:highlight w:val="none"/>
        </w:rPr>
        <w:t xml:space="preserve">  </w:t>
      </w:r>
      <w:r>
        <w:rPr>
          <w:color w:val="000000" w:themeColor="text1"/>
          <w:highlight w:val="none"/>
        </w:rPr>
        <w:t>土壤质量监测方案表</w:t>
      </w:r>
    </w:p>
    <w:tbl>
      <w:tblPr>
        <w:tblStyle w:val="31"/>
        <w:tblW w:w="8797" w:type="dxa"/>
        <w:jc w:val="center"/>
        <w:tblLayout w:type="fixed"/>
        <w:tblCellMar>
          <w:top w:w="0" w:type="dxa"/>
          <w:left w:w="0" w:type="dxa"/>
          <w:bottom w:w="0" w:type="dxa"/>
          <w:right w:w="0" w:type="dxa"/>
        </w:tblCellMar>
      </w:tblPr>
      <w:tblGrid>
        <w:gridCol w:w="1953"/>
        <w:gridCol w:w="2291"/>
        <w:gridCol w:w="2602"/>
        <w:gridCol w:w="1951"/>
      </w:tblGrid>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监测内容</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监测频次（次</w:t>
            </w:r>
            <w:r>
              <w:rPr>
                <w:rFonts w:hint="eastAsia"/>
                <w:color w:val="000000" w:themeColor="text1"/>
                <w:highlight w:val="none"/>
              </w:rPr>
              <w:t>/</w:t>
            </w:r>
            <w:r>
              <w:rPr>
                <w:color w:val="000000" w:themeColor="text1"/>
                <w:highlight w:val="none"/>
              </w:rPr>
              <w:t>年）</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样点持续监测时间（年）</w:t>
            </w:r>
          </w:p>
        </w:tc>
        <w:tc>
          <w:tcPr>
            <w:tcW w:w="195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监测点数量（个）</w:t>
            </w: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地面坡度</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restart"/>
            <w:tcBorders>
              <w:top w:val="single" w:color="000000" w:sz="4" w:space="0"/>
              <w:left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每个复垦单元布设1个采样</w:t>
            </w: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覆土厚度</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pH</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重金属含量</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有效土层厚度</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土壤质地</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土壤砾石含量</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土壤容重（压实）</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有机质</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全氮</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有效磷</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有效钾</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土壤盐分含量</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95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土壤侵蚀</w:t>
            </w:r>
          </w:p>
        </w:tc>
        <w:tc>
          <w:tcPr>
            <w:tcW w:w="229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60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951" w:type="dxa"/>
            <w:vMerge w:val="continue"/>
            <w:tcBorders>
              <w:left w:val="single" w:color="000000" w:sz="4" w:space="0"/>
              <w:bottom w:val="single" w:color="000000" w:sz="4" w:space="0"/>
              <w:right w:val="single" w:color="000000" w:sz="4" w:space="0"/>
            </w:tcBorders>
            <w:vAlign w:val="center"/>
          </w:tcPr>
          <w:p>
            <w:pPr>
              <w:pStyle w:val="63"/>
              <w:rPr>
                <w:color w:val="000000" w:themeColor="text1"/>
                <w:highlight w:val="none"/>
              </w:rPr>
            </w:pPr>
          </w:p>
        </w:tc>
      </w:tr>
    </w:tbl>
    <w:p>
      <w:pPr>
        <w:rPr>
          <w:color w:val="000000" w:themeColor="text1"/>
          <w:highlight w:val="none"/>
        </w:rPr>
      </w:pPr>
      <w:r>
        <w:rPr>
          <w:color w:val="000000" w:themeColor="text1"/>
          <w:highlight w:val="none"/>
        </w:rPr>
        <w:t>由矿方出资委托有资质的专业土壤化验机构进行，采样监督人员为当地村民。复垦单元内，耕地、园地分别按复垦后面积布设土壤理化指标采样点，每个复垦单元布设1个采样点，样品采集采用等量混合法采集，各个监测点每年监测两次。</w:t>
      </w:r>
    </w:p>
    <w:p>
      <w:pPr>
        <w:rPr>
          <w:color w:val="000000" w:themeColor="text1"/>
          <w:highlight w:val="none"/>
        </w:rPr>
      </w:pPr>
      <w:r>
        <w:rPr>
          <w:rFonts w:hint="eastAsia" w:ascii="宋体" w:hAnsi="宋体" w:cs="宋体"/>
          <w:color w:val="000000" w:themeColor="text1"/>
          <w:highlight w:val="none"/>
        </w:rPr>
        <w:t>③</w:t>
      </w:r>
      <w:r>
        <w:rPr>
          <w:color w:val="000000" w:themeColor="text1"/>
          <w:highlight w:val="none"/>
        </w:rPr>
        <w:t>复垦植被监测</w:t>
      </w:r>
    </w:p>
    <w:p>
      <w:pPr>
        <w:rPr>
          <w:color w:val="000000" w:themeColor="text1"/>
          <w:highlight w:val="none"/>
        </w:rPr>
      </w:pPr>
      <w:r>
        <w:rPr>
          <w:color w:val="000000" w:themeColor="text1"/>
          <w:highlight w:val="none"/>
        </w:rPr>
        <w:t>复垦为林地的植被监测内容包括：植物生长势、高度、种植密度、成活率、郁闭度。（表5-</w:t>
      </w:r>
      <w:r>
        <w:rPr>
          <w:rFonts w:hint="eastAsia"/>
          <w:color w:val="000000" w:themeColor="text1"/>
          <w:highlight w:val="none"/>
          <w:lang w:val="en-US" w:eastAsia="zh-CN"/>
        </w:rPr>
        <w:t>7</w:t>
      </w:r>
      <w:r>
        <w:rPr>
          <w:color w:val="000000" w:themeColor="text1"/>
          <w:highlight w:val="none"/>
        </w:rPr>
        <w:t>）监测方法为样方随机调查法，有矿方出资雇佣专职人员（或当地村民）进行监测。</w:t>
      </w:r>
    </w:p>
    <w:p>
      <w:pPr>
        <w:rPr>
          <w:b/>
          <w:color w:val="000000" w:themeColor="text1"/>
          <w:sz w:val="21"/>
          <w:szCs w:val="28"/>
          <w:highlight w:val="none"/>
        </w:rPr>
      </w:pPr>
      <w:r>
        <w:rPr>
          <w:color w:val="000000" w:themeColor="text1"/>
          <w:highlight w:val="none"/>
        </w:rPr>
        <w:t>复垦单元内，林地按复垦后面积布设监测点，每个复垦单元布设1个监测点，各个监测点每年监测两次。</w:t>
      </w:r>
    </w:p>
    <w:p>
      <w:pPr>
        <w:pStyle w:val="67"/>
        <w:rPr>
          <w:color w:val="000000" w:themeColor="text1"/>
          <w:highlight w:val="none"/>
        </w:rPr>
      </w:pPr>
      <w:r>
        <w:rPr>
          <w:color w:val="000000" w:themeColor="text1"/>
          <w:highlight w:val="none"/>
        </w:rPr>
        <w:t>表5-</w:t>
      </w:r>
      <w:r>
        <w:rPr>
          <w:rFonts w:hint="eastAsia"/>
          <w:color w:val="000000" w:themeColor="text1"/>
          <w:highlight w:val="none"/>
          <w:lang w:val="en-US" w:eastAsia="zh-CN"/>
        </w:rPr>
        <w:t>7</w:t>
      </w:r>
      <w:r>
        <w:rPr>
          <w:rFonts w:hint="eastAsia"/>
          <w:color w:val="000000" w:themeColor="text1"/>
          <w:highlight w:val="none"/>
        </w:rPr>
        <w:t xml:space="preserve">   林地</w:t>
      </w:r>
      <w:r>
        <w:rPr>
          <w:color w:val="000000" w:themeColor="text1"/>
          <w:highlight w:val="none"/>
        </w:rPr>
        <w:t>复垦植被恢复监测方案表</w:t>
      </w:r>
    </w:p>
    <w:tbl>
      <w:tblPr>
        <w:tblStyle w:val="31"/>
        <w:tblW w:w="8187" w:type="dxa"/>
        <w:jc w:val="center"/>
        <w:tblLayout w:type="fixed"/>
        <w:tblCellMar>
          <w:top w:w="0" w:type="dxa"/>
          <w:left w:w="0" w:type="dxa"/>
          <w:bottom w:w="0" w:type="dxa"/>
          <w:right w:w="0" w:type="dxa"/>
        </w:tblCellMar>
      </w:tblPr>
      <w:tblGrid>
        <w:gridCol w:w="1781"/>
        <w:gridCol w:w="2123"/>
        <w:gridCol w:w="2441"/>
        <w:gridCol w:w="1842"/>
      </w:tblGrid>
      <w:tr>
        <w:tblPrEx>
          <w:tblCellMar>
            <w:top w:w="0" w:type="dxa"/>
            <w:left w:w="0" w:type="dxa"/>
            <w:bottom w:w="0" w:type="dxa"/>
            <w:right w:w="0" w:type="dxa"/>
          </w:tblCellMar>
        </w:tblPrEx>
        <w:trPr>
          <w:trHeight w:val="397" w:hRule="atLeast"/>
          <w:jc w:val="center"/>
        </w:trPr>
        <w:tc>
          <w:tcPr>
            <w:tcW w:w="178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监测内容</w:t>
            </w:r>
          </w:p>
        </w:tc>
        <w:tc>
          <w:tcPr>
            <w:tcW w:w="212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监测频次（次/年）</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样点持续监测时间（年）</w:t>
            </w:r>
          </w:p>
        </w:tc>
        <w:tc>
          <w:tcPr>
            <w:tcW w:w="1842"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监测点数量（个）</w:t>
            </w:r>
          </w:p>
        </w:tc>
      </w:tr>
      <w:tr>
        <w:tblPrEx>
          <w:tblCellMar>
            <w:top w:w="0" w:type="dxa"/>
            <w:left w:w="0" w:type="dxa"/>
            <w:bottom w:w="0" w:type="dxa"/>
            <w:right w:w="0" w:type="dxa"/>
          </w:tblCellMar>
        </w:tblPrEx>
        <w:trPr>
          <w:trHeight w:val="397" w:hRule="atLeast"/>
          <w:jc w:val="center"/>
        </w:trPr>
        <w:tc>
          <w:tcPr>
            <w:tcW w:w="178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成活率</w:t>
            </w:r>
          </w:p>
        </w:tc>
        <w:tc>
          <w:tcPr>
            <w:tcW w:w="212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842" w:type="dxa"/>
            <w:vMerge w:val="restart"/>
            <w:tcBorders>
              <w:top w:val="single" w:color="000000" w:sz="4" w:space="0"/>
              <w:left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每个复垦单元布设1个监测点。</w:t>
            </w:r>
          </w:p>
        </w:tc>
      </w:tr>
      <w:tr>
        <w:tblPrEx>
          <w:tblCellMar>
            <w:top w:w="0" w:type="dxa"/>
            <w:left w:w="0" w:type="dxa"/>
            <w:bottom w:w="0" w:type="dxa"/>
            <w:right w:w="0" w:type="dxa"/>
          </w:tblCellMar>
        </w:tblPrEx>
        <w:trPr>
          <w:trHeight w:val="397" w:hRule="atLeast"/>
          <w:jc w:val="center"/>
        </w:trPr>
        <w:tc>
          <w:tcPr>
            <w:tcW w:w="178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郁闭度</w:t>
            </w:r>
          </w:p>
        </w:tc>
        <w:tc>
          <w:tcPr>
            <w:tcW w:w="212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842" w:type="dxa"/>
            <w:vMerge w:val="continue"/>
            <w:tcBorders>
              <w:left w:val="single" w:color="000000" w:sz="4" w:space="0"/>
              <w:right w:val="single" w:color="000000" w:sz="4" w:space="0"/>
            </w:tcBorders>
            <w:vAlign w:val="center"/>
          </w:tcPr>
          <w:p>
            <w:pPr>
              <w:pStyle w:val="63"/>
              <w:rPr>
                <w:color w:val="000000" w:themeColor="text1"/>
                <w:highlight w:val="none"/>
              </w:rPr>
            </w:pPr>
          </w:p>
        </w:tc>
      </w:tr>
      <w:tr>
        <w:tblPrEx>
          <w:tblCellMar>
            <w:top w:w="0" w:type="dxa"/>
            <w:left w:w="0" w:type="dxa"/>
            <w:bottom w:w="0" w:type="dxa"/>
            <w:right w:w="0" w:type="dxa"/>
          </w:tblCellMar>
        </w:tblPrEx>
        <w:trPr>
          <w:trHeight w:val="397" w:hRule="atLeast"/>
          <w:jc w:val="center"/>
        </w:trPr>
        <w:tc>
          <w:tcPr>
            <w:tcW w:w="178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单位面积蓄积量</w:t>
            </w:r>
          </w:p>
        </w:tc>
        <w:tc>
          <w:tcPr>
            <w:tcW w:w="2123"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2</w:t>
            </w:r>
          </w:p>
        </w:tc>
        <w:tc>
          <w:tcPr>
            <w:tcW w:w="2441"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c>
          <w:tcPr>
            <w:tcW w:w="1842" w:type="dxa"/>
            <w:vMerge w:val="continue"/>
            <w:tcBorders>
              <w:left w:val="single" w:color="000000" w:sz="4" w:space="0"/>
              <w:bottom w:val="single" w:color="000000" w:sz="4" w:space="0"/>
              <w:right w:val="single" w:color="000000" w:sz="4" w:space="0"/>
            </w:tcBorders>
            <w:vAlign w:val="center"/>
          </w:tcPr>
          <w:p>
            <w:pPr>
              <w:pStyle w:val="63"/>
              <w:rPr>
                <w:color w:val="000000" w:themeColor="text1"/>
                <w:highlight w:val="none"/>
              </w:rPr>
            </w:pPr>
          </w:p>
        </w:tc>
      </w:tr>
    </w:tbl>
    <w:p>
      <w:pPr>
        <w:rPr>
          <w:color w:val="000000" w:themeColor="text1"/>
          <w:highlight w:val="none"/>
        </w:rPr>
      </w:pPr>
      <w:r>
        <w:rPr>
          <w:color w:val="000000" w:themeColor="text1"/>
          <w:highlight w:val="none"/>
        </w:rPr>
        <w:t>2、管护工程设计</w:t>
      </w:r>
    </w:p>
    <w:p>
      <w:pPr>
        <w:rPr>
          <w:color w:val="000000" w:themeColor="text1"/>
          <w:highlight w:val="none"/>
        </w:rPr>
      </w:pPr>
      <w:r>
        <w:rPr>
          <w:color w:val="000000" w:themeColor="text1"/>
          <w:highlight w:val="none"/>
        </w:rPr>
        <w:t>复垦后的林地，要进行管护。</w:t>
      </w:r>
    </w:p>
    <w:p>
      <w:pPr>
        <w:rPr>
          <w:color w:val="000000" w:themeColor="text1"/>
          <w:highlight w:val="none"/>
        </w:rPr>
      </w:pPr>
      <w:r>
        <w:rPr>
          <w:color w:val="000000" w:themeColor="text1"/>
          <w:highlight w:val="none"/>
        </w:rPr>
        <w:t>（1）林地管护</w:t>
      </w:r>
    </w:p>
    <w:p>
      <w:pPr>
        <w:rPr>
          <w:color w:val="000000" w:themeColor="text1"/>
          <w:highlight w:val="none"/>
        </w:rPr>
      </w:pPr>
      <w:r>
        <w:rPr>
          <w:rFonts w:hint="eastAsia" w:ascii="宋体" w:hAnsi="宋体" w:cs="宋体"/>
          <w:color w:val="000000" w:themeColor="text1"/>
          <w:highlight w:val="none"/>
        </w:rPr>
        <w:t>①</w:t>
      </w:r>
      <w:r>
        <w:rPr>
          <w:color w:val="000000" w:themeColor="text1"/>
          <w:highlight w:val="none"/>
        </w:rPr>
        <w:t>水分管理主要是通过植树带内植树行间和行内的</w:t>
      </w:r>
      <w:r>
        <w:rPr>
          <w:rFonts w:hint="eastAsia"/>
          <w:color w:val="000000" w:themeColor="text1"/>
          <w:highlight w:val="none"/>
        </w:rPr>
        <w:t>除草</w:t>
      </w:r>
      <w:r>
        <w:rPr>
          <w:color w:val="000000" w:themeColor="text1"/>
          <w:highlight w:val="none"/>
        </w:rPr>
        <w:t>松土，防止幼树成长期干旱灾害，以促使幼林正常生长和及早郁闭。在有条件的地方可以适当地做一些灌溉，以保护林带苗木酌成活率。</w:t>
      </w:r>
    </w:p>
    <w:p>
      <w:pPr>
        <w:rPr>
          <w:color w:val="000000" w:themeColor="text1"/>
          <w:highlight w:val="none"/>
        </w:rPr>
      </w:pPr>
      <w:r>
        <w:rPr>
          <w:rFonts w:hint="eastAsia" w:ascii="宋体" w:hAnsi="宋体" w:cs="宋体"/>
          <w:color w:val="000000" w:themeColor="text1"/>
          <w:highlight w:val="none"/>
        </w:rPr>
        <w:t>②</w:t>
      </w:r>
      <w:r>
        <w:rPr>
          <w:color w:val="000000" w:themeColor="text1"/>
          <w:highlight w:val="none"/>
        </w:rPr>
        <w:t>养分管理在植被损毁、风沙严重的沙淮、荒地，防护林幼林时期的抚育一般不宜除草松土，应以防旱施肥为主。</w:t>
      </w:r>
    </w:p>
    <w:p>
      <w:pPr>
        <w:rPr>
          <w:color w:val="000000" w:themeColor="text1"/>
          <w:highlight w:val="none"/>
        </w:rPr>
      </w:pPr>
      <w:r>
        <w:rPr>
          <w:rFonts w:hint="eastAsia" w:ascii="宋体" w:hAnsi="宋体" w:cs="宋体"/>
          <w:color w:val="000000" w:themeColor="text1"/>
          <w:highlight w:val="none"/>
        </w:rPr>
        <w:t>③</w:t>
      </w:r>
      <w:r>
        <w:rPr>
          <w:color w:val="000000" w:themeColor="text1"/>
          <w:highlight w:val="none"/>
        </w:rPr>
        <w:t>林木修枝</w:t>
      </w:r>
    </w:p>
    <w:p>
      <w:pPr>
        <w:rPr>
          <w:color w:val="000000" w:themeColor="text1"/>
          <w:highlight w:val="none"/>
        </w:rPr>
      </w:pPr>
      <w:r>
        <w:rPr>
          <w:color w:val="000000" w:themeColor="text1"/>
          <w:highlight w:val="none"/>
        </w:rPr>
        <w:t>林带刚进入郁闭阶段时，由于灌木或辅佐树种生长茂密产生压迫主要树种的情况，要采取部分灌木（1/2左右）平茬或辅佐树种修枝，以解除主要树种的被压状态，促进主要树种生长并使其在林带中占优势地位</w:t>
      </w:r>
    </w:p>
    <w:p>
      <w:pPr>
        <w:rPr>
          <w:color w:val="000000" w:themeColor="text1"/>
          <w:highlight w:val="none"/>
        </w:rPr>
      </w:pPr>
      <w:r>
        <w:rPr>
          <w:color w:val="000000" w:themeColor="text1"/>
          <w:highlight w:val="none"/>
        </w:rPr>
        <w:t>通过修枝（包括主要树种和辅佐树种的修枝），在保证林木树冠有足够营养空间的条件下，可提高林木的干材质量和促进林木生长。关于修枝技术，群众有丰富的经验，</w:t>
      </w:r>
      <w:r>
        <w:rPr>
          <w:rFonts w:ascii="宋体" w:hAnsi="宋体"/>
          <w:color w:val="000000" w:themeColor="text1"/>
          <w:highlight w:val="none"/>
        </w:rPr>
        <w:t>如“宁低勿高，次多量少，先下后上，茬短口尖”以及</w:t>
      </w:r>
      <w:r>
        <w:rPr>
          <w:color w:val="000000" w:themeColor="text1"/>
          <w:highlight w:val="none"/>
        </w:rPr>
        <w:t>修枝高度不超过林木全高的1/3~1/2等（即林冠枝下高，不超过全高的1/3或1/2）。</w:t>
      </w:r>
    </w:p>
    <w:p>
      <w:pPr>
        <w:rPr>
          <w:color w:val="000000" w:themeColor="text1"/>
          <w:highlight w:val="none"/>
        </w:rPr>
      </w:pPr>
      <w:r>
        <w:rPr>
          <w:rFonts w:hint="eastAsia" w:ascii="宋体" w:hAnsi="宋体" w:cs="宋体"/>
          <w:color w:val="000000" w:themeColor="text1"/>
          <w:highlight w:val="none"/>
        </w:rPr>
        <w:t>④</w:t>
      </w:r>
      <w:r>
        <w:rPr>
          <w:color w:val="000000" w:themeColor="text1"/>
          <w:highlight w:val="none"/>
        </w:rPr>
        <w:t>林木密度调控</w:t>
      </w:r>
    </w:p>
    <w:p>
      <w:pPr>
        <w:rPr>
          <w:color w:val="000000" w:themeColor="text1"/>
          <w:highlight w:val="none"/>
        </w:rPr>
      </w:pPr>
      <w:r>
        <w:rPr>
          <w:color w:val="000000" w:themeColor="text1"/>
          <w:highlight w:val="none"/>
        </w:rPr>
        <w:t>林带郁闭后，抚育工作的主要任务是通过人为干涉，调节树种间的关系，调节林带的结构，保证主要树种的健康生长。同时，通过这一阶段的抚育修枝间伐，为当地提供相当的经济效益。林带的树种组成与密度基本处于稳定状态，但是仍应隔一定时间对林带进行调节，及时伐掉枯梢木和病腐木等。</w:t>
      </w:r>
    </w:p>
    <w:p>
      <w:pPr>
        <w:rPr>
          <w:color w:val="000000" w:themeColor="text1"/>
          <w:highlight w:val="none"/>
        </w:rPr>
      </w:pPr>
      <w:r>
        <w:rPr>
          <w:rFonts w:hint="eastAsia" w:ascii="宋体" w:hAnsi="宋体" w:cs="宋体"/>
          <w:color w:val="000000" w:themeColor="text1"/>
          <w:highlight w:val="none"/>
        </w:rPr>
        <w:t>⑤</w:t>
      </w:r>
      <w:r>
        <w:rPr>
          <w:color w:val="000000" w:themeColor="text1"/>
          <w:highlight w:val="none"/>
        </w:rPr>
        <w:t>林木病虫害防治</w:t>
      </w:r>
    </w:p>
    <w:p>
      <w:pPr>
        <w:rPr>
          <w:color w:val="000000" w:themeColor="text1"/>
          <w:highlight w:val="none"/>
        </w:rPr>
      </w:pPr>
      <w:r>
        <w:rPr>
          <w:color w:val="000000" w:themeColor="text1"/>
          <w:highlight w:val="none"/>
        </w:rPr>
        <w:t>对于林带中出现各类树木的病、虫、害等要及时地进行管护。对于病株要及时砍伐防治扩散，对于虫害要及时地施用药品等控制灾害的发生。</w:t>
      </w:r>
    </w:p>
    <w:p>
      <w:pPr>
        <w:rPr>
          <w:color w:val="000000" w:themeColor="text1"/>
          <w:highlight w:val="none"/>
        </w:rPr>
      </w:pPr>
      <w:bookmarkStart w:id="240" w:name="_Toc31947"/>
      <w:r>
        <w:rPr>
          <w:rFonts w:hint="eastAsia"/>
          <w:color w:val="000000" w:themeColor="text1"/>
          <w:highlight w:val="none"/>
        </w:rPr>
        <w:t>3、已有工程维护治理</w:t>
      </w:r>
    </w:p>
    <w:p>
      <w:pPr>
        <w:rPr>
          <w:color w:val="000000" w:themeColor="text1"/>
          <w:highlight w:val="none"/>
        </w:rPr>
      </w:pPr>
      <w:r>
        <w:rPr>
          <w:rFonts w:hint="eastAsia"/>
          <w:color w:val="000000" w:themeColor="text1"/>
          <w:highlight w:val="none"/>
        </w:rPr>
        <w:t>对矿山已有的截排水沟进行治理维护，及时清理沟内砂石，对结构遭到破坏的地方及时进行修补。</w:t>
      </w:r>
    </w:p>
    <w:p>
      <w:pPr>
        <w:pStyle w:val="5"/>
        <w:spacing w:before="82" w:after="82"/>
        <w:rPr>
          <w:color w:val="000000" w:themeColor="text1"/>
          <w:highlight w:val="none"/>
        </w:rPr>
      </w:pPr>
      <w:bookmarkStart w:id="241" w:name="_Toc27258"/>
      <w:r>
        <w:rPr>
          <w:color w:val="000000" w:themeColor="text1"/>
          <w:highlight w:val="none"/>
        </w:rPr>
        <w:t>5.7.3技术措施</w:t>
      </w:r>
      <w:bookmarkEnd w:id="240"/>
      <w:bookmarkEnd w:id="241"/>
    </w:p>
    <w:p>
      <w:pPr>
        <w:rPr>
          <w:color w:val="000000" w:themeColor="text1"/>
          <w:highlight w:val="none"/>
        </w:rPr>
      </w:pPr>
      <w:r>
        <w:rPr>
          <w:color w:val="000000" w:themeColor="text1"/>
          <w:highlight w:val="none"/>
        </w:rPr>
        <w:t>1、监测措施</w:t>
      </w:r>
    </w:p>
    <w:p>
      <w:pPr>
        <w:rPr>
          <w:color w:val="000000" w:themeColor="text1"/>
          <w:highlight w:val="none"/>
        </w:rPr>
      </w:pPr>
      <w:r>
        <w:rPr>
          <w:color w:val="000000" w:themeColor="text1"/>
          <w:highlight w:val="none"/>
        </w:rPr>
        <w:t>（1）土地损毁情况监测</w:t>
      </w:r>
    </w:p>
    <w:p>
      <w:pPr>
        <w:rPr>
          <w:color w:val="000000" w:themeColor="text1"/>
          <w:highlight w:val="none"/>
        </w:rPr>
      </w:pPr>
      <w:r>
        <w:rPr>
          <w:color w:val="000000" w:themeColor="text1"/>
          <w:highlight w:val="none"/>
        </w:rPr>
        <w:t>对复垦责任范围内的土地按照损毁情况进行监测，每年对损毁土地进行勘测定界，并对损毁程度进行记录。监测总面积为</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，监测年限为</w:t>
      </w:r>
      <w:r>
        <w:rPr>
          <w:rFonts w:hint="eastAsia"/>
          <w:color w:val="000000" w:themeColor="text1"/>
          <w:highlight w:val="none"/>
          <w:lang w:val="en-US" w:eastAsia="zh-CN"/>
        </w:rPr>
        <w:t>4.2</w:t>
      </w:r>
      <w:r>
        <w:rPr>
          <w:color w:val="000000" w:themeColor="text1"/>
          <w:highlight w:val="none"/>
        </w:rPr>
        <w:t>年。</w:t>
      </w:r>
    </w:p>
    <w:p>
      <w:pPr>
        <w:rPr>
          <w:color w:val="000000" w:themeColor="text1"/>
          <w:highlight w:val="none"/>
        </w:rPr>
      </w:pPr>
      <w:r>
        <w:rPr>
          <w:color w:val="000000" w:themeColor="text1"/>
          <w:highlight w:val="none"/>
        </w:rPr>
        <w:t>（2）土地复垦效果监测</w:t>
      </w:r>
    </w:p>
    <w:p>
      <w:pPr>
        <w:rPr>
          <w:color w:val="000000" w:themeColor="text1"/>
          <w:highlight w:val="none"/>
        </w:rPr>
      </w:pPr>
      <w:r>
        <w:rPr>
          <w:color w:val="000000" w:themeColor="text1"/>
          <w:highlight w:val="none"/>
        </w:rPr>
        <w:t>土地复垦效果监测是对土地复垦区域内复垦前后的土地利用状况的动态变化进行定期或不定期的监测管理，其目的在于获取准确的土地复垦后利用变化情况，检验土地复垦成果以及建设过程中遭到损毁的土地是否得到</w:t>
      </w:r>
      <w:r>
        <w:rPr>
          <w:rFonts w:ascii="宋体" w:hAnsi="宋体"/>
          <w:color w:val="000000" w:themeColor="text1"/>
          <w:highlight w:val="none"/>
        </w:rPr>
        <w:t>了“边损毁、边复垦”，是否</w:t>
      </w:r>
      <w:r>
        <w:rPr>
          <w:color w:val="000000" w:themeColor="text1"/>
          <w:highlight w:val="none"/>
        </w:rPr>
        <w:t>达到土地复垦方案提出的目标和国家规定的标准，判断项目复垦工程技术合理性，及时对土地复垦工程进行修改或完善。本项目的土地复垦效果监测，指对复垦区的各类用地面积的变化、水利设施等配套工程的建设情况、复垦区土壤属性等的变化情况，重点是土壤质量、植被和配套设施。</w:t>
      </w:r>
    </w:p>
    <w:p>
      <w:pPr>
        <w:rPr>
          <w:color w:val="000000" w:themeColor="text1"/>
          <w:highlight w:val="none"/>
        </w:rPr>
      </w:pPr>
      <w:r>
        <w:rPr>
          <w:color w:val="000000" w:themeColor="text1"/>
          <w:highlight w:val="none"/>
        </w:rPr>
        <w:t>（3）土壤监测</w:t>
      </w:r>
    </w:p>
    <w:p>
      <w:pPr>
        <w:rPr>
          <w:color w:val="000000" w:themeColor="text1"/>
          <w:highlight w:val="none"/>
        </w:rPr>
      </w:pPr>
      <w:r>
        <w:rPr>
          <w:color w:val="000000" w:themeColor="text1"/>
          <w:highlight w:val="none"/>
        </w:rPr>
        <w:t>复垦为农、林、牧业用地的土地自然特性监测内容，为复垦区地形坡度、有效土层的厚度、土壤有效水分、土壤容重、酸碱度(pH)、有机质含量、有效磷含量、全氮含量、土壤侵蚀模数等；其监测方法以《土地复垦技术标准》（试行）为准，监测频率为每年两次。</w:t>
      </w:r>
    </w:p>
    <w:p>
      <w:pPr>
        <w:rPr>
          <w:color w:val="000000" w:themeColor="text1"/>
          <w:highlight w:val="none"/>
        </w:rPr>
      </w:pPr>
      <w:r>
        <w:rPr>
          <w:color w:val="000000" w:themeColor="text1"/>
          <w:highlight w:val="none"/>
        </w:rPr>
        <w:t>（4）复垦植被监测</w:t>
      </w:r>
    </w:p>
    <w:p>
      <w:pPr>
        <w:rPr>
          <w:color w:val="000000" w:themeColor="text1"/>
          <w:highlight w:val="none"/>
        </w:rPr>
      </w:pPr>
      <w:r>
        <w:rPr>
          <w:color w:val="000000" w:themeColor="text1"/>
          <w:highlight w:val="none"/>
        </w:rPr>
        <w:t>复垦为林地的植被监测内容，为植物生长势、高度、种植密度、成活率、郁闭度、生长量等；复垦为牧草地的植被监测内容，为植物生长势、高度、覆盖度、产草量等。监测方法为样方随机调查法。在复垦规划的服务年限内，每年监测两次。</w:t>
      </w:r>
    </w:p>
    <w:p>
      <w:pPr>
        <w:rPr>
          <w:color w:val="000000" w:themeColor="text1"/>
          <w:highlight w:val="none"/>
        </w:rPr>
      </w:pPr>
      <w:r>
        <w:rPr>
          <w:color w:val="000000" w:themeColor="text1"/>
          <w:highlight w:val="none"/>
        </w:rPr>
        <w:t>（5）复垦配套设施监测</w:t>
      </w:r>
    </w:p>
    <w:p>
      <w:pPr>
        <w:rPr>
          <w:color w:val="000000" w:themeColor="text1"/>
          <w:highlight w:val="none"/>
        </w:rPr>
      </w:pPr>
      <w:r>
        <w:rPr>
          <w:color w:val="000000" w:themeColor="text1"/>
          <w:highlight w:val="none"/>
        </w:rPr>
        <w:t>土地复垦的辅助设施，包括水利工程设施和交通设施两个方面。水利工程设施包括灌溉、排水及其相关电力设施，交通设施包括各级公路和新建田间道路等。配套设施监测，以土地复垦方案设计标准为准，监测主要内容是各项新建配套设施是否齐全、能否保证有效利用，以及已损毁的辅助设施是否修复，能否满足当地居民的生产生活需求等。配套设施监测每年两次。</w:t>
      </w:r>
    </w:p>
    <w:p>
      <w:pPr>
        <w:rPr>
          <w:color w:val="000000" w:themeColor="text1"/>
          <w:highlight w:val="none"/>
        </w:rPr>
      </w:pPr>
      <w:r>
        <w:rPr>
          <w:color w:val="000000" w:themeColor="text1"/>
          <w:highlight w:val="none"/>
        </w:rPr>
        <w:t>2、管护措施</w:t>
      </w:r>
    </w:p>
    <w:p>
      <w:pPr>
        <w:rPr>
          <w:color w:val="000000" w:themeColor="text1"/>
          <w:highlight w:val="none"/>
        </w:rPr>
      </w:pPr>
      <w:r>
        <w:rPr>
          <w:color w:val="000000" w:themeColor="text1"/>
          <w:highlight w:val="none"/>
        </w:rPr>
        <w:t>在恢复土地上的植被保护管理工作是复垦工程的最后程序，其重要性不亚于规划和植被培育阶段，可是却常为人们所忽略，复垦工程的失败往往是由于放松了必要的管理。</w:t>
      </w:r>
    </w:p>
    <w:p>
      <w:pPr>
        <w:rPr>
          <w:color w:val="000000" w:themeColor="text1"/>
          <w:highlight w:val="none"/>
        </w:rPr>
      </w:pPr>
      <w:r>
        <w:rPr>
          <w:color w:val="000000" w:themeColor="text1"/>
          <w:highlight w:val="none"/>
        </w:rPr>
        <w:t>（1）耕地、林地管护措施</w:t>
      </w:r>
    </w:p>
    <w:p>
      <w:pPr>
        <w:rPr>
          <w:color w:val="000000" w:themeColor="text1"/>
          <w:highlight w:val="none"/>
        </w:rPr>
      </w:pPr>
      <w:r>
        <w:rPr>
          <w:color w:val="000000" w:themeColor="text1"/>
          <w:highlight w:val="none"/>
        </w:rPr>
        <w:t>1)水分管理</w:t>
      </w:r>
    </w:p>
    <w:p>
      <w:pPr>
        <w:rPr>
          <w:color w:val="000000" w:themeColor="text1"/>
          <w:highlight w:val="none"/>
        </w:rPr>
      </w:pPr>
      <w:r>
        <w:rPr>
          <w:color w:val="000000" w:themeColor="text1"/>
          <w:highlight w:val="none"/>
        </w:rPr>
        <w:t>主要是通过植树带内植树行间和行内的</w:t>
      </w:r>
      <w:r>
        <w:rPr>
          <w:rFonts w:hint="eastAsia"/>
          <w:color w:val="000000" w:themeColor="text1"/>
          <w:highlight w:val="none"/>
        </w:rPr>
        <w:t>除草</w:t>
      </w:r>
      <w:r>
        <w:rPr>
          <w:color w:val="000000" w:themeColor="text1"/>
          <w:highlight w:val="none"/>
        </w:rPr>
        <w:t>松土，防止幼树成长期干旱灾害，以促使幼林正常生长和及早郁闭。在有条件的地方可以适当地做一些灌溉，以保护林带苗木酌成活率。</w:t>
      </w:r>
    </w:p>
    <w:p>
      <w:pPr>
        <w:rPr>
          <w:color w:val="000000" w:themeColor="text1"/>
          <w:highlight w:val="none"/>
        </w:rPr>
      </w:pPr>
      <w:r>
        <w:rPr>
          <w:color w:val="000000" w:themeColor="text1"/>
          <w:highlight w:val="none"/>
        </w:rPr>
        <w:t>2)养分管理</w:t>
      </w:r>
    </w:p>
    <w:p>
      <w:pPr>
        <w:rPr>
          <w:color w:val="000000" w:themeColor="text1"/>
          <w:highlight w:val="none"/>
        </w:rPr>
      </w:pPr>
      <w:r>
        <w:rPr>
          <w:color w:val="000000" w:themeColor="text1"/>
          <w:highlight w:val="none"/>
        </w:rPr>
        <w:t>在植被损毁、风沙严重的沙淮、荒地，防护林幼林时期的抚育一般不宜除草松土，应以防旱施肥为主。</w:t>
      </w:r>
    </w:p>
    <w:p>
      <w:pPr>
        <w:rPr>
          <w:color w:val="000000" w:themeColor="text1"/>
          <w:highlight w:val="none"/>
        </w:rPr>
      </w:pPr>
      <w:r>
        <w:rPr>
          <w:color w:val="000000" w:themeColor="text1"/>
          <w:highlight w:val="none"/>
        </w:rPr>
        <w:t>3)林木修枝</w:t>
      </w:r>
    </w:p>
    <w:p>
      <w:pPr>
        <w:rPr>
          <w:color w:val="000000" w:themeColor="text1"/>
          <w:highlight w:val="none"/>
        </w:rPr>
      </w:pPr>
      <w:r>
        <w:rPr>
          <w:color w:val="000000" w:themeColor="text1"/>
          <w:highlight w:val="none"/>
        </w:rPr>
        <w:t>林带刚进入郁闭阶段时，由于灌木或辅佐树种生长茂密产生压迫主要树种的情况，要采取部分灌木（1/2左右）平茬或辅佐树种修枝，以解除主要树种的被压状态，促进主要树种生长并使其在林带中占优势地位。</w:t>
      </w:r>
    </w:p>
    <w:p>
      <w:pPr>
        <w:rPr>
          <w:color w:val="000000" w:themeColor="text1"/>
          <w:highlight w:val="none"/>
        </w:rPr>
      </w:pPr>
      <w:r>
        <w:rPr>
          <w:color w:val="000000" w:themeColor="text1"/>
          <w:highlight w:val="none"/>
        </w:rPr>
        <w:t>通过修枝（包括主要树种和辅佐树种的修枝），在保证林木树冠有足够营养空间的条件下，可提高林木的干材质量和促进林木生长。关于修枝技术，群众有丰富的经验，</w:t>
      </w:r>
      <w:r>
        <w:rPr>
          <w:rFonts w:ascii="宋体" w:hAnsi="宋体"/>
          <w:color w:val="000000" w:themeColor="text1"/>
          <w:highlight w:val="none"/>
        </w:rPr>
        <w:t>如“宁低勿高，次多量少，先下后上，茬短口尖”以及修枝</w:t>
      </w:r>
      <w:r>
        <w:rPr>
          <w:color w:val="000000" w:themeColor="text1"/>
          <w:highlight w:val="none"/>
        </w:rPr>
        <w:t>高度不超过林木全高的1/3~1/2等（即林冠枝下高，不超过全高的1/3或1/2）</w:t>
      </w:r>
    </w:p>
    <w:p>
      <w:pPr>
        <w:rPr>
          <w:color w:val="000000" w:themeColor="text1"/>
          <w:highlight w:val="none"/>
        </w:rPr>
      </w:pPr>
      <w:r>
        <w:rPr>
          <w:color w:val="000000" w:themeColor="text1"/>
          <w:highlight w:val="none"/>
        </w:rPr>
        <w:t>4)林木密度调控</w:t>
      </w:r>
    </w:p>
    <w:p>
      <w:pPr>
        <w:rPr>
          <w:color w:val="000000" w:themeColor="text1"/>
          <w:highlight w:val="none"/>
        </w:rPr>
      </w:pPr>
      <w:r>
        <w:rPr>
          <w:color w:val="000000" w:themeColor="text1"/>
          <w:highlight w:val="none"/>
        </w:rPr>
        <w:t>林带郁闭后，抚育工作的主要任务是通过人为干涉，调节树种间的关系，调节林带的结构，保证主要树种的健康生长。同时，通过这一阶段的抚育修枝间伐，为当地提供相当的经济效益。林带的树种组成与密度基本处于稳定状态，但是仍应隔一定时间（5年左右）对林带进行调节，及时伐掉枯梢木和病腐木等。</w:t>
      </w:r>
    </w:p>
    <w:p>
      <w:pPr>
        <w:rPr>
          <w:color w:val="000000" w:themeColor="text1"/>
          <w:highlight w:val="none"/>
        </w:rPr>
      </w:pPr>
      <w:r>
        <w:rPr>
          <w:rFonts w:hint="eastAsia"/>
          <w:color w:val="000000" w:themeColor="text1"/>
          <w:highlight w:val="none"/>
          <w:lang w:val="en-US" w:eastAsia="zh-CN"/>
        </w:rPr>
        <w:t>5</w:t>
      </w:r>
      <w:r>
        <w:rPr>
          <w:color w:val="000000" w:themeColor="text1"/>
          <w:highlight w:val="none"/>
        </w:rPr>
        <w:t>)林木病虫害防治</w:t>
      </w:r>
    </w:p>
    <w:p>
      <w:pPr>
        <w:rPr>
          <w:color w:val="000000" w:themeColor="text1"/>
          <w:highlight w:val="none"/>
        </w:rPr>
      </w:pPr>
      <w:r>
        <w:rPr>
          <w:color w:val="000000" w:themeColor="text1"/>
          <w:highlight w:val="none"/>
        </w:rPr>
        <w:t>对于林带中出现各类树木的病、虫、害等要及时地进行管护。对于病株要及时砍伐防治扩散，对于虫害要及时地施用药品等控制灾害的发生。</w:t>
      </w:r>
    </w:p>
    <w:p>
      <w:pPr>
        <w:rPr>
          <w:rFonts w:hint="eastAsia"/>
          <w:color w:val="000000" w:themeColor="text1"/>
          <w:highlight w:val="none"/>
          <w:lang w:eastAsia="zh-CN"/>
        </w:rPr>
      </w:pPr>
      <w:bookmarkStart w:id="242" w:name="_Toc24618"/>
      <w:r>
        <w:rPr>
          <w:rFonts w:hint="eastAsia"/>
          <w:color w:val="000000" w:themeColor="text1"/>
          <w:highlight w:val="none"/>
          <w:lang w:val="en-US" w:eastAsia="zh-CN"/>
        </w:rPr>
        <w:t>6</w:t>
      </w:r>
      <w:r>
        <w:rPr>
          <w:rFonts w:hint="eastAsia"/>
          <w:color w:val="000000" w:themeColor="text1"/>
          <w:highlight w:val="none"/>
          <w:lang w:eastAsia="zh-CN"/>
        </w:rPr>
        <w:t>）林木补植</w:t>
      </w:r>
    </w:p>
    <w:p>
      <w:pPr>
        <w:rPr>
          <w:rFonts w:hint="eastAsia" w:eastAsia="宋体"/>
          <w:color w:val="000000" w:themeColor="text1"/>
          <w:highlight w:val="none"/>
          <w:lang w:eastAsia="zh-CN"/>
        </w:rPr>
      </w:pPr>
      <w:r>
        <w:rPr>
          <w:rFonts w:hint="eastAsia"/>
          <w:color w:val="000000" w:themeColor="text1"/>
          <w:highlight w:val="none"/>
          <w:lang w:eastAsia="zh-CN"/>
        </w:rPr>
        <w:t>当年成活率达不到</w:t>
      </w:r>
      <w:r>
        <w:rPr>
          <w:rFonts w:hint="eastAsia"/>
          <w:color w:val="000000" w:themeColor="text1"/>
          <w:highlight w:val="none"/>
          <w:lang w:val="en-US" w:eastAsia="zh-CN"/>
        </w:rPr>
        <w:t>85</w:t>
      </w:r>
      <w:r>
        <w:rPr>
          <w:rFonts w:hint="eastAsia"/>
          <w:color w:val="000000" w:themeColor="text1"/>
          <w:highlight w:val="none"/>
          <w:lang w:eastAsia="zh-CN"/>
        </w:rPr>
        <w:t>%、3年保存率达不到8</w:t>
      </w:r>
      <w:r>
        <w:rPr>
          <w:rFonts w:hint="eastAsia"/>
          <w:color w:val="000000" w:themeColor="text1"/>
          <w:highlight w:val="none"/>
          <w:lang w:val="en-US" w:eastAsia="zh-CN"/>
        </w:rPr>
        <w:t>0</w:t>
      </w:r>
      <w:r>
        <w:rPr>
          <w:rFonts w:hint="eastAsia"/>
          <w:color w:val="000000" w:themeColor="text1"/>
          <w:highlight w:val="none"/>
          <w:lang w:eastAsia="zh-CN"/>
        </w:rPr>
        <w:t>%，均需补植补造。</w:t>
      </w:r>
    </w:p>
    <w:p>
      <w:pPr>
        <w:rPr>
          <w:color w:val="000000" w:themeColor="text1"/>
          <w:highlight w:val="none"/>
        </w:rPr>
      </w:pPr>
      <w:r>
        <w:rPr>
          <w:rFonts w:hint="eastAsia"/>
          <w:color w:val="000000" w:themeColor="text1"/>
          <w:highlight w:val="none"/>
        </w:rPr>
        <w:t>3、已有工程维护治理</w:t>
      </w:r>
    </w:p>
    <w:p>
      <w:pPr>
        <w:rPr>
          <w:color w:val="000000" w:themeColor="text1"/>
          <w:highlight w:val="none"/>
        </w:rPr>
      </w:pPr>
      <w:r>
        <w:rPr>
          <w:rFonts w:hint="eastAsia"/>
          <w:color w:val="000000" w:themeColor="text1"/>
          <w:highlight w:val="none"/>
        </w:rPr>
        <w:t>对矿山已有的截排水沟进行治理维护，及时清理沟内砂石，对结构遭到破坏的地方及时进行修补。</w:t>
      </w:r>
    </w:p>
    <w:p>
      <w:pPr>
        <w:pStyle w:val="5"/>
        <w:spacing w:before="82" w:after="82"/>
        <w:rPr>
          <w:color w:val="000000" w:themeColor="text1"/>
          <w:highlight w:val="none"/>
        </w:rPr>
      </w:pPr>
      <w:bookmarkStart w:id="243" w:name="_Toc16318"/>
      <w:r>
        <w:rPr>
          <w:color w:val="000000" w:themeColor="text1"/>
          <w:highlight w:val="none"/>
        </w:rPr>
        <w:t>5.7.4主要工程量</w:t>
      </w:r>
      <w:bookmarkEnd w:id="242"/>
      <w:bookmarkEnd w:id="243"/>
    </w:p>
    <w:p>
      <w:pPr>
        <w:rPr>
          <w:color w:val="000000" w:themeColor="text1"/>
          <w:highlight w:val="none"/>
        </w:rPr>
      </w:pPr>
      <w:r>
        <w:rPr>
          <w:color w:val="000000" w:themeColor="text1"/>
          <w:highlight w:val="none"/>
        </w:rPr>
        <w:t>1、监测工程量测算</w:t>
      </w:r>
    </w:p>
    <w:p>
      <w:pPr>
        <w:rPr>
          <w:color w:val="000000" w:themeColor="text1"/>
          <w:highlight w:val="none"/>
        </w:rPr>
      </w:pPr>
      <w:r>
        <w:rPr>
          <w:rFonts w:hint="eastAsia"/>
          <w:color w:val="000000" w:themeColor="text1"/>
          <w:highlight w:val="none"/>
        </w:rPr>
        <w:t>（1）</w:t>
      </w:r>
      <w:r>
        <w:rPr>
          <w:color w:val="000000" w:themeColor="text1"/>
          <w:highlight w:val="none"/>
        </w:rPr>
        <w:t>土地损毁情况监测</w:t>
      </w:r>
    </w:p>
    <w:p>
      <w:pPr>
        <w:rPr>
          <w:color w:val="000000" w:themeColor="text1"/>
          <w:highlight w:val="none"/>
        </w:rPr>
      </w:pPr>
      <w:r>
        <w:rPr>
          <w:color w:val="000000" w:themeColor="text1"/>
          <w:highlight w:val="none"/>
        </w:rPr>
        <w:t>监测总面积为</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，监测年限为</w:t>
      </w:r>
      <w:r>
        <w:rPr>
          <w:rFonts w:hint="eastAsia"/>
          <w:color w:val="000000" w:themeColor="text1"/>
          <w:highlight w:val="none"/>
          <w:lang w:val="en-US" w:eastAsia="zh-CN"/>
        </w:rPr>
        <w:t>4.2</w:t>
      </w:r>
      <w:r>
        <w:rPr>
          <w:color w:val="000000" w:themeColor="text1"/>
          <w:highlight w:val="none"/>
        </w:rPr>
        <w:t>年，每年监测一次，共计</w:t>
      </w:r>
      <w:r>
        <w:rPr>
          <w:rFonts w:hint="eastAsia"/>
          <w:color w:val="000000" w:themeColor="text1"/>
          <w:highlight w:val="none"/>
          <w:lang w:val="en-US" w:eastAsia="zh-CN"/>
        </w:rPr>
        <w:t>4</w:t>
      </w:r>
      <w:r>
        <w:rPr>
          <w:color w:val="000000" w:themeColor="text1"/>
          <w:highlight w:val="none"/>
        </w:rPr>
        <w:t>次。</w:t>
      </w:r>
    </w:p>
    <w:p>
      <w:pPr>
        <w:rPr>
          <w:color w:val="000000" w:themeColor="text1"/>
          <w:highlight w:val="none"/>
        </w:rPr>
      </w:pPr>
      <w:r>
        <w:rPr>
          <w:rFonts w:hint="eastAsia"/>
          <w:color w:val="000000" w:themeColor="text1"/>
          <w:highlight w:val="none"/>
        </w:rPr>
        <w:t>（2）</w:t>
      </w:r>
      <w:r>
        <w:rPr>
          <w:color w:val="000000" w:themeColor="text1"/>
          <w:highlight w:val="none"/>
        </w:rPr>
        <w:t>土地复垦效果监测</w:t>
      </w:r>
    </w:p>
    <w:p>
      <w:pPr>
        <w:rPr>
          <w:color w:val="000000" w:themeColor="text1"/>
          <w:highlight w:val="none"/>
        </w:rPr>
      </w:pPr>
      <w:r>
        <w:rPr>
          <w:color w:val="000000" w:themeColor="text1"/>
          <w:highlight w:val="none"/>
        </w:rPr>
        <w:t>1）土壤质量监测</w:t>
      </w:r>
    </w:p>
    <w:p>
      <w:pPr>
        <w:rPr>
          <w:color w:val="000000" w:themeColor="text1"/>
          <w:highlight w:val="none"/>
        </w:rPr>
      </w:pPr>
      <w:r>
        <w:rPr>
          <w:color w:val="000000" w:themeColor="text1"/>
          <w:highlight w:val="none"/>
        </w:rPr>
        <w:t>复垦区内，耕地、林地分别按复垦后面积布设土壤质量监测点，每个复垦单元布设1个采样点，每年监测一次，总计</w:t>
      </w:r>
      <w:r>
        <w:rPr>
          <w:rFonts w:hint="eastAsia"/>
          <w:color w:val="000000" w:themeColor="text1"/>
          <w:highlight w:val="none"/>
          <w:lang w:val="en-US" w:eastAsia="zh-CN"/>
        </w:rPr>
        <w:t>2</w:t>
      </w:r>
      <w:r>
        <w:rPr>
          <w:color w:val="000000" w:themeColor="text1"/>
          <w:highlight w:val="none"/>
        </w:rPr>
        <w:t>个采样点。监测次数为：每年监测次数</w:t>
      </w:r>
      <w:r>
        <w:rPr>
          <w:rFonts w:hint="eastAsia"/>
          <w:color w:val="000000" w:themeColor="text1"/>
          <w:highlight w:val="none"/>
        </w:rPr>
        <w:t>×</w:t>
      </w:r>
      <w:r>
        <w:rPr>
          <w:color w:val="000000" w:themeColor="text1"/>
          <w:highlight w:val="none"/>
        </w:rPr>
        <w:t>监测持续时间</w:t>
      </w:r>
      <w:r>
        <w:rPr>
          <w:rFonts w:hint="eastAsia"/>
          <w:color w:val="000000" w:themeColor="text1"/>
          <w:highlight w:val="none"/>
        </w:rPr>
        <w:t>×</w:t>
      </w:r>
      <w:r>
        <w:rPr>
          <w:color w:val="000000" w:themeColor="text1"/>
          <w:highlight w:val="none"/>
        </w:rPr>
        <w:t>采样点数。总计</w:t>
      </w:r>
      <w:r>
        <w:rPr>
          <w:rFonts w:hint="eastAsia"/>
          <w:color w:val="000000" w:themeColor="text1"/>
          <w:highlight w:val="none"/>
          <w:lang w:val="en-US" w:eastAsia="zh-CN"/>
        </w:rPr>
        <w:t>6</w:t>
      </w:r>
      <w:r>
        <w:rPr>
          <w:color w:val="000000" w:themeColor="text1"/>
          <w:highlight w:val="none"/>
        </w:rPr>
        <w:t>个点•次。</w:t>
      </w:r>
    </w:p>
    <w:p>
      <w:pPr>
        <w:rPr>
          <w:color w:val="000000" w:themeColor="text1"/>
          <w:highlight w:val="none"/>
        </w:rPr>
      </w:pPr>
      <w:r>
        <w:rPr>
          <w:color w:val="000000" w:themeColor="text1"/>
          <w:highlight w:val="none"/>
        </w:rPr>
        <w:t>2）复垦植被监测</w:t>
      </w:r>
    </w:p>
    <w:p>
      <w:pPr>
        <w:rPr>
          <w:color w:val="000000" w:themeColor="text1"/>
          <w:highlight w:val="none"/>
        </w:rPr>
      </w:pPr>
      <w:r>
        <w:rPr>
          <w:color w:val="000000" w:themeColor="text1"/>
          <w:highlight w:val="none"/>
        </w:rPr>
        <w:t>复垦区内，林地按复垦后面积布设土壤质量监测点，每个复垦单元布设1个监测点，总计</w:t>
      </w:r>
      <w:r>
        <w:rPr>
          <w:rFonts w:hint="eastAsia"/>
          <w:color w:val="000000" w:themeColor="text1"/>
          <w:highlight w:val="none"/>
          <w:lang w:val="en-US" w:eastAsia="zh-CN"/>
        </w:rPr>
        <w:t>1</w:t>
      </w:r>
      <w:r>
        <w:rPr>
          <w:color w:val="000000" w:themeColor="text1"/>
          <w:highlight w:val="none"/>
        </w:rPr>
        <w:t>个监测点，每年监测一次</w:t>
      </w:r>
      <w:r>
        <w:rPr>
          <w:rFonts w:hint="eastAsia"/>
          <w:color w:val="000000" w:themeColor="text1"/>
          <w:highlight w:val="none"/>
          <w:lang w:eastAsia="zh-CN"/>
        </w:rPr>
        <w:t>，监测三年</w:t>
      </w:r>
      <w:r>
        <w:rPr>
          <w:color w:val="000000" w:themeColor="text1"/>
          <w:highlight w:val="none"/>
        </w:rPr>
        <w:t>。监测次数为：每年监测次数</w:t>
      </w:r>
      <w:r>
        <w:rPr>
          <w:rFonts w:hint="eastAsia"/>
          <w:color w:val="000000" w:themeColor="text1"/>
          <w:highlight w:val="none"/>
        </w:rPr>
        <w:t>×</w:t>
      </w:r>
      <w:r>
        <w:rPr>
          <w:color w:val="000000" w:themeColor="text1"/>
          <w:highlight w:val="none"/>
        </w:rPr>
        <w:t>监测持续时间</w:t>
      </w:r>
      <w:r>
        <w:rPr>
          <w:rFonts w:hint="eastAsia"/>
          <w:color w:val="000000" w:themeColor="text1"/>
          <w:highlight w:val="none"/>
        </w:rPr>
        <w:t>×</w:t>
      </w:r>
      <w:r>
        <w:rPr>
          <w:color w:val="000000" w:themeColor="text1"/>
          <w:highlight w:val="none"/>
        </w:rPr>
        <w:t>监测点数。总计</w:t>
      </w:r>
      <w:r>
        <w:rPr>
          <w:rFonts w:hint="eastAsia"/>
          <w:color w:val="000000" w:themeColor="text1"/>
          <w:highlight w:val="none"/>
          <w:lang w:val="en-US" w:eastAsia="zh-CN"/>
        </w:rPr>
        <w:t>3</w:t>
      </w:r>
      <w:r>
        <w:rPr>
          <w:color w:val="000000" w:themeColor="text1"/>
          <w:highlight w:val="none"/>
        </w:rPr>
        <w:t>个点•次。</w:t>
      </w:r>
    </w:p>
    <w:p>
      <w:pPr>
        <w:rPr>
          <w:color w:val="000000" w:themeColor="text1"/>
          <w:highlight w:val="none"/>
        </w:rPr>
      </w:pPr>
      <w:r>
        <w:rPr>
          <w:color w:val="000000" w:themeColor="text1"/>
          <w:highlight w:val="none"/>
        </w:rPr>
        <w:t>3）复垦配套设施监测</w:t>
      </w:r>
    </w:p>
    <w:p>
      <w:pPr>
        <w:rPr>
          <w:color w:val="000000" w:themeColor="text1"/>
          <w:highlight w:val="none"/>
        </w:rPr>
      </w:pPr>
      <w:r>
        <w:rPr>
          <w:color w:val="000000" w:themeColor="text1"/>
          <w:highlight w:val="none"/>
        </w:rPr>
        <w:t>根据复垦单元面积大小布设监测点，矿山共布设1个监测点，每年监测一次。总监测次数为：每年监测次数</w:t>
      </w:r>
      <w:r>
        <w:rPr>
          <w:rFonts w:hint="eastAsia"/>
          <w:color w:val="000000" w:themeColor="text1"/>
          <w:highlight w:val="none"/>
        </w:rPr>
        <w:t>×</w:t>
      </w:r>
      <w:r>
        <w:rPr>
          <w:color w:val="000000" w:themeColor="text1"/>
          <w:highlight w:val="none"/>
        </w:rPr>
        <w:t>监测持续时间</w:t>
      </w:r>
      <w:r>
        <w:rPr>
          <w:rFonts w:hint="eastAsia"/>
          <w:color w:val="000000" w:themeColor="text1"/>
          <w:highlight w:val="none"/>
        </w:rPr>
        <w:t>×</w:t>
      </w:r>
      <w:r>
        <w:rPr>
          <w:color w:val="000000" w:themeColor="text1"/>
          <w:highlight w:val="none"/>
        </w:rPr>
        <w:t>监测点数。总计3个点•次。</w:t>
      </w:r>
    </w:p>
    <w:p>
      <w:pPr>
        <w:pStyle w:val="67"/>
        <w:rPr>
          <w:color w:val="000000" w:themeColor="text1"/>
          <w:highlight w:val="none"/>
        </w:rPr>
      </w:pPr>
      <w:r>
        <w:rPr>
          <w:color w:val="000000" w:themeColor="text1"/>
          <w:highlight w:val="none"/>
        </w:rPr>
        <w:t>表5-</w:t>
      </w:r>
      <w:r>
        <w:rPr>
          <w:rFonts w:hint="eastAsia"/>
          <w:color w:val="000000" w:themeColor="text1"/>
          <w:highlight w:val="none"/>
        </w:rPr>
        <w:t xml:space="preserve">10  </w:t>
      </w:r>
      <w:r>
        <w:rPr>
          <w:color w:val="000000" w:themeColor="text1"/>
          <w:highlight w:val="none"/>
        </w:rPr>
        <w:t>复垦监测工程量</w:t>
      </w:r>
    </w:p>
    <w:tbl>
      <w:tblPr>
        <w:tblStyle w:val="31"/>
        <w:tblW w:w="4144" w:type="pct"/>
        <w:jc w:val="center"/>
        <w:tblLayout w:type="autofit"/>
        <w:tblCellMar>
          <w:top w:w="0" w:type="dxa"/>
          <w:left w:w="0" w:type="dxa"/>
          <w:bottom w:w="0" w:type="dxa"/>
          <w:right w:w="0" w:type="dxa"/>
        </w:tblCellMar>
      </w:tblPr>
      <w:tblGrid>
        <w:gridCol w:w="1721"/>
        <w:gridCol w:w="1721"/>
        <w:gridCol w:w="1722"/>
        <w:gridCol w:w="1722"/>
      </w:tblGrid>
      <w:tr>
        <w:tblPrEx>
          <w:tblCellMar>
            <w:top w:w="0" w:type="dxa"/>
            <w:left w:w="0" w:type="dxa"/>
            <w:bottom w:w="0" w:type="dxa"/>
            <w:right w:w="0" w:type="dxa"/>
          </w:tblCellMar>
        </w:tblPrEx>
        <w:trPr>
          <w:trHeight w:val="454" w:hRule="atLeast"/>
          <w:jc w:val="center"/>
        </w:trPr>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土地损毁情况监测(点次)</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土壤质量监测(点次)</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复垦植被监测(点次)</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复垦配套设施监测(点次)</w:t>
            </w:r>
          </w:p>
        </w:tc>
      </w:tr>
      <w:tr>
        <w:tblPrEx>
          <w:tblCellMar>
            <w:top w:w="0" w:type="dxa"/>
            <w:left w:w="0" w:type="dxa"/>
            <w:bottom w:w="0" w:type="dxa"/>
            <w:right w:w="0" w:type="dxa"/>
          </w:tblCellMar>
        </w:tblPrEx>
        <w:trPr>
          <w:trHeight w:val="454" w:hRule="atLeast"/>
          <w:jc w:val="center"/>
        </w:trPr>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6</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rFonts w:hint="eastAsia" w:eastAsia="宋体"/>
                <w:color w:val="000000" w:themeColor="text1"/>
                <w:highlight w:val="none"/>
                <w:lang w:val="en-US" w:eastAsia="zh-CN"/>
              </w:rPr>
            </w:pPr>
            <w:r>
              <w:rPr>
                <w:rFonts w:hint="eastAsia"/>
                <w:color w:val="000000" w:themeColor="text1"/>
                <w:highlight w:val="none"/>
                <w:lang w:val="en-US" w:eastAsia="zh-CN"/>
              </w:rPr>
              <w:t>3</w:t>
            </w:r>
          </w:p>
        </w:tc>
        <w:tc>
          <w:tcPr>
            <w:tcW w:w="1250" w:type="pct"/>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3</w:t>
            </w:r>
          </w:p>
        </w:tc>
      </w:tr>
    </w:tbl>
    <w:p>
      <w:pPr>
        <w:rPr>
          <w:color w:val="000000" w:themeColor="text1"/>
          <w:highlight w:val="none"/>
        </w:rPr>
      </w:pPr>
      <w:r>
        <w:rPr>
          <w:color w:val="000000" w:themeColor="text1"/>
          <w:highlight w:val="none"/>
        </w:rPr>
        <w:t>2、管护工程量测算</w:t>
      </w:r>
    </w:p>
    <w:p>
      <w:pPr>
        <w:rPr>
          <w:color w:val="000000" w:themeColor="text1"/>
          <w:highlight w:val="none"/>
          <w:lang w:val="vi-VN"/>
        </w:rPr>
      </w:pPr>
      <w:r>
        <w:rPr>
          <w:color w:val="000000" w:themeColor="text1"/>
          <w:highlight w:val="none"/>
        </w:rPr>
        <w:t>本方案管护区域面积为</w:t>
      </w:r>
      <w:r>
        <w:rPr>
          <w:rFonts w:hint="eastAsia"/>
          <w:color w:val="000000" w:themeColor="text1"/>
          <w:kern w:val="0"/>
          <w:highlight w:val="none"/>
          <w:lang w:eastAsia="zh-CN"/>
        </w:rPr>
        <w:t>8.179</w:t>
      </w:r>
      <w:r>
        <w:rPr>
          <w:color w:val="000000" w:themeColor="text1"/>
          <w:highlight w:val="none"/>
        </w:rPr>
        <w:t>hm</w:t>
      </w:r>
      <w:r>
        <w:rPr>
          <w:color w:val="000000" w:themeColor="text1"/>
          <w:highlight w:val="none"/>
          <w:vertAlign w:val="superscript"/>
        </w:rPr>
        <w:t>2</w:t>
      </w:r>
      <w:r>
        <w:rPr>
          <w:color w:val="000000" w:themeColor="text1"/>
          <w:highlight w:val="none"/>
        </w:rPr>
        <w:t>，其中包括</w:t>
      </w:r>
      <w:r>
        <w:rPr>
          <w:rFonts w:hint="eastAsia"/>
          <w:color w:val="000000" w:themeColor="text1"/>
          <w:highlight w:val="none"/>
          <w:lang w:eastAsia="zh-CN"/>
        </w:rPr>
        <w:t>乔木林地7.6345</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r>
        <w:rPr>
          <w:rFonts w:hint="eastAsia"/>
          <w:color w:val="000000" w:themeColor="text1"/>
          <w:highlight w:val="none"/>
          <w:lang w:eastAsia="zh-CN"/>
        </w:rPr>
        <w:t>其他草地1.3434</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r>
        <w:rPr>
          <w:color w:val="000000" w:themeColor="text1"/>
          <w:highlight w:val="none"/>
        </w:rPr>
        <w:t>管护时间为3年</w:t>
      </w:r>
      <w:r>
        <w:rPr>
          <w:color w:val="000000" w:themeColor="text1"/>
          <w:highlight w:val="none"/>
          <w:lang w:val="vi-VN"/>
        </w:rPr>
        <w:t>。</w:t>
      </w:r>
    </w:p>
    <w:p>
      <w:pPr>
        <w:pStyle w:val="67"/>
        <w:rPr>
          <w:color w:val="000000" w:themeColor="text1"/>
          <w:highlight w:val="none"/>
        </w:rPr>
      </w:pPr>
      <w:r>
        <w:rPr>
          <w:color w:val="000000" w:themeColor="text1"/>
          <w:highlight w:val="none"/>
        </w:rPr>
        <w:t>表5-1</w:t>
      </w:r>
      <w:r>
        <w:rPr>
          <w:rFonts w:hint="eastAsia"/>
          <w:color w:val="000000" w:themeColor="text1"/>
          <w:highlight w:val="none"/>
        </w:rPr>
        <w:t xml:space="preserve">1  </w:t>
      </w:r>
      <w:r>
        <w:rPr>
          <w:color w:val="000000" w:themeColor="text1"/>
          <w:highlight w:val="none"/>
        </w:rPr>
        <w:t>管护工程量表</w:t>
      </w:r>
    </w:p>
    <w:tbl>
      <w:tblPr>
        <w:tblStyle w:val="31"/>
        <w:tblW w:w="8509" w:type="dxa"/>
        <w:jc w:val="center"/>
        <w:tblLayout w:type="fixed"/>
        <w:tblCellMar>
          <w:top w:w="0" w:type="dxa"/>
          <w:left w:w="108" w:type="dxa"/>
          <w:bottom w:w="0" w:type="dxa"/>
          <w:right w:w="108" w:type="dxa"/>
        </w:tblCellMar>
      </w:tblPr>
      <w:tblGrid>
        <w:gridCol w:w="962"/>
        <w:gridCol w:w="2278"/>
        <w:gridCol w:w="2278"/>
        <w:gridCol w:w="1455"/>
        <w:gridCol w:w="1536"/>
      </w:tblGrid>
      <w:tr>
        <w:trPr>
          <w:trHeight w:val="386" w:hRule="atLeast"/>
          <w:jc w:val="center"/>
        </w:trPr>
        <w:tc>
          <w:tcPr>
            <w:tcW w:w="96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序号</w:t>
            </w:r>
          </w:p>
        </w:tc>
        <w:tc>
          <w:tcPr>
            <w:tcW w:w="4556" w:type="dxa"/>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工程名称</w:t>
            </w:r>
          </w:p>
        </w:tc>
        <w:tc>
          <w:tcPr>
            <w:tcW w:w="145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单位</w:t>
            </w:r>
          </w:p>
        </w:tc>
        <w:tc>
          <w:tcPr>
            <w:tcW w:w="1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数量</w:t>
            </w:r>
          </w:p>
        </w:tc>
      </w:tr>
      <w:tr>
        <w:tblPrEx>
          <w:tblCellMar>
            <w:top w:w="0" w:type="dxa"/>
            <w:left w:w="108" w:type="dxa"/>
            <w:bottom w:w="0" w:type="dxa"/>
            <w:right w:w="108" w:type="dxa"/>
          </w:tblCellMar>
        </w:tblPrEx>
        <w:trPr>
          <w:trHeight w:val="386" w:hRule="atLeast"/>
          <w:jc w:val="center"/>
        </w:trPr>
        <w:tc>
          <w:tcPr>
            <w:tcW w:w="962" w:type="dxa"/>
            <w:vMerge w:val="restart"/>
            <w:tcBorders>
              <w:top w:val="single" w:color="auto" w:sz="4" w:space="0"/>
              <w:left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278" w:type="dxa"/>
            <w:vMerge w:val="restart"/>
            <w:tcBorders>
              <w:top w:val="single" w:color="auto" w:sz="4" w:space="0"/>
              <w:left w:val="single" w:color="auto" w:sz="4" w:space="0"/>
              <w:right w:val="single" w:color="auto" w:sz="4" w:space="0"/>
            </w:tcBorders>
            <w:vAlign w:val="center"/>
          </w:tcPr>
          <w:p>
            <w:pPr>
              <w:pStyle w:val="63"/>
              <w:rPr>
                <w:color w:val="000000" w:themeColor="text1"/>
                <w:highlight w:val="none"/>
              </w:rPr>
            </w:pPr>
            <w:r>
              <w:rPr>
                <w:color w:val="000000" w:themeColor="text1"/>
                <w:highlight w:val="none"/>
              </w:rPr>
              <w:t>林地管护</w:t>
            </w:r>
          </w:p>
        </w:tc>
        <w:tc>
          <w:tcPr>
            <w:tcW w:w="227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林木补植</w:t>
            </w:r>
          </w:p>
        </w:tc>
        <w:tc>
          <w:tcPr>
            <w:tcW w:w="145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536" w:type="dxa"/>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kern w:val="0"/>
                <w:highlight w:val="none"/>
                <w:lang w:eastAsia="zh-CN"/>
              </w:rPr>
              <w:t>8.179</w:t>
            </w:r>
          </w:p>
        </w:tc>
      </w:tr>
      <w:tr>
        <w:tblPrEx>
          <w:tblCellMar>
            <w:top w:w="0" w:type="dxa"/>
            <w:left w:w="108" w:type="dxa"/>
            <w:bottom w:w="0" w:type="dxa"/>
            <w:right w:w="108" w:type="dxa"/>
          </w:tblCellMar>
        </w:tblPrEx>
        <w:trPr>
          <w:trHeight w:val="386" w:hRule="atLeast"/>
          <w:jc w:val="center"/>
        </w:trPr>
        <w:tc>
          <w:tcPr>
            <w:tcW w:w="962" w:type="dxa"/>
            <w:vMerge w:val="continue"/>
            <w:tcBorders>
              <w:left w:val="single" w:color="auto" w:sz="4" w:space="0"/>
              <w:right w:val="single" w:color="auto" w:sz="4" w:space="0"/>
            </w:tcBorders>
            <w:vAlign w:val="center"/>
          </w:tcPr>
          <w:p>
            <w:pPr>
              <w:pStyle w:val="63"/>
              <w:rPr>
                <w:color w:val="000000" w:themeColor="text1"/>
                <w:highlight w:val="none"/>
              </w:rPr>
            </w:pPr>
          </w:p>
        </w:tc>
        <w:tc>
          <w:tcPr>
            <w:tcW w:w="2278" w:type="dxa"/>
            <w:vMerge w:val="continue"/>
            <w:tcBorders>
              <w:left w:val="single" w:color="auto" w:sz="4" w:space="0"/>
              <w:right w:val="single" w:color="auto" w:sz="4" w:space="0"/>
            </w:tcBorders>
            <w:vAlign w:val="center"/>
          </w:tcPr>
          <w:p>
            <w:pPr>
              <w:pStyle w:val="63"/>
              <w:rPr>
                <w:color w:val="000000" w:themeColor="text1"/>
                <w:highlight w:val="none"/>
              </w:rPr>
            </w:pPr>
          </w:p>
        </w:tc>
        <w:tc>
          <w:tcPr>
            <w:tcW w:w="227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伐枯腐木</w:t>
            </w:r>
          </w:p>
        </w:tc>
        <w:tc>
          <w:tcPr>
            <w:tcW w:w="145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53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kern w:val="0"/>
                <w:highlight w:val="none"/>
                <w:lang w:eastAsia="zh-CN"/>
              </w:rPr>
              <w:t>8.179</w:t>
            </w:r>
            <w:r>
              <w:rPr>
                <w:color w:val="000000" w:themeColor="text1"/>
                <w:highlight w:val="none"/>
              </w:rPr>
              <w:t>*3</w:t>
            </w:r>
          </w:p>
        </w:tc>
      </w:tr>
      <w:tr>
        <w:tblPrEx>
          <w:tblCellMar>
            <w:top w:w="0" w:type="dxa"/>
            <w:left w:w="108" w:type="dxa"/>
            <w:bottom w:w="0" w:type="dxa"/>
            <w:right w:w="108" w:type="dxa"/>
          </w:tblCellMar>
        </w:tblPrEx>
        <w:trPr>
          <w:trHeight w:val="386" w:hRule="atLeast"/>
          <w:jc w:val="center"/>
        </w:trPr>
        <w:tc>
          <w:tcPr>
            <w:tcW w:w="962" w:type="dxa"/>
            <w:vMerge w:val="continue"/>
            <w:tcBorders>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2278" w:type="dxa"/>
            <w:vMerge w:val="continue"/>
            <w:tcBorders>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2278"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喷洒农药</w:t>
            </w:r>
          </w:p>
        </w:tc>
        <w:tc>
          <w:tcPr>
            <w:tcW w:w="145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53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kern w:val="0"/>
                <w:highlight w:val="none"/>
                <w:lang w:eastAsia="zh-CN"/>
              </w:rPr>
              <w:t>8.179</w:t>
            </w:r>
            <w:r>
              <w:rPr>
                <w:color w:val="000000" w:themeColor="text1"/>
                <w:highlight w:val="none"/>
              </w:rPr>
              <w:t>*3</w:t>
            </w:r>
          </w:p>
        </w:tc>
      </w:tr>
    </w:tbl>
    <w:p>
      <w:pPr>
        <w:rPr>
          <w:color w:val="000000" w:themeColor="text1"/>
          <w:highlight w:val="none"/>
        </w:rPr>
        <w:sectPr>
          <w:pgSz w:w="11905" w:h="16838"/>
          <w:pgMar w:top="1440" w:right="1803" w:bottom="1440" w:left="1803" w:header="624" w:footer="624" w:gutter="0"/>
          <w:cols w:space="0" w:num="1"/>
          <w:docGrid w:type="linesAndChars" w:linePitch="331" w:charSpace="0"/>
        </w:sectPr>
      </w:pPr>
    </w:p>
    <w:p>
      <w:pPr>
        <w:pStyle w:val="3"/>
        <w:rPr>
          <w:color w:val="000000" w:themeColor="text1"/>
          <w:highlight w:val="none"/>
        </w:rPr>
      </w:pPr>
      <w:bookmarkStart w:id="244" w:name="_Toc15559"/>
      <w:bookmarkStart w:id="245" w:name="_Toc5256"/>
      <w:r>
        <w:rPr>
          <w:color w:val="000000" w:themeColor="text1"/>
          <w:highlight w:val="none"/>
        </w:rPr>
        <w:t>第六章矿山地质环境治理与土地复垦工程工作部署</w:t>
      </w:r>
      <w:bookmarkEnd w:id="244"/>
      <w:bookmarkEnd w:id="245"/>
    </w:p>
    <w:p>
      <w:pPr>
        <w:pStyle w:val="4"/>
        <w:spacing w:before="82" w:after="82"/>
        <w:rPr>
          <w:color w:val="000000" w:themeColor="text1"/>
          <w:highlight w:val="none"/>
        </w:rPr>
      </w:pPr>
      <w:bookmarkStart w:id="246" w:name="_Toc14743"/>
      <w:bookmarkStart w:id="247" w:name="_Toc30069"/>
      <w:r>
        <w:rPr>
          <w:color w:val="000000" w:themeColor="text1"/>
          <w:highlight w:val="none"/>
        </w:rPr>
        <w:t>6.1总体工作部署</w:t>
      </w:r>
      <w:bookmarkEnd w:id="246"/>
      <w:bookmarkEnd w:id="247"/>
    </w:p>
    <w:p>
      <w:pPr>
        <w:rPr>
          <w:color w:val="000000" w:themeColor="text1"/>
          <w:highlight w:val="none"/>
        </w:rPr>
      </w:pPr>
      <w:r>
        <w:rPr>
          <w:color w:val="000000" w:themeColor="text1"/>
          <w:highlight w:val="none"/>
        </w:rPr>
        <w:t>矿山地质环境保护与土地复垦工作，既要统筹兼顾全面部署，又要结合实际、突出重点，采取科学、经济、合理的方法，分轻重缓急逐步完成。时间上，矿山地质环境保护及恢复治理与土地复垦应尽量同矿山生产建设同步进行；在空间布局上，根据矿山地质环境问题类型的不同，采取不同的措施进行治理。评估区内经济发展以农业为主，根据区内地形地貌情况，将压占破坏的土地及时复垦成耕地、草地和园地，并大力发展种植业，使经济效益、社会效益与生态环境保护同步发展。</w:t>
      </w:r>
    </w:p>
    <w:p>
      <w:pPr>
        <w:rPr>
          <w:rFonts w:hint="eastAsia"/>
          <w:color w:val="000000" w:themeColor="text1"/>
          <w:highlight w:val="none"/>
        </w:rPr>
      </w:pPr>
      <w:r>
        <w:rPr>
          <w:rFonts w:hint="eastAsia"/>
          <w:color w:val="000000" w:themeColor="text1"/>
          <w:highlight w:val="none"/>
          <w:lang w:eastAsia="zh-CN"/>
        </w:rPr>
        <w:t>旺苍县华隆建材有限公司三江镇战旗石灰石矿</w:t>
      </w:r>
      <w:r>
        <w:rPr>
          <w:color w:val="000000" w:themeColor="text1"/>
          <w:highlight w:val="none"/>
        </w:rPr>
        <w:t>采矿许可证号为：</w:t>
      </w:r>
      <w:r>
        <w:rPr>
          <w:rFonts w:hint="eastAsia"/>
          <w:color w:val="000000" w:themeColor="text1"/>
          <w:highlight w:val="none"/>
          <w:lang w:eastAsia="zh-CN"/>
        </w:rPr>
        <w:t>C5108002010127130086349</w:t>
      </w:r>
      <w:r>
        <w:rPr>
          <w:color w:val="000000" w:themeColor="text1"/>
          <w:highlight w:val="none"/>
        </w:rPr>
        <w:t>，</w:t>
      </w:r>
      <w:r>
        <w:rPr>
          <w:rFonts w:hint="eastAsia"/>
          <w:color w:val="000000" w:themeColor="text1"/>
          <w:highlight w:val="none"/>
        </w:rPr>
        <w:t>有效期：柒年零</w:t>
      </w:r>
      <w:r>
        <w:rPr>
          <w:rFonts w:hint="eastAsia"/>
          <w:color w:val="000000" w:themeColor="text1"/>
          <w:highlight w:val="none"/>
          <w:lang w:eastAsia="zh-CN"/>
        </w:rPr>
        <w:t>壹</w:t>
      </w:r>
      <w:r>
        <w:rPr>
          <w:rFonts w:hint="eastAsia"/>
          <w:color w:val="000000" w:themeColor="text1"/>
          <w:highlight w:val="none"/>
        </w:rPr>
        <w:t>月</w:t>
      </w:r>
      <w:r>
        <w:rPr>
          <w:rFonts w:hint="eastAsia"/>
          <w:color w:val="000000" w:themeColor="text1"/>
          <w:highlight w:val="none"/>
          <w:lang w:eastAsia="zh-CN"/>
        </w:rPr>
        <w:t>（</w:t>
      </w:r>
      <w:r>
        <w:rPr>
          <w:rFonts w:hint="eastAsia"/>
          <w:color w:val="000000" w:themeColor="text1"/>
          <w:highlight w:val="none"/>
        </w:rPr>
        <w:t>自2017年10月1日至2024年11月1日</w:t>
      </w:r>
      <w:r>
        <w:rPr>
          <w:rFonts w:hint="eastAsia"/>
          <w:color w:val="000000" w:themeColor="text1"/>
          <w:highlight w:val="none"/>
          <w:lang w:eastAsia="zh-CN"/>
        </w:rPr>
        <w:t>）</w:t>
      </w:r>
      <w:r>
        <w:rPr>
          <w:color w:val="000000" w:themeColor="text1"/>
          <w:highlight w:val="none"/>
        </w:rPr>
        <w:t>。根据20</w:t>
      </w:r>
      <w:r>
        <w:rPr>
          <w:rFonts w:hint="eastAsia"/>
          <w:color w:val="000000" w:themeColor="text1"/>
          <w:highlight w:val="none"/>
          <w:lang w:val="en-US" w:eastAsia="zh-CN"/>
        </w:rPr>
        <w:t>22</w:t>
      </w:r>
      <w:r>
        <w:rPr>
          <w:color w:val="000000" w:themeColor="text1"/>
          <w:highlight w:val="none"/>
        </w:rPr>
        <w:t>年1月</w:t>
      </w:r>
      <w:r>
        <w:rPr>
          <w:rFonts w:hint="eastAsia"/>
          <w:color w:val="000000" w:themeColor="text1"/>
          <w:highlight w:val="none"/>
          <w:lang w:eastAsia="zh-CN"/>
        </w:rPr>
        <w:t>四川天梦星地质勘查技术有限公司</w:t>
      </w:r>
      <w:r>
        <w:rPr>
          <w:color w:val="000000" w:themeColor="text1"/>
          <w:highlight w:val="none"/>
        </w:rPr>
        <w:t>提交的《</w:t>
      </w:r>
      <w:r>
        <w:rPr>
          <w:rFonts w:hint="eastAsia"/>
          <w:color w:val="000000" w:themeColor="text1"/>
          <w:highlight w:val="none"/>
          <w:lang w:eastAsia="zh-CN"/>
        </w:rPr>
        <w:t>旺苍县三江镇战旗石灰石矿矿产资源开发利用方案</w:t>
      </w:r>
      <w:r>
        <w:rPr>
          <w:color w:val="000000" w:themeColor="text1"/>
          <w:highlight w:val="none"/>
        </w:rPr>
        <w:t>》采区回采率95%，生产规模为</w:t>
      </w:r>
      <w:r>
        <w:rPr>
          <w:rFonts w:hint="eastAsia"/>
          <w:color w:val="000000" w:themeColor="text1"/>
          <w:highlight w:val="none"/>
          <w:lang w:eastAsia="zh-CN"/>
        </w:rPr>
        <w:t>30万吨</w:t>
      </w:r>
      <w:r>
        <w:rPr>
          <w:color w:val="000000" w:themeColor="text1"/>
          <w:highlight w:val="none"/>
        </w:rPr>
        <w:t>/年，根据</w:t>
      </w:r>
      <w:r>
        <w:rPr>
          <w:rFonts w:hint="eastAsia"/>
          <w:color w:val="000000" w:themeColor="text1"/>
          <w:highlight w:val="none"/>
        </w:rPr>
        <w:t>四川天梦星地质勘查技术有限公司</w:t>
      </w:r>
      <w:r>
        <w:rPr>
          <w:rFonts w:hint="eastAsia"/>
          <w:color w:val="000000" w:themeColor="text1"/>
          <w:highlight w:val="none"/>
          <w:lang w:eastAsia="zh-CN"/>
        </w:rPr>
        <w:t>202</w:t>
      </w:r>
      <w:r>
        <w:rPr>
          <w:rFonts w:hint="eastAsia"/>
          <w:color w:val="000000" w:themeColor="text1"/>
          <w:highlight w:val="none"/>
          <w:lang w:val="en-US" w:eastAsia="zh-CN"/>
        </w:rPr>
        <w:t>2</w:t>
      </w:r>
      <w:r>
        <w:rPr>
          <w:rFonts w:hint="eastAsia"/>
          <w:color w:val="000000" w:themeColor="text1"/>
          <w:highlight w:val="none"/>
          <w:lang w:eastAsia="zh-CN"/>
        </w:rPr>
        <w:t>年1月</w:t>
      </w:r>
      <w:r>
        <w:rPr>
          <w:color w:val="000000" w:themeColor="text1"/>
          <w:highlight w:val="none"/>
        </w:rPr>
        <w:t>提交的《</w:t>
      </w:r>
      <w:r>
        <w:rPr>
          <w:rFonts w:hint="eastAsia"/>
          <w:color w:val="000000" w:themeColor="text1"/>
          <w:highlight w:val="none"/>
          <w:lang w:eastAsia="zh-CN"/>
        </w:rPr>
        <w:t>旺苍县三江镇战旗石灰石矿资源储量核实报告</w:t>
      </w:r>
      <w:r>
        <w:rPr>
          <w:color w:val="000000" w:themeColor="text1"/>
          <w:highlight w:val="none"/>
        </w:rPr>
        <w:t>》</w:t>
      </w:r>
      <w:r>
        <w:rPr>
          <w:rFonts w:hint="eastAsia"/>
          <w:color w:val="000000" w:themeColor="text1"/>
          <w:highlight w:val="none"/>
        </w:rPr>
        <w:t>，境界内的矿石量约为270.17万吨，均为保有控制资源量。</w:t>
      </w:r>
    </w:p>
    <w:p>
      <w:pPr>
        <w:rPr>
          <w:rFonts w:hint="eastAsia"/>
          <w:color w:val="000000" w:themeColor="text1"/>
          <w:highlight w:val="none"/>
        </w:rPr>
      </w:pPr>
      <w:r>
        <w:rPr>
          <w:rFonts w:hint="eastAsia"/>
          <w:color w:val="000000" w:themeColor="text1"/>
          <w:highlight w:val="none"/>
        </w:rPr>
        <w:t>按回采率95%，生产规模50万吨/年计算，资源量服务年限为：</w:t>
      </w:r>
    </w:p>
    <w:p>
      <w:pPr>
        <w:ind w:left="0" w:leftChars="0" w:right="0" w:rightChars="0" w:firstLine="0" w:firstLineChars="0"/>
        <w:jc w:val="center"/>
        <w:rPr>
          <w:rFonts w:hint="eastAsia"/>
          <w:color w:val="000000" w:themeColor="text1"/>
          <w:highlight w:val="none"/>
        </w:rPr>
      </w:pPr>
      <w:r>
        <w:rPr>
          <w:rFonts w:hint="eastAsia"/>
          <w:color w:val="000000" w:themeColor="text1"/>
          <w:highlight w:val="none"/>
        </w:rPr>
        <w:t>T=Qη/A=270.17×95%/50≈5.1年。</w:t>
      </w:r>
    </w:p>
    <w:p>
      <w:pPr>
        <w:rPr>
          <w:color w:val="000000" w:themeColor="text1"/>
          <w:highlight w:val="none"/>
        </w:rPr>
      </w:pPr>
      <w:r>
        <w:rPr>
          <w:color w:val="000000" w:themeColor="text1"/>
          <w:highlight w:val="none"/>
        </w:rPr>
        <w:t>以</w:t>
      </w:r>
      <w:r>
        <w:rPr>
          <w:rFonts w:hint="eastAsia"/>
          <w:color w:val="000000" w:themeColor="text1"/>
          <w:highlight w:val="none"/>
        </w:rPr>
        <w:t>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月为准，矿</w:t>
      </w:r>
      <w:r>
        <w:rPr>
          <w:rFonts w:hint="eastAsia"/>
          <w:color w:val="000000" w:themeColor="text1"/>
          <w:highlight w:val="none"/>
          <w:lang w:eastAsia="zh-CN"/>
        </w:rPr>
        <w:t>石</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p>
    <w:p>
      <w:pPr>
        <w:rPr>
          <w:color w:val="000000" w:themeColor="text1"/>
          <w:highlight w:val="none"/>
        </w:rPr>
      </w:pPr>
      <w:r>
        <w:rPr>
          <w:rFonts w:hint="eastAsia"/>
          <w:color w:val="000000" w:themeColor="text1"/>
          <w:highlight w:val="none"/>
        </w:rPr>
        <w:t>本矿山采矿证尚未到期，</w:t>
      </w:r>
      <w:r>
        <w:rPr>
          <w:rFonts w:hint="eastAsia"/>
          <w:color w:val="000000" w:themeColor="text1"/>
          <w:highlight w:val="none"/>
          <w:lang w:eastAsia="zh-CN"/>
        </w:rPr>
        <w:t>由于矿权范围变更，需重新申请新的采矿许可证，</w:t>
      </w:r>
      <w:r>
        <w:rPr>
          <w:rFonts w:hint="eastAsia"/>
          <w:color w:val="000000" w:themeColor="text1"/>
          <w:highlight w:val="none"/>
        </w:rPr>
        <w:t>方案服务年限根据</w:t>
      </w:r>
      <w:r>
        <w:rPr>
          <w:rFonts w:hint="eastAsia"/>
          <w:color w:val="000000" w:themeColor="text1"/>
          <w:highlight w:val="none"/>
          <w:lang w:eastAsia="zh-CN"/>
        </w:rPr>
        <w:t>矿山剩余服务年限确定</w:t>
      </w:r>
      <w:r>
        <w:rPr>
          <w:rFonts w:hint="eastAsia"/>
          <w:color w:val="000000" w:themeColor="text1"/>
          <w:highlight w:val="none"/>
        </w:rPr>
        <w:t>，</w:t>
      </w:r>
      <w:r>
        <w:rPr>
          <w:rFonts w:hint="eastAsia"/>
          <w:color w:val="000000" w:themeColor="text1"/>
          <w:highlight w:val="none"/>
          <w:lang w:eastAsia="zh-CN"/>
        </w:rPr>
        <w:t>矿山</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r>
        <w:rPr>
          <w:rFonts w:hint="eastAsia"/>
          <w:color w:val="000000" w:themeColor="text1"/>
          <w:highlight w:val="none"/>
        </w:rPr>
        <w:t>，截止</w:t>
      </w:r>
      <w:r>
        <w:rPr>
          <w:rFonts w:hint="eastAsia"/>
          <w:color w:val="000000" w:themeColor="text1"/>
          <w:highlight w:val="none"/>
          <w:lang w:eastAsia="zh-CN"/>
        </w:rPr>
        <w:t>至</w:t>
      </w:r>
      <w:r>
        <w:rPr>
          <w:rFonts w:hint="eastAsia"/>
          <w:color w:val="000000" w:themeColor="text1"/>
          <w:highlight w:val="none"/>
        </w:rPr>
        <w:t>20</w:t>
      </w:r>
      <w:r>
        <w:rPr>
          <w:rFonts w:hint="eastAsia"/>
          <w:color w:val="000000" w:themeColor="text1"/>
          <w:highlight w:val="none"/>
          <w:lang w:val="en-US" w:eastAsia="zh-CN"/>
        </w:rPr>
        <w:t>27</w:t>
      </w:r>
      <w:r>
        <w:rPr>
          <w:rFonts w:hint="eastAsia"/>
          <w:color w:val="000000" w:themeColor="text1"/>
          <w:highlight w:val="none"/>
        </w:rPr>
        <w:t>年</w:t>
      </w:r>
      <w:r>
        <w:rPr>
          <w:rFonts w:hint="eastAsia"/>
          <w:color w:val="000000" w:themeColor="text1"/>
          <w:highlight w:val="none"/>
          <w:lang w:val="en-US" w:eastAsia="zh-CN"/>
        </w:rPr>
        <w:t>2</w:t>
      </w:r>
      <w:r>
        <w:rPr>
          <w:rFonts w:hint="eastAsia"/>
          <w:color w:val="000000" w:themeColor="text1"/>
          <w:highlight w:val="none"/>
        </w:rPr>
        <w:t>月，矿山地质环境治理与</w:t>
      </w:r>
      <w:r>
        <w:rPr>
          <w:color w:val="000000" w:themeColor="text1"/>
          <w:highlight w:val="none"/>
        </w:rPr>
        <w:t>土地复垦</w:t>
      </w:r>
      <w:r>
        <w:rPr>
          <w:rFonts w:hint="eastAsia"/>
          <w:color w:val="000000" w:themeColor="text1"/>
          <w:highlight w:val="none"/>
        </w:rPr>
        <w:t>总</w:t>
      </w:r>
      <w:r>
        <w:rPr>
          <w:color w:val="000000" w:themeColor="text1"/>
          <w:highlight w:val="none"/>
        </w:rPr>
        <w:t>工期设计为</w:t>
      </w:r>
      <w:r>
        <w:rPr>
          <w:rFonts w:hint="eastAsia"/>
          <w:color w:val="000000" w:themeColor="text1"/>
          <w:highlight w:val="none"/>
        </w:rPr>
        <w:t>0.5</w:t>
      </w:r>
      <w:r>
        <w:rPr>
          <w:color w:val="000000" w:themeColor="text1"/>
          <w:highlight w:val="none"/>
        </w:rPr>
        <w:t>年，监测管护期3</w:t>
      </w:r>
      <w:r>
        <w:rPr>
          <w:rFonts w:hint="eastAsia"/>
          <w:color w:val="000000" w:themeColor="text1"/>
          <w:highlight w:val="none"/>
        </w:rPr>
        <w:t>年</w:t>
      </w:r>
      <w:r>
        <w:rPr>
          <w:color w:val="000000" w:themeColor="text1"/>
          <w:highlight w:val="none"/>
        </w:rPr>
        <w:t>，因此，复垦方案服务年限自20</w:t>
      </w:r>
      <w:r>
        <w:rPr>
          <w:rFonts w:hint="eastAsia"/>
          <w:color w:val="000000" w:themeColor="text1"/>
          <w:highlight w:val="none"/>
        </w:rPr>
        <w:t>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w:t>
      </w:r>
      <w:r>
        <w:rPr>
          <w:color w:val="000000" w:themeColor="text1"/>
          <w:highlight w:val="none"/>
        </w:rPr>
        <w:t>至</w:t>
      </w:r>
      <w:r>
        <w:rPr>
          <w:rFonts w:hint="eastAsia"/>
          <w:color w:val="000000" w:themeColor="text1"/>
          <w:highlight w:val="none"/>
          <w:lang w:val="en-US" w:eastAsia="zh-CN"/>
        </w:rPr>
        <w:t>2030</w:t>
      </w:r>
      <w:r>
        <w:rPr>
          <w:color w:val="000000" w:themeColor="text1"/>
          <w:highlight w:val="none"/>
        </w:rPr>
        <w:t>年</w:t>
      </w:r>
      <w:r>
        <w:rPr>
          <w:rFonts w:hint="eastAsia"/>
          <w:color w:val="000000" w:themeColor="text1"/>
          <w:highlight w:val="none"/>
          <w:lang w:val="en-US" w:eastAsia="zh-CN"/>
        </w:rPr>
        <w:t>8</w:t>
      </w:r>
      <w:r>
        <w:rPr>
          <w:rFonts w:hint="eastAsia"/>
          <w:color w:val="000000" w:themeColor="text1"/>
          <w:highlight w:val="none"/>
        </w:rPr>
        <w:t>月</w:t>
      </w:r>
      <w:r>
        <w:rPr>
          <w:color w:val="000000" w:themeColor="text1"/>
          <w:highlight w:val="none"/>
        </w:rPr>
        <w:t>，共</w:t>
      </w:r>
      <w:r>
        <w:rPr>
          <w:rFonts w:hint="eastAsia"/>
          <w:color w:val="000000" w:themeColor="text1"/>
          <w:highlight w:val="none"/>
          <w:lang w:val="en-US" w:eastAsia="zh-CN"/>
        </w:rPr>
        <w:t>7.7</w:t>
      </w:r>
      <w:r>
        <w:rPr>
          <w:rFonts w:hint="eastAsia"/>
          <w:color w:val="000000" w:themeColor="text1"/>
          <w:highlight w:val="none"/>
        </w:rPr>
        <w:t>年</w:t>
      </w:r>
      <w:r>
        <w:rPr>
          <w:color w:val="000000" w:themeColor="text1"/>
          <w:highlight w:val="none"/>
        </w:rPr>
        <w:t>。</w:t>
      </w:r>
    </w:p>
    <w:p>
      <w:pPr>
        <w:rPr>
          <w:color w:val="000000" w:themeColor="text1"/>
          <w:highlight w:val="none"/>
          <w:lang w:val="vi-VN"/>
        </w:rPr>
      </w:pPr>
      <w:r>
        <w:rPr>
          <w:color w:val="000000" w:themeColor="text1"/>
          <w:highlight w:val="none"/>
        </w:rPr>
        <w:t>由于矿山服务年限较长，考虑到矿山开采期间开发利用方案有可能进行调整，因此本方案应每5</w:t>
      </w:r>
      <w:r>
        <w:rPr>
          <w:rFonts w:hint="eastAsia"/>
          <w:color w:val="000000" w:themeColor="text1"/>
          <w:highlight w:val="none"/>
        </w:rPr>
        <w:t>年</w:t>
      </w:r>
      <w:r>
        <w:rPr>
          <w:color w:val="000000" w:themeColor="text1"/>
          <w:highlight w:val="none"/>
        </w:rPr>
        <w:t>对其进行一次修订，本方案的适用年限为5</w:t>
      </w:r>
      <w:r>
        <w:rPr>
          <w:rFonts w:hint="eastAsia"/>
          <w:color w:val="000000" w:themeColor="text1"/>
          <w:highlight w:val="none"/>
        </w:rPr>
        <w:t>年</w:t>
      </w:r>
      <w:r>
        <w:rPr>
          <w:color w:val="000000" w:themeColor="text1"/>
          <w:highlight w:val="none"/>
        </w:rPr>
        <w:t>。但当开采方法、扩大规模等变更开采方式时，应重新编制矿山地质环境保护与土地复垦方案</w:t>
      </w:r>
      <w:r>
        <w:rPr>
          <w:rFonts w:hint="eastAsia"/>
          <w:color w:val="000000" w:themeColor="text1"/>
          <w:highlight w:val="none"/>
          <w:lang w:val="vi-VN"/>
        </w:rPr>
        <w:t>。</w:t>
      </w:r>
    </w:p>
    <w:p>
      <w:pPr>
        <w:rPr>
          <w:color w:val="000000" w:themeColor="text1"/>
          <w:highlight w:val="none"/>
          <w:lang w:val="vi-VN"/>
        </w:rPr>
      </w:pPr>
      <w:r>
        <w:rPr>
          <w:color w:val="000000" w:themeColor="text1"/>
          <w:highlight w:val="none"/>
          <w:lang w:val="vi-VN"/>
        </w:rPr>
        <w:t>根据土地复垦方案编制规程，复垦工作阶段的划分原则上以5年为一阶段进行土地复垦工作安排，并明确每一阶段的复垦目标、任务、位置、单项工程量和费用安排。本项目工作计划安排按照远粗近细原则，生产期和管护期，确定项目分</w:t>
      </w:r>
      <w:r>
        <w:rPr>
          <w:rFonts w:hint="eastAsia"/>
          <w:color w:val="000000" w:themeColor="text1"/>
          <w:highlight w:val="none"/>
          <w:lang w:val="en-US" w:eastAsia="zh-CN"/>
        </w:rPr>
        <w:t>2</w:t>
      </w:r>
      <w:r>
        <w:rPr>
          <w:color w:val="000000" w:themeColor="text1"/>
          <w:highlight w:val="none"/>
          <w:lang w:val="vi-VN"/>
        </w:rPr>
        <w:t>个复垦阶段。</w:t>
      </w:r>
    </w:p>
    <w:p>
      <w:pPr>
        <w:rPr>
          <w:color w:val="000000" w:themeColor="text1"/>
          <w:highlight w:val="none"/>
          <w:lang w:val="vi-VN"/>
        </w:rPr>
      </w:pPr>
      <w:r>
        <w:rPr>
          <w:color w:val="000000" w:themeColor="text1"/>
          <w:highlight w:val="none"/>
        </w:rPr>
        <w:t>由于生产项目建设过程中各项指标易于变化，因此随着生产的进行，本项目因其生产建设规模、用地规模及地点、采用的生产工艺等容易发生变化而使现有方案无法指导后期复垦，矿权人应重新编制方案，其实施计划也将一同调整。如果生产规模、生产工艺等变化不大，但由于方案服务年限较长，土地损毁面积、位置等往往会与最初编制的案存在一定差异，矿权人应及时调整方案实施计划。</w:t>
      </w:r>
    </w:p>
    <w:p>
      <w:pPr>
        <w:rPr>
          <w:color w:val="000000" w:themeColor="text1"/>
          <w:highlight w:val="none"/>
        </w:rPr>
      </w:pPr>
      <w:r>
        <w:rPr>
          <w:color w:val="000000" w:themeColor="text1"/>
          <w:highlight w:val="none"/>
        </w:rPr>
        <w:t>本次工作根据矿山生产对土地资源破坏的预测评估结果，在技术可行、经济合理的条件下，针对土地损毁的具体情况，分别采取土地平整、土地翻耕等工程治理措施对评估区土地进行恢复治理，尽可能多的增加耕地；为了满足复垦土地的生产需求，在复垦区配套相应的灌溉、排水、道路等工程设施。布设监测工程，及时掌握评估区内地表水水质、地下水水位及水质等情况。</w:t>
      </w:r>
    </w:p>
    <w:p>
      <w:pPr>
        <w:pStyle w:val="4"/>
        <w:spacing w:before="82" w:after="82"/>
        <w:rPr>
          <w:color w:val="000000" w:themeColor="text1"/>
          <w:highlight w:val="none"/>
        </w:rPr>
      </w:pPr>
      <w:bookmarkStart w:id="248" w:name="_Toc15509"/>
      <w:bookmarkStart w:id="249" w:name="_Toc30667"/>
      <w:r>
        <w:rPr>
          <w:color w:val="000000" w:themeColor="text1"/>
          <w:highlight w:val="none"/>
        </w:rPr>
        <w:t>6.2阶段实施计划</w:t>
      </w:r>
      <w:bookmarkEnd w:id="248"/>
      <w:bookmarkEnd w:id="249"/>
    </w:p>
    <w:p>
      <w:pPr>
        <w:rPr>
          <w:color w:val="000000" w:themeColor="text1"/>
          <w:highlight w:val="none"/>
        </w:rPr>
      </w:pPr>
      <w:r>
        <w:rPr>
          <w:color w:val="000000" w:themeColor="text1"/>
          <w:highlight w:val="none"/>
        </w:rPr>
        <w:t>根据</w:t>
      </w:r>
      <w:r>
        <w:rPr>
          <w:rFonts w:hint="eastAsia"/>
          <w:color w:val="000000" w:themeColor="text1"/>
          <w:highlight w:val="none"/>
          <w:lang w:eastAsia="zh-CN"/>
        </w:rPr>
        <w:t>三江镇战旗石灰石矿</w:t>
      </w:r>
      <w:r>
        <w:rPr>
          <w:color w:val="000000" w:themeColor="text1"/>
          <w:highlight w:val="none"/>
        </w:rPr>
        <w:t>整合工程初步设计、评估区矿山地质环境问题类型、矿山地质环境防治分区结果、土地损毁预测评估、土地复垦适应性评价结果，按照分轻重缓急、分段实施的原则，矿山地质环境治理与土地复垦工程分近期和远期进行实施，并提出方案分期实施计划，在安排时序上重点考虑工程的完整性。</w:t>
      </w:r>
    </w:p>
    <w:p>
      <w:pPr>
        <w:rPr>
          <w:color w:val="000000" w:themeColor="text1"/>
          <w:highlight w:val="none"/>
        </w:rPr>
      </w:pPr>
      <w:r>
        <w:rPr>
          <w:color w:val="000000" w:themeColor="text1"/>
          <w:highlight w:val="none"/>
        </w:rPr>
        <w:t>1、</w:t>
      </w:r>
      <w:r>
        <w:rPr>
          <w:rFonts w:hint="eastAsia"/>
          <w:color w:val="000000" w:themeColor="text1"/>
          <w:highlight w:val="none"/>
        </w:rPr>
        <w:t>第一</w:t>
      </w:r>
      <w:r>
        <w:rPr>
          <w:color w:val="000000" w:themeColor="text1"/>
          <w:highlight w:val="none"/>
        </w:rPr>
        <w:t>实施阶段（202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月～202</w:t>
      </w:r>
      <w:r>
        <w:rPr>
          <w:rFonts w:hint="eastAsia"/>
          <w:color w:val="000000" w:themeColor="text1"/>
          <w:highlight w:val="none"/>
          <w:lang w:val="en-US" w:eastAsia="zh-CN"/>
        </w:rPr>
        <w:t>5</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建立监测系统，开展矿山地质环境监测工程。含水层破坏监测，进行水土污染监测。</w:t>
      </w:r>
    </w:p>
    <w:p>
      <w:pPr>
        <w:rPr>
          <w:color w:val="000000" w:themeColor="text1"/>
          <w:highlight w:val="none"/>
        </w:rPr>
      </w:pPr>
      <w:r>
        <w:rPr>
          <w:color w:val="000000" w:themeColor="text1"/>
          <w:highlight w:val="none"/>
        </w:rPr>
        <w:t>（2）土地复垦</w:t>
      </w:r>
    </w:p>
    <w:p>
      <w:pPr>
        <w:rPr>
          <w:color w:val="000000" w:themeColor="text1"/>
          <w:highlight w:val="none"/>
        </w:rPr>
      </w:pPr>
      <w:r>
        <w:rPr>
          <w:color w:val="000000" w:themeColor="text1"/>
          <w:highlight w:val="none"/>
        </w:rPr>
        <w:t>建立监测系统，对损毁区开展土地损毁情况监测工程。对已经开采完成的台阶及边坡进行复垦</w:t>
      </w:r>
      <w:r>
        <w:rPr>
          <w:rFonts w:hint="eastAsia"/>
          <w:color w:val="000000" w:themeColor="text1"/>
          <w:highlight w:val="none"/>
        </w:rPr>
        <w:t>。对已开采完成的平台及边坡进行复垦。</w:t>
      </w:r>
    </w:p>
    <w:p>
      <w:pPr>
        <w:rPr>
          <w:color w:val="000000" w:themeColor="text1"/>
          <w:highlight w:val="none"/>
        </w:rPr>
      </w:pPr>
      <w:r>
        <w:rPr>
          <w:rFonts w:hint="eastAsia"/>
          <w:color w:val="000000" w:themeColor="text1"/>
          <w:highlight w:val="none"/>
          <w:lang w:val="en-US" w:eastAsia="zh-CN"/>
        </w:rPr>
        <w:t>2</w:t>
      </w:r>
      <w:r>
        <w:rPr>
          <w:color w:val="000000" w:themeColor="text1"/>
          <w:highlight w:val="none"/>
        </w:rPr>
        <w:t>、</w:t>
      </w:r>
      <w:r>
        <w:rPr>
          <w:rFonts w:hint="eastAsia"/>
          <w:color w:val="000000" w:themeColor="text1"/>
          <w:highlight w:val="none"/>
        </w:rPr>
        <w:t>第</w:t>
      </w:r>
      <w:r>
        <w:rPr>
          <w:rFonts w:hint="eastAsia"/>
          <w:color w:val="000000" w:themeColor="text1"/>
          <w:highlight w:val="none"/>
          <w:lang w:eastAsia="zh-CN"/>
        </w:rPr>
        <w:t>二</w:t>
      </w:r>
      <w:r>
        <w:rPr>
          <w:color w:val="000000" w:themeColor="text1"/>
          <w:highlight w:val="none"/>
        </w:rPr>
        <w:t>实施阶段（202</w:t>
      </w:r>
      <w:r>
        <w:rPr>
          <w:rFonts w:hint="eastAsia"/>
          <w:color w:val="000000" w:themeColor="text1"/>
          <w:highlight w:val="none"/>
          <w:lang w:val="en-US" w:eastAsia="zh-CN"/>
        </w:rPr>
        <w:t>6</w:t>
      </w:r>
      <w:r>
        <w:rPr>
          <w:color w:val="000000" w:themeColor="text1"/>
          <w:highlight w:val="none"/>
        </w:rPr>
        <w:t>年</w:t>
      </w:r>
      <w:r>
        <w:rPr>
          <w:rFonts w:hint="eastAsia"/>
          <w:color w:val="000000" w:themeColor="text1"/>
          <w:highlight w:val="none"/>
          <w:lang w:val="en-US" w:eastAsia="zh-CN"/>
        </w:rPr>
        <w:t>1</w:t>
      </w:r>
      <w:r>
        <w:rPr>
          <w:color w:val="000000" w:themeColor="text1"/>
          <w:highlight w:val="none"/>
        </w:rPr>
        <w:t>月～202</w:t>
      </w:r>
      <w:r>
        <w:rPr>
          <w:rFonts w:hint="eastAsia"/>
          <w:color w:val="000000" w:themeColor="text1"/>
          <w:highlight w:val="none"/>
          <w:lang w:val="en-US" w:eastAsia="zh-CN"/>
        </w:rPr>
        <w:t>7</w:t>
      </w:r>
      <w:r>
        <w:rPr>
          <w:color w:val="000000" w:themeColor="text1"/>
          <w:highlight w:val="none"/>
        </w:rPr>
        <w:t>年</w:t>
      </w:r>
      <w:r>
        <w:rPr>
          <w:rFonts w:hint="eastAsia"/>
          <w:color w:val="000000" w:themeColor="text1"/>
          <w:highlight w:val="none"/>
          <w:lang w:val="en-US" w:eastAsia="zh-CN"/>
        </w:rPr>
        <w:t>2</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rFonts w:hint="eastAsia"/>
          <w:color w:val="000000" w:themeColor="text1"/>
          <w:highlight w:val="none"/>
          <w:lang w:eastAsia="zh-CN"/>
        </w:rPr>
        <w:t>完善</w:t>
      </w:r>
      <w:r>
        <w:rPr>
          <w:color w:val="000000" w:themeColor="text1"/>
          <w:highlight w:val="none"/>
        </w:rPr>
        <w:t>监测系统，开展矿山地质环境监测工程。含水层破坏监测，进行水土污染监测。</w:t>
      </w:r>
    </w:p>
    <w:p>
      <w:pPr>
        <w:rPr>
          <w:color w:val="000000" w:themeColor="text1"/>
          <w:highlight w:val="none"/>
        </w:rPr>
      </w:pPr>
      <w:r>
        <w:rPr>
          <w:color w:val="000000" w:themeColor="text1"/>
          <w:highlight w:val="none"/>
        </w:rPr>
        <w:t>（2）土地复垦</w:t>
      </w:r>
    </w:p>
    <w:p>
      <w:pPr>
        <w:rPr>
          <w:rFonts w:hint="eastAsia"/>
          <w:color w:val="000000" w:themeColor="text1"/>
          <w:highlight w:val="none"/>
        </w:rPr>
      </w:pPr>
      <w:r>
        <w:rPr>
          <w:rFonts w:hint="eastAsia"/>
          <w:color w:val="000000" w:themeColor="text1"/>
          <w:highlight w:val="none"/>
          <w:lang w:eastAsia="zh-CN"/>
        </w:rPr>
        <w:t>完善</w:t>
      </w:r>
      <w:r>
        <w:rPr>
          <w:color w:val="000000" w:themeColor="text1"/>
          <w:highlight w:val="none"/>
        </w:rPr>
        <w:t>监测系统，对损毁区开展土地损毁情况监测工程。对已经开采完成的台阶及边坡进行复垦</w:t>
      </w:r>
      <w:r>
        <w:rPr>
          <w:rFonts w:hint="eastAsia"/>
          <w:color w:val="000000" w:themeColor="text1"/>
          <w:highlight w:val="none"/>
        </w:rPr>
        <w:t>。对已开采完成的平台及边坡进行复垦。</w:t>
      </w:r>
    </w:p>
    <w:p>
      <w:pPr>
        <w:rPr>
          <w:color w:val="000000" w:themeColor="text1"/>
          <w:highlight w:val="none"/>
        </w:rPr>
      </w:pPr>
      <w:r>
        <w:rPr>
          <w:rFonts w:hint="eastAsia"/>
          <w:color w:val="000000" w:themeColor="text1"/>
          <w:highlight w:val="none"/>
          <w:lang w:val="en-US" w:eastAsia="zh-CN"/>
        </w:rPr>
        <w:t>3</w:t>
      </w:r>
      <w:r>
        <w:rPr>
          <w:color w:val="000000" w:themeColor="text1"/>
          <w:highlight w:val="none"/>
        </w:rPr>
        <w:t>、</w:t>
      </w:r>
      <w:r>
        <w:rPr>
          <w:rFonts w:hint="eastAsia"/>
          <w:color w:val="000000" w:themeColor="text1"/>
          <w:highlight w:val="none"/>
        </w:rPr>
        <w:t>第</w:t>
      </w:r>
      <w:r>
        <w:rPr>
          <w:rFonts w:hint="eastAsia"/>
          <w:color w:val="000000" w:themeColor="text1"/>
          <w:highlight w:val="none"/>
          <w:lang w:eastAsia="zh-CN"/>
        </w:rPr>
        <w:t>三</w:t>
      </w:r>
      <w:r>
        <w:rPr>
          <w:color w:val="000000" w:themeColor="text1"/>
          <w:highlight w:val="none"/>
        </w:rPr>
        <w:t>实施阶段（202</w:t>
      </w:r>
      <w:r>
        <w:rPr>
          <w:rFonts w:hint="eastAsia"/>
          <w:color w:val="000000" w:themeColor="text1"/>
          <w:highlight w:val="none"/>
          <w:lang w:val="en-US" w:eastAsia="zh-CN"/>
        </w:rPr>
        <w:t>7</w:t>
      </w:r>
      <w:r>
        <w:rPr>
          <w:color w:val="000000" w:themeColor="text1"/>
          <w:highlight w:val="none"/>
        </w:rPr>
        <w:t>年</w:t>
      </w:r>
      <w:r>
        <w:rPr>
          <w:rFonts w:hint="eastAsia"/>
          <w:color w:val="000000" w:themeColor="text1"/>
          <w:highlight w:val="none"/>
          <w:lang w:val="en-US" w:eastAsia="zh-CN"/>
        </w:rPr>
        <w:t>3</w:t>
      </w:r>
      <w:r>
        <w:rPr>
          <w:color w:val="000000" w:themeColor="text1"/>
          <w:highlight w:val="none"/>
        </w:rPr>
        <w:t>月～20</w:t>
      </w:r>
      <w:r>
        <w:rPr>
          <w:rFonts w:hint="eastAsia"/>
          <w:color w:val="000000" w:themeColor="text1"/>
          <w:highlight w:val="none"/>
          <w:lang w:val="en-US" w:eastAsia="zh-CN"/>
        </w:rPr>
        <w:t>30</w:t>
      </w:r>
      <w:r>
        <w:rPr>
          <w:color w:val="000000" w:themeColor="text1"/>
          <w:highlight w:val="none"/>
        </w:rPr>
        <w:t>年</w:t>
      </w:r>
      <w:r>
        <w:rPr>
          <w:rFonts w:hint="eastAsia"/>
          <w:color w:val="000000" w:themeColor="text1"/>
          <w:highlight w:val="none"/>
          <w:lang w:val="en-US" w:eastAsia="zh-CN"/>
        </w:rPr>
        <w:t>8</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rFonts w:hint="eastAsia"/>
          <w:color w:val="000000" w:themeColor="text1"/>
          <w:highlight w:val="none"/>
          <w:lang w:eastAsia="zh-CN"/>
        </w:rPr>
        <w:t>完善</w:t>
      </w:r>
      <w:r>
        <w:rPr>
          <w:color w:val="000000" w:themeColor="text1"/>
          <w:highlight w:val="none"/>
        </w:rPr>
        <w:t>监测系统，开展矿山地质环境监测工程。含水层破坏监测，进行水土污染监测。</w:t>
      </w:r>
    </w:p>
    <w:p>
      <w:pPr>
        <w:rPr>
          <w:color w:val="000000" w:themeColor="text1"/>
          <w:highlight w:val="none"/>
        </w:rPr>
      </w:pPr>
      <w:r>
        <w:rPr>
          <w:color w:val="000000" w:themeColor="text1"/>
          <w:highlight w:val="none"/>
        </w:rPr>
        <w:t>（2）土地复垦</w:t>
      </w:r>
    </w:p>
    <w:p>
      <w:pPr>
        <w:rPr>
          <w:color w:val="000000" w:themeColor="text1"/>
          <w:highlight w:val="none"/>
        </w:rPr>
      </w:pPr>
      <w:r>
        <w:rPr>
          <w:color w:val="000000" w:themeColor="text1"/>
          <w:highlight w:val="none"/>
        </w:rPr>
        <w:t>建立监测系统，对损毁区开展土地损毁情况监测工程</w:t>
      </w:r>
      <w:r>
        <w:rPr>
          <w:rFonts w:hint="eastAsia"/>
          <w:color w:val="000000" w:themeColor="text1"/>
          <w:highlight w:val="none"/>
        </w:rPr>
        <w:t>，对剩余未进行复垦区域进行土地复垦，实施复垦管护措施</w:t>
      </w:r>
      <w:r>
        <w:rPr>
          <w:color w:val="000000" w:themeColor="text1"/>
          <w:highlight w:val="none"/>
        </w:rPr>
        <w:t>。</w:t>
      </w:r>
      <w:r>
        <w:rPr>
          <w:rFonts w:hint="eastAsia"/>
          <w:color w:val="000000" w:themeColor="text1"/>
          <w:highlight w:val="none"/>
        </w:rPr>
        <w:t>对矿山剩余未进行复垦的采场损毁区域进行复垦；对地面建设场地进行拆除、土地平整、覆土等工程后进行复垦。</w:t>
      </w:r>
    </w:p>
    <w:p>
      <w:pPr>
        <w:rPr>
          <w:color w:val="000000" w:themeColor="text1"/>
          <w:highlight w:val="none"/>
        </w:rPr>
      </w:pPr>
      <w:r>
        <w:rPr>
          <w:color w:val="000000" w:themeColor="text1"/>
          <w:highlight w:val="none"/>
        </w:rPr>
        <w:t>本阶段主要是继续对植被进行监测、管护等。</w:t>
      </w:r>
    </w:p>
    <w:p>
      <w:pPr>
        <w:pStyle w:val="4"/>
        <w:spacing w:before="82" w:after="82"/>
        <w:rPr>
          <w:color w:val="000000" w:themeColor="text1"/>
          <w:highlight w:val="none"/>
        </w:rPr>
      </w:pPr>
      <w:bookmarkStart w:id="250" w:name="_Toc25560"/>
      <w:bookmarkStart w:id="251" w:name="_Toc1993"/>
      <w:r>
        <w:rPr>
          <w:color w:val="000000" w:themeColor="text1"/>
          <w:highlight w:val="none"/>
        </w:rPr>
        <w:t>6.3近期年度工作安排</w:t>
      </w:r>
      <w:bookmarkEnd w:id="250"/>
      <w:bookmarkEnd w:id="251"/>
    </w:p>
    <w:p>
      <w:pPr>
        <w:rPr>
          <w:color w:val="000000" w:themeColor="text1"/>
          <w:highlight w:val="none"/>
        </w:rPr>
      </w:pPr>
      <w:r>
        <w:rPr>
          <w:color w:val="000000" w:themeColor="text1"/>
          <w:highlight w:val="none"/>
        </w:rPr>
        <w:t>近期（202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月～202</w:t>
      </w:r>
      <w:r>
        <w:rPr>
          <w:rFonts w:hint="eastAsia"/>
          <w:color w:val="000000" w:themeColor="text1"/>
          <w:highlight w:val="none"/>
          <w:lang w:val="en-US" w:eastAsia="zh-CN"/>
        </w:rPr>
        <w:t>7</w:t>
      </w:r>
      <w:r>
        <w:rPr>
          <w:color w:val="000000" w:themeColor="text1"/>
          <w:highlight w:val="none"/>
        </w:rPr>
        <w:t>年</w:t>
      </w:r>
      <w:r>
        <w:rPr>
          <w:rFonts w:hint="eastAsia"/>
          <w:color w:val="000000" w:themeColor="text1"/>
          <w:highlight w:val="none"/>
          <w:lang w:val="en-US" w:eastAsia="zh-CN"/>
        </w:rPr>
        <w:t>2</w:t>
      </w:r>
      <w:r>
        <w:rPr>
          <w:color w:val="000000" w:themeColor="text1"/>
          <w:highlight w:val="none"/>
        </w:rPr>
        <w:t>月</w:t>
      </w:r>
      <w:r>
        <w:rPr>
          <w:rFonts w:hint="eastAsia"/>
          <w:color w:val="000000" w:themeColor="text1"/>
          <w:highlight w:val="none"/>
          <w:lang w:eastAsia="zh-CN"/>
        </w:rPr>
        <w:t>前</w:t>
      </w:r>
      <w:r>
        <w:rPr>
          <w:rFonts w:hint="eastAsia"/>
          <w:color w:val="000000" w:themeColor="text1"/>
          <w:highlight w:val="none"/>
          <w:lang w:val="en-US" w:eastAsia="zh-CN"/>
        </w:rPr>
        <w:t>4.2</w:t>
      </w:r>
      <w:r>
        <w:rPr>
          <w:color w:val="000000" w:themeColor="text1"/>
          <w:highlight w:val="none"/>
        </w:rPr>
        <w:t>年，主要实施建立监测系统，对含水层破坏监测，进行水土污染监测，对损毁区开展土地损毁情况监测工程。</w:t>
      </w:r>
    </w:p>
    <w:p>
      <w:pPr>
        <w:rPr>
          <w:color w:val="000000" w:themeColor="text1"/>
          <w:highlight w:val="none"/>
        </w:rPr>
      </w:pPr>
      <w:r>
        <w:rPr>
          <w:color w:val="000000" w:themeColor="text1"/>
          <w:highlight w:val="none"/>
        </w:rPr>
        <w:t>1、202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月～202</w:t>
      </w:r>
      <w:r>
        <w:rPr>
          <w:rFonts w:hint="eastAsia"/>
          <w:color w:val="000000" w:themeColor="text1"/>
          <w:highlight w:val="none"/>
          <w:lang w:val="en-US" w:eastAsia="zh-CN"/>
        </w:rPr>
        <w:t>3</w:t>
      </w:r>
      <w:r>
        <w:rPr>
          <w:color w:val="000000" w:themeColor="text1"/>
          <w:highlight w:val="none"/>
        </w:rPr>
        <w:t>年</w:t>
      </w:r>
      <w:r>
        <w:rPr>
          <w:rFonts w:hint="eastAsia"/>
          <w:color w:val="000000" w:themeColor="text1"/>
          <w:highlight w:val="none"/>
          <w:lang w:val="en-US" w:eastAsia="zh-CN"/>
        </w:rPr>
        <w:t>11</w:t>
      </w:r>
      <w:r>
        <w:rPr>
          <w:color w:val="000000" w:themeColor="text1"/>
          <w:highlight w:val="none"/>
        </w:rPr>
        <w:t>月</w:t>
      </w:r>
    </w:p>
    <w:p>
      <w:pPr>
        <w:rPr>
          <w:color w:val="000000" w:themeColor="text1"/>
          <w:highlight w:val="none"/>
        </w:rPr>
      </w:pPr>
      <w:r>
        <w:rPr>
          <w:rFonts w:hint="eastAsia"/>
          <w:color w:val="000000" w:themeColor="text1"/>
          <w:highlight w:val="none"/>
        </w:rPr>
        <w:t>（1）</w:t>
      </w:r>
      <w:r>
        <w:rPr>
          <w:color w:val="000000" w:themeColor="text1"/>
          <w:highlight w:val="none"/>
        </w:rPr>
        <w:t>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（2）土地复垦</w:t>
      </w:r>
    </w:p>
    <w:p>
      <w:pPr>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lang w:eastAsia="zh-CN"/>
        </w:rPr>
        <w:t>对新采区进行表土剥离，转运至老采区底部平台堆放</w:t>
      </w:r>
      <w:r>
        <w:rPr>
          <w:rFonts w:hint="eastAsia"/>
          <w:color w:val="000000" w:themeColor="text1"/>
          <w:highlight w:val="none"/>
        </w:rPr>
        <w:t>。</w:t>
      </w:r>
    </w:p>
    <w:p>
      <w:pPr>
        <w:rPr>
          <w:color w:val="000000" w:themeColor="text1"/>
          <w:highlight w:val="none"/>
        </w:rPr>
      </w:pPr>
      <w:r>
        <w:rPr>
          <w:color w:val="000000" w:themeColor="text1"/>
          <w:highlight w:val="none"/>
        </w:rPr>
        <w:t>2、202</w:t>
      </w:r>
      <w:r>
        <w:rPr>
          <w:rFonts w:hint="eastAsia"/>
          <w:color w:val="000000" w:themeColor="text1"/>
          <w:highlight w:val="none"/>
          <w:lang w:val="en-US" w:eastAsia="zh-CN"/>
        </w:rPr>
        <w:t>3</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w:t>
      </w:r>
      <w:r>
        <w:rPr>
          <w:rFonts w:hint="eastAsia"/>
          <w:color w:val="000000" w:themeColor="text1"/>
          <w:highlight w:val="none"/>
          <w:lang w:val="en-US" w:eastAsia="zh-CN"/>
        </w:rPr>
        <w:t>24</w:t>
      </w:r>
      <w:r>
        <w:rPr>
          <w:color w:val="000000" w:themeColor="text1"/>
          <w:highlight w:val="none"/>
        </w:rPr>
        <w:t>年</w:t>
      </w:r>
      <w:r>
        <w:rPr>
          <w:rFonts w:hint="eastAsia"/>
          <w:color w:val="000000" w:themeColor="text1"/>
          <w:highlight w:val="none"/>
          <w:lang w:val="en-US" w:eastAsia="zh-CN"/>
        </w:rPr>
        <w:t>11</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（2）土地复垦</w:t>
      </w:r>
    </w:p>
    <w:p>
      <w:pPr>
        <w:jc w:val="both"/>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rPr>
        <w:t>对已经开采完成的台阶及边坡进行复垦</w:t>
      </w:r>
      <w:r>
        <w:rPr>
          <w:rFonts w:hint="eastAsia"/>
          <w:color w:val="000000" w:themeColor="text1"/>
          <w:highlight w:val="none"/>
          <w:lang w:eastAsia="zh-CN"/>
        </w:rPr>
        <w:t>。</w:t>
      </w:r>
      <w:r>
        <w:rPr>
          <w:rFonts w:hint="eastAsia"/>
          <w:color w:val="000000" w:themeColor="text1"/>
          <w:highlight w:val="none"/>
        </w:rPr>
        <w:t>对复垦的林地进行土壤培肥，</w:t>
      </w:r>
      <w:r>
        <w:rPr>
          <w:rFonts w:hint="eastAsia"/>
          <w:color w:val="000000" w:themeColor="text1"/>
          <w:highlight w:val="none"/>
          <w:lang w:eastAsia="zh-CN"/>
        </w:rPr>
        <w:t>其他草地</w:t>
      </w:r>
      <w:r>
        <w:rPr>
          <w:rFonts w:hint="eastAsia"/>
          <w:color w:val="000000" w:themeColor="text1"/>
          <w:highlight w:val="none"/>
        </w:rPr>
        <w:t>因</w:t>
      </w:r>
      <w:r>
        <w:rPr>
          <w:rFonts w:hint="eastAsia"/>
          <w:color w:val="000000" w:themeColor="text1"/>
          <w:highlight w:val="none"/>
          <w:lang w:eastAsia="zh-CN"/>
        </w:rPr>
        <w:t>蔷薇</w:t>
      </w:r>
      <w:r>
        <w:rPr>
          <w:rFonts w:hint="eastAsia"/>
          <w:color w:val="000000" w:themeColor="text1"/>
          <w:highlight w:val="none"/>
        </w:rPr>
        <w:t>种植在台阶坡底位置，无需重复施肥。</w:t>
      </w:r>
    </w:p>
    <w:p>
      <w:pPr>
        <w:rPr>
          <w:color w:val="000000" w:themeColor="text1"/>
          <w:highlight w:val="none"/>
        </w:rPr>
      </w:pPr>
      <w:r>
        <w:rPr>
          <w:color w:val="000000" w:themeColor="text1"/>
          <w:highlight w:val="none"/>
        </w:rPr>
        <w:t>3、202</w:t>
      </w:r>
      <w:r>
        <w:rPr>
          <w:rFonts w:hint="eastAsia"/>
          <w:color w:val="000000" w:themeColor="text1"/>
          <w:highlight w:val="none"/>
          <w:lang w:val="en-US" w:eastAsia="zh-CN"/>
        </w:rPr>
        <w:t>4</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月～202</w:t>
      </w:r>
      <w:r>
        <w:rPr>
          <w:rFonts w:hint="eastAsia"/>
          <w:color w:val="000000" w:themeColor="text1"/>
          <w:highlight w:val="none"/>
          <w:lang w:val="en-US" w:eastAsia="zh-CN"/>
        </w:rPr>
        <w:t>5</w:t>
      </w:r>
      <w:r>
        <w:rPr>
          <w:color w:val="000000" w:themeColor="text1"/>
          <w:highlight w:val="none"/>
        </w:rPr>
        <w:t>年</w:t>
      </w:r>
      <w:r>
        <w:rPr>
          <w:rFonts w:hint="eastAsia"/>
          <w:color w:val="000000" w:themeColor="text1"/>
          <w:highlight w:val="none"/>
          <w:lang w:val="en-US" w:eastAsia="zh-CN"/>
        </w:rPr>
        <w:t>11</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（2）土地复垦</w:t>
      </w:r>
    </w:p>
    <w:p>
      <w:pPr>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rPr>
        <w:t>对复垦的林地进行土壤培肥，</w:t>
      </w:r>
      <w:r>
        <w:rPr>
          <w:rFonts w:hint="eastAsia"/>
          <w:color w:val="000000" w:themeColor="text1"/>
          <w:highlight w:val="none"/>
          <w:lang w:eastAsia="zh-CN"/>
        </w:rPr>
        <w:t>其他草地</w:t>
      </w:r>
      <w:r>
        <w:rPr>
          <w:rFonts w:hint="eastAsia"/>
          <w:color w:val="000000" w:themeColor="text1"/>
          <w:highlight w:val="none"/>
        </w:rPr>
        <w:t>因</w:t>
      </w:r>
      <w:r>
        <w:rPr>
          <w:rFonts w:hint="eastAsia"/>
          <w:color w:val="000000" w:themeColor="text1"/>
          <w:highlight w:val="none"/>
          <w:lang w:eastAsia="zh-CN"/>
        </w:rPr>
        <w:t>蔷薇</w:t>
      </w:r>
      <w:r>
        <w:rPr>
          <w:rFonts w:hint="eastAsia"/>
          <w:color w:val="000000" w:themeColor="text1"/>
          <w:highlight w:val="none"/>
        </w:rPr>
        <w:t>种植在台阶坡底位置，无需重复施肥。</w:t>
      </w:r>
    </w:p>
    <w:p>
      <w:pPr>
        <w:rPr>
          <w:color w:val="000000" w:themeColor="text1"/>
          <w:highlight w:val="none"/>
        </w:rPr>
      </w:pPr>
      <w:r>
        <w:rPr>
          <w:color w:val="000000" w:themeColor="text1"/>
          <w:highlight w:val="none"/>
        </w:rPr>
        <w:t>4、202</w:t>
      </w:r>
      <w:r>
        <w:rPr>
          <w:rFonts w:hint="eastAsia"/>
          <w:color w:val="000000" w:themeColor="text1"/>
          <w:highlight w:val="none"/>
          <w:lang w:val="en-US" w:eastAsia="zh-CN"/>
        </w:rPr>
        <w:t>5</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月～202</w:t>
      </w:r>
      <w:r>
        <w:rPr>
          <w:rFonts w:hint="eastAsia"/>
          <w:color w:val="000000" w:themeColor="text1"/>
          <w:highlight w:val="none"/>
          <w:lang w:val="en-US" w:eastAsia="zh-CN"/>
        </w:rPr>
        <w:t>7</w:t>
      </w:r>
      <w:r>
        <w:rPr>
          <w:color w:val="000000" w:themeColor="text1"/>
          <w:highlight w:val="none"/>
        </w:rPr>
        <w:t>年</w:t>
      </w:r>
      <w:r>
        <w:rPr>
          <w:rFonts w:hint="eastAsia"/>
          <w:color w:val="000000" w:themeColor="text1"/>
          <w:highlight w:val="none"/>
          <w:lang w:val="en-US" w:eastAsia="zh-CN"/>
        </w:rPr>
        <w:t>2</w:t>
      </w:r>
      <w:r>
        <w:rPr>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（2）土地复垦</w:t>
      </w:r>
    </w:p>
    <w:p>
      <w:pPr>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rPr>
        <w:t>对复垦的林地进行土壤培肥</w:t>
      </w:r>
    </w:p>
    <w:p>
      <w:pPr>
        <w:rPr>
          <w:color w:val="000000" w:themeColor="text1"/>
          <w:highlight w:val="none"/>
        </w:rPr>
      </w:pPr>
      <w:r>
        <w:rPr>
          <w:color w:val="000000" w:themeColor="text1"/>
          <w:highlight w:val="none"/>
        </w:rPr>
        <w:t>近年度工作安排及工程量见下表6-1、6-2。</w:t>
      </w:r>
    </w:p>
    <w:p>
      <w:pPr>
        <w:rPr>
          <w:color w:val="000000" w:themeColor="text1"/>
          <w:highlight w:val="none"/>
        </w:rPr>
      </w:pPr>
      <w:r>
        <w:rPr>
          <w:color w:val="000000" w:themeColor="text1"/>
          <w:highlight w:val="none"/>
        </w:rPr>
        <w:br w:type="page"/>
      </w:r>
    </w:p>
    <w:p>
      <w:pPr>
        <w:pStyle w:val="67"/>
        <w:rPr>
          <w:color w:val="000000" w:themeColor="text1"/>
          <w:highlight w:val="none"/>
        </w:rPr>
      </w:pPr>
      <w:r>
        <w:rPr>
          <w:color w:val="000000" w:themeColor="text1"/>
          <w:highlight w:val="none"/>
        </w:rPr>
        <w:t>表6-1矿山近年度（</w:t>
      </w:r>
      <w:r>
        <w:rPr>
          <w:rFonts w:hint="eastAsia"/>
          <w:color w:val="000000" w:themeColor="text1"/>
          <w:highlight w:val="none"/>
          <w:lang w:val="en-US" w:eastAsia="zh-CN"/>
        </w:rPr>
        <w:t>4.2</w:t>
      </w:r>
      <w:r>
        <w:rPr>
          <w:color w:val="000000" w:themeColor="text1"/>
          <w:highlight w:val="none"/>
        </w:rPr>
        <w:t>年）地质环境监测量表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序号</w:t>
            </w:r>
          </w:p>
        </w:tc>
        <w:tc>
          <w:tcPr>
            <w:tcW w:w="1250" w:type="pct"/>
            <w:vAlign w:val="center"/>
          </w:tcPr>
          <w:p>
            <w:pPr>
              <w:pStyle w:val="63"/>
              <w:rPr>
                <w:color w:val="000000" w:themeColor="text1"/>
                <w:highlight w:val="none"/>
              </w:rPr>
            </w:pPr>
            <w:r>
              <w:rPr>
                <w:color w:val="000000" w:themeColor="text1"/>
                <w:highlight w:val="none"/>
              </w:rPr>
              <w:t>工程名称</w:t>
            </w:r>
          </w:p>
        </w:tc>
        <w:tc>
          <w:tcPr>
            <w:tcW w:w="1250" w:type="pct"/>
            <w:vAlign w:val="center"/>
          </w:tcPr>
          <w:p>
            <w:pPr>
              <w:pStyle w:val="63"/>
              <w:rPr>
                <w:color w:val="000000" w:themeColor="text1"/>
                <w:highlight w:val="none"/>
              </w:rPr>
            </w:pPr>
            <w:r>
              <w:rPr>
                <w:color w:val="000000" w:themeColor="text1"/>
                <w:highlight w:val="none"/>
              </w:rPr>
              <w:t>单位</w:t>
            </w:r>
          </w:p>
        </w:tc>
        <w:tc>
          <w:tcPr>
            <w:tcW w:w="1250" w:type="pct"/>
            <w:vAlign w:val="center"/>
          </w:tcPr>
          <w:p>
            <w:pPr>
              <w:pStyle w:val="63"/>
              <w:rPr>
                <w:color w:val="000000" w:themeColor="text1"/>
                <w:highlight w:val="none"/>
              </w:rPr>
            </w:pPr>
            <w:r>
              <w:rPr>
                <w:color w:val="000000" w:themeColor="text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地质灾害监测</w:t>
            </w:r>
          </w:p>
        </w:tc>
        <w:tc>
          <w:tcPr>
            <w:tcW w:w="1250" w:type="pct"/>
            <w:vAlign w:val="center"/>
          </w:tcPr>
          <w:p>
            <w:pPr>
              <w:pStyle w:val="63"/>
              <w:rPr>
                <w:color w:val="000000" w:themeColor="text1"/>
                <w:highlight w:val="none"/>
              </w:rPr>
            </w:pPr>
            <w:r>
              <w:rPr>
                <w:color w:val="000000" w:themeColor="text1"/>
                <w:highlight w:val="none"/>
              </w:rPr>
              <w:t>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雨量监测</w:t>
            </w:r>
          </w:p>
        </w:tc>
        <w:tc>
          <w:tcPr>
            <w:tcW w:w="1250" w:type="pct"/>
            <w:vAlign w:val="center"/>
          </w:tcPr>
          <w:p>
            <w:pPr>
              <w:pStyle w:val="63"/>
              <w:rPr>
                <w:color w:val="000000" w:themeColor="text1"/>
                <w:highlight w:val="none"/>
              </w:rPr>
            </w:pPr>
            <w:r>
              <w:rPr>
                <w:color w:val="000000" w:themeColor="text1"/>
                <w:highlight w:val="none"/>
              </w:rPr>
              <w:t>台</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GNSS监测</w:t>
            </w:r>
          </w:p>
        </w:tc>
        <w:tc>
          <w:tcPr>
            <w:tcW w:w="1250" w:type="pct"/>
            <w:vAlign w:val="center"/>
          </w:tcPr>
          <w:p>
            <w:pPr>
              <w:pStyle w:val="63"/>
              <w:rPr>
                <w:color w:val="000000" w:themeColor="text1"/>
                <w:highlight w:val="none"/>
              </w:rPr>
            </w:pPr>
          </w:p>
        </w:tc>
        <w:tc>
          <w:tcPr>
            <w:tcW w:w="1250" w:type="pct"/>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GNSS监测设备</w:t>
            </w:r>
          </w:p>
        </w:tc>
        <w:tc>
          <w:tcPr>
            <w:tcW w:w="1250" w:type="pct"/>
            <w:vAlign w:val="center"/>
          </w:tcPr>
          <w:p>
            <w:pPr>
              <w:pStyle w:val="63"/>
              <w:rPr>
                <w:color w:val="000000" w:themeColor="text1"/>
                <w:highlight w:val="none"/>
              </w:rPr>
            </w:pPr>
            <w:r>
              <w:rPr>
                <w:color w:val="000000" w:themeColor="text1"/>
                <w:highlight w:val="none"/>
              </w:rPr>
              <w:t>套</w:t>
            </w:r>
          </w:p>
        </w:tc>
        <w:tc>
          <w:tcPr>
            <w:tcW w:w="1250"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机房配套设施</w:t>
            </w:r>
          </w:p>
        </w:tc>
        <w:tc>
          <w:tcPr>
            <w:tcW w:w="1250" w:type="pct"/>
            <w:vAlign w:val="center"/>
          </w:tcPr>
          <w:p>
            <w:pPr>
              <w:pStyle w:val="63"/>
              <w:rPr>
                <w:color w:val="000000" w:themeColor="text1"/>
                <w:highlight w:val="none"/>
              </w:rPr>
            </w:pPr>
            <w:r>
              <w:rPr>
                <w:rFonts w:hint="eastAsia"/>
                <w:color w:val="000000" w:themeColor="text1"/>
                <w:highlight w:val="none"/>
              </w:rPr>
              <w:t>套</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视频监测</w:t>
            </w:r>
          </w:p>
        </w:tc>
        <w:tc>
          <w:tcPr>
            <w:tcW w:w="1250" w:type="pct"/>
            <w:vAlign w:val="center"/>
          </w:tcPr>
          <w:p>
            <w:pPr>
              <w:pStyle w:val="63"/>
              <w:rPr>
                <w:color w:val="000000" w:themeColor="text1"/>
                <w:highlight w:val="none"/>
              </w:rPr>
            </w:pPr>
            <w:r>
              <w:rPr>
                <w:rFonts w:hint="eastAsia"/>
                <w:color w:val="000000" w:themeColor="text1"/>
                <w:highlight w:val="none"/>
              </w:rPr>
              <w:t>套</w:t>
            </w:r>
          </w:p>
        </w:tc>
        <w:tc>
          <w:tcPr>
            <w:tcW w:w="1250" w:type="pct"/>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4</w:t>
            </w:r>
          </w:p>
        </w:tc>
        <w:tc>
          <w:tcPr>
            <w:tcW w:w="1250" w:type="pct"/>
            <w:vAlign w:val="center"/>
          </w:tcPr>
          <w:p>
            <w:pPr>
              <w:pStyle w:val="63"/>
              <w:rPr>
                <w:color w:val="000000" w:themeColor="text1"/>
                <w:highlight w:val="none"/>
              </w:rPr>
            </w:pPr>
            <w:r>
              <w:rPr>
                <w:color w:val="000000" w:themeColor="text1"/>
                <w:highlight w:val="none"/>
              </w:rPr>
              <w:t>含水层破坏监测</w:t>
            </w:r>
          </w:p>
        </w:tc>
        <w:tc>
          <w:tcPr>
            <w:tcW w:w="1250" w:type="pct"/>
            <w:vAlign w:val="center"/>
          </w:tcPr>
          <w:p>
            <w:pPr>
              <w:pStyle w:val="63"/>
              <w:rPr>
                <w:color w:val="000000" w:themeColor="text1"/>
                <w:highlight w:val="none"/>
              </w:rPr>
            </w:pPr>
          </w:p>
        </w:tc>
        <w:tc>
          <w:tcPr>
            <w:tcW w:w="1250" w:type="pct"/>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（1）</w:t>
            </w:r>
          </w:p>
        </w:tc>
        <w:tc>
          <w:tcPr>
            <w:tcW w:w="1250" w:type="pct"/>
            <w:vAlign w:val="center"/>
          </w:tcPr>
          <w:p>
            <w:pPr>
              <w:pStyle w:val="63"/>
              <w:rPr>
                <w:color w:val="000000" w:themeColor="text1"/>
                <w:highlight w:val="none"/>
              </w:rPr>
            </w:pPr>
            <w:r>
              <w:rPr>
                <w:color w:val="000000" w:themeColor="text1"/>
                <w:highlight w:val="none"/>
              </w:rPr>
              <w:t>地下水水位监测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（2）</w:t>
            </w:r>
          </w:p>
        </w:tc>
        <w:tc>
          <w:tcPr>
            <w:tcW w:w="1250" w:type="pct"/>
            <w:vAlign w:val="center"/>
          </w:tcPr>
          <w:p>
            <w:pPr>
              <w:pStyle w:val="63"/>
              <w:rPr>
                <w:color w:val="000000" w:themeColor="text1"/>
                <w:highlight w:val="none"/>
              </w:rPr>
            </w:pPr>
            <w:r>
              <w:rPr>
                <w:color w:val="000000" w:themeColor="text1"/>
                <w:highlight w:val="none"/>
              </w:rPr>
              <w:t>地下水水质监测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color w:val="000000" w:themeColor="text1"/>
                <w:highlight w:val="none"/>
              </w:rPr>
              <w:t>（3）</w:t>
            </w:r>
          </w:p>
        </w:tc>
        <w:tc>
          <w:tcPr>
            <w:tcW w:w="1250" w:type="pct"/>
            <w:vAlign w:val="center"/>
          </w:tcPr>
          <w:p>
            <w:pPr>
              <w:pStyle w:val="63"/>
              <w:rPr>
                <w:color w:val="000000" w:themeColor="text1"/>
                <w:highlight w:val="none"/>
              </w:rPr>
            </w:pPr>
            <w:r>
              <w:rPr>
                <w:color w:val="000000" w:themeColor="text1"/>
                <w:highlight w:val="none"/>
              </w:rPr>
              <w:t>地表水水质监测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0" w:type="pct"/>
            <w:vAlign w:val="center"/>
          </w:tcPr>
          <w:p>
            <w:pPr>
              <w:pStyle w:val="63"/>
              <w:rPr>
                <w:color w:val="000000" w:themeColor="text1"/>
                <w:highlight w:val="none"/>
              </w:rPr>
            </w:pPr>
            <w:r>
              <w:rPr>
                <w:rFonts w:hint="eastAsia"/>
                <w:color w:val="000000" w:themeColor="text1"/>
                <w:highlight w:val="none"/>
              </w:rPr>
              <w:t>4</w:t>
            </w:r>
          </w:p>
        </w:tc>
        <w:tc>
          <w:tcPr>
            <w:tcW w:w="1250" w:type="pct"/>
            <w:vAlign w:val="center"/>
          </w:tcPr>
          <w:p>
            <w:pPr>
              <w:pStyle w:val="63"/>
              <w:rPr>
                <w:color w:val="000000" w:themeColor="text1"/>
                <w:highlight w:val="none"/>
              </w:rPr>
            </w:pPr>
            <w:r>
              <w:rPr>
                <w:color w:val="000000" w:themeColor="text1"/>
                <w:highlight w:val="none"/>
              </w:rPr>
              <w:t>水土污染监测</w:t>
            </w:r>
          </w:p>
        </w:tc>
        <w:tc>
          <w:tcPr>
            <w:tcW w:w="1250" w:type="pct"/>
            <w:vAlign w:val="center"/>
          </w:tcPr>
          <w:p>
            <w:pPr>
              <w:pStyle w:val="63"/>
              <w:rPr>
                <w:color w:val="000000" w:themeColor="text1"/>
                <w:highlight w:val="none"/>
              </w:rPr>
            </w:pPr>
            <w:r>
              <w:rPr>
                <w:color w:val="000000" w:themeColor="text1"/>
                <w:highlight w:val="none"/>
              </w:rPr>
              <w:t>点•次</w:t>
            </w:r>
          </w:p>
        </w:tc>
        <w:tc>
          <w:tcPr>
            <w:tcW w:w="1250" w:type="pct"/>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8</w:t>
            </w:r>
          </w:p>
        </w:tc>
      </w:tr>
    </w:tbl>
    <w:p>
      <w:pPr>
        <w:pStyle w:val="67"/>
        <w:rPr>
          <w:color w:val="000000" w:themeColor="text1"/>
          <w:highlight w:val="none"/>
        </w:rPr>
      </w:pPr>
    </w:p>
    <w:p>
      <w:pPr>
        <w:pStyle w:val="67"/>
        <w:rPr>
          <w:color w:val="000000" w:themeColor="text1"/>
          <w:highlight w:val="none"/>
        </w:rPr>
      </w:pPr>
      <w:r>
        <w:rPr>
          <w:color w:val="000000" w:themeColor="text1"/>
          <w:highlight w:val="none"/>
        </w:rPr>
        <w:t>表6-2矿山近年度（</w:t>
      </w:r>
      <w:r>
        <w:rPr>
          <w:rFonts w:hint="eastAsia"/>
          <w:color w:val="000000" w:themeColor="text1"/>
          <w:highlight w:val="none"/>
        </w:rPr>
        <w:t>5</w:t>
      </w:r>
      <w:r>
        <w:rPr>
          <w:color w:val="000000" w:themeColor="text1"/>
          <w:highlight w:val="none"/>
        </w:rPr>
        <w:t>年）土地复垦工作量表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3329"/>
        <w:gridCol w:w="1771"/>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bookmarkStart w:id="252" w:name="_Toc7667"/>
            <w:r>
              <w:rPr>
                <w:color w:val="000000" w:themeColor="text1"/>
                <w:highlight w:val="none"/>
              </w:rPr>
              <w:t>序号</w:t>
            </w:r>
          </w:p>
        </w:tc>
        <w:tc>
          <w:tcPr>
            <w:tcW w:w="1955" w:type="pct"/>
            <w:shd w:val="clear" w:color="auto" w:fill="auto"/>
            <w:vAlign w:val="center"/>
          </w:tcPr>
          <w:p>
            <w:pPr>
              <w:pStyle w:val="63"/>
              <w:rPr>
                <w:color w:val="000000" w:themeColor="text1"/>
                <w:highlight w:val="none"/>
              </w:rPr>
            </w:pPr>
            <w:r>
              <w:rPr>
                <w:color w:val="000000" w:themeColor="text1"/>
                <w:highlight w:val="none"/>
              </w:rPr>
              <w:t>名称及规格</w:t>
            </w:r>
          </w:p>
        </w:tc>
        <w:tc>
          <w:tcPr>
            <w:tcW w:w="1040" w:type="pct"/>
            <w:shd w:val="clear" w:color="auto" w:fill="auto"/>
            <w:vAlign w:val="center"/>
          </w:tcPr>
          <w:p>
            <w:pPr>
              <w:pStyle w:val="63"/>
              <w:rPr>
                <w:color w:val="000000" w:themeColor="text1"/>
                <w:highlight w:val="none"/>
              </w:rPr>
            </w:pPr>
            <w:r>
              <w:rPr>
                <w:color w:val="000000" w:themeColor="text1"/>
                <w:highlight w:val="none"/>
              </w:rPr>
              <w:t>单位</w:t>
            </w:r>
          </w:p>
        </w:tc>
        <w:tc>
          <w:tcPr>
            <w:tcW w:w="1203" w:type="pct"/>
            <w:shd w:val="clear" w:color="auto" w:fill="auto"/>
            <w:vAlign w:val="center"/>
          </w:tcPr>
          <w:p>
            <w:pPr>
              <w:pStyle w:val="63"/>
              <w:rPr>
                <w:color w:val="000000" w:themeColor="text1"/>
                <w:highlight w:val="none"/>
              </w:rPr>
            </w:pPr>
            <w:r>
              <w:rPr>
                <w:color w:val="000000" w:themeColor="text1"/>
                <w:highlight w:val="none"/>
              </w:rPr>
              <w:t>工程量合计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一</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土壤重构工程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1</w:t>
            </w:r>
          </w:p>
        </w:tc>
        <w:tc>
          <w:tcPr>
            <w:tcW w:w="1955" w:type="pct"/>
            <w:shd w:val="clear" w:color="auto" w:fill="auto"/>
            <w:vAlign w:val="center"/>
          </w:tcPr>
          <w:p>
            <w:pPr>
              <w:pStyle w:val="63"/>
              <w:rPr>
                <w:color w:val="000000" w:themeColor="text1"/>
                <w:highlight w:val="none"/>
              </w:rPr>
            </w:pPr>
            <w:r>
              <w:rPr>
                <w:color w:val="000000" w:themeColor="text1"/>
                <w:highlight w:val="none"/>
              </w:rPr>
              <w:t>土壤剥覆工程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color w:val="000000" w:themeColor="text1"/>
                <w:highlight w:val="none"/>
              </w:rPr>
              <w:t>（1）</w:t>
            </w:r>
          </w:p>
        </w:tc>
        <w:tc>
          <w:tcPr>
            <w:tcW w:w="1955" w:type="pct"/>
            <w:shd w:val="clear" w:color="auto" w:fill="auto"/>
            <w:vAlign w:val="center"/>
          </w:tcPr>
          <w:p>
            <w:pPr>
              <w:pStyle w:val="63"/>
              <w:rPr>
                <w:color w:val="000000" w:themeColor="text1"/>
                <w:highlight w:val="none"/>
              </w:rPr>
            </w:pPr>
            <w:r>
              <w:rPr>
                <w:color w:val="000000" w:themeColor="text1"/>
                <w:highlight w:val="none"/>
              </w:rPr>
              <w:t>表土</w:t>
            </w:r>
            <w:r>
              <w:rPr>
                <w:rFonts w:hint="eastAsia"/>
                <w:color w:val="000000" w:themeColor="text1"/>
                <w:highlight w:val="none"/>
              </w:rPr>
              <w:t>剥离</w:t>
            </w:r>
          </w:p>
        </w:tc>
        <w:tc>
          <w:tcPr>
            <w:tcW w:w="1040" w:type="pct"/>
            <w:shd w:val="clear" w:color="auto" w:fill="auto"/>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03"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（2）</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表土养护</w:t>
            </w:r>
          </w:p>
        </w:tc>
        <w:tc>
          <w:tcPr>
            <w:tcW w:w="1040" w:type="pct"/>
            <w:shd w:val="clear" w:color="auto" w:fill="auto"/>
            <w:vAlign w:val="center"/>
          </w:tcPr>
          <w:p>
            <w:pPr>
              <w:pStyle w:val="63"/>
              <w:rPr>
                <w:color w:val="000000" w:themeColor="text1"/>
                <w:highlight w:val="none"/>
              </w:rPr>
            </w:pPr>
            <w:r>
              <w:rPr>
                <w:rFonts w:hint="eastAsia"/>
                <w:color w:val="000000" w:themeColor="text1"/>
                <w:highlight w:val="none"/>
              </w:rPr>
              <w:t>hm</w:t>
            </w:r>
            <w:r>
              <w:rPr>
                <w:rFonts w:hint="eastAsia"/>
                <w:color w:val="000000" w:themeColor="text1"/>
                <w:highlight w:val="none"/>
                <w:vertAlign w:val="superscript"/>
              </w:rPr>
              <w:t>2</w:t>
            </w:r>
          </w:p>
        </w:tc>
        <w:tc>
          <w:tcPr>
            <w:tcW w:w="1203"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（3）</w:t>
            </w:r>
          </w:p>
        </w:tc>
        <w:tc>
          <w:tcPr>
            <w:tcW w:w="1955" w:type="pct"/>
            <w:shd w:val="clear" w:color="auto" w:fill="auto"/>
            <w:vAlign w:val="center"/>
          </w:tcPr>
          <w:p>
            <w:pPr>
              <w:pStyle w:val="63"/>
              <w:rPr>
                <w:color w:val="000000" w:themeColor="text1"/>
                <w:highlight w:val="none"/>
              </w:rPr>
            </w:pPr>
            <w:r>
              <w:rPr>
                <w:color w:val="000000" w:themeColor="text1"/>
                <w:highlight w:val="none"/>
              </w:rPr>
              <w:t>表土挡墙</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①</w:t>
            </w:r>
          </w:p>
        </w:tc>
        <w:tc>
          <w:tcPr>
            <w:tcW w:w="1955"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浆砌块石挡土墙</w:t>
            </w:r>
          </w:p>
        </w:tc>
        <w:tc>
          <w:tcPr>
            <w:tcW w:w="1040" w:type="pct"/>
            <w:shd w:val="clear" w:color="auto" w:fill="auto"/>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03"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（4）</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表土回覆</w:t>
            </w:r>
          </w:p>
        </w:tc>
        <w:tc>
          <w:tcPr>
            <w:tcW w:w="1040" w:type="pct"/>
            <w:shd w:val="clear" w:color="auto" w:fill="auto"/>
            <w:vAlign w:val="center"/>
          </w:tcPr>
          <w:p>
            <w:pPr>
              <w:pStyle w:val="63"/>
              <w:rPr>
                <w:color w:val="000000" w:themeColor="text1"/>
                <w:highlight w:val="none"/>
              </w:rPr>
            </w:pPr>
            <w:r>
              <w:rPr>
                <w:color w:val="000000" w:themeColor="text1"/>
                <w:highlight w:val="none"/>
              </w:rPr>
              <w:t>m</w:t>
            </w:r>
            <w:r>
              <w:rPr>
                <w:color w:val="000000" w:themeColor="text1"/>
                <w:highlight w:val="none"/>
                <w:vertAlign w:val="superscript"/>
              </w:rPr>
              <w:t>3</w:t>
            </w:r>
          </w:p>
        </w:tc>
        <w:tc>
          <w:tcPr>
            <w:tcW w:w="1203" w:type="pct"/>
            <w:shd w:val="clear" w:color="auto" w:fill="auto"/>
            <w:vAlign w:val="center"/>
          </w:tcPr>
          <w:p>
            <w:pPr>
              <w:pStyle w:val="63"/>
              <w:rPr>
                <w:color w:val="000000" w:themeColor="text1"/>
                <w:highlight w:val="none"/>
              </w:rPr>
            </w:pPr>
            <w:r>
              <w:rPr>
                <w:rFonts w:hint="eastAsia"/>
                <w:color w:val="000000" w:themeColor="text1"/>
                <w:highlight w:val="none"/>
                <w:lang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2</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生物化学工程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（1）</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林地培肥（3年）</w:t>
            </w:r>
          </w:p>
        </w:tc>
        <w:tc>
          <w:tcPr>
            <w:tcW w:w="1040" w:type="pct"/>
            <w:shd w:val="clear" w:color="auto" w:fill="auto"/>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203" w:type="pct"/>
            <w:shd w:val="clear" w:color="auto" w:fill="auto"/>
            <w:vAlign w:val="center"/>
          </w:tcPr>
          <w:p>
            <w:pPr>
              <w:pStyle w:val="63"/>
              <w:rPr>
                <w:color w:val="000000" w:themeColor="text1"/>
                <w:highlight w:val="none"/>
              </w:rPr>
            </w:pPr>
            <w:r>
              <w:rPr>
                <w:rFonts w:hint="eastAsia"/>
                <w:color w:val="000000" w:themeColor="text1"/>
                <w:highlight w:val="none"/>
                <w:lang w:eastAsia="zh-CN"/>
              </w:rPr>
              <w:t>8.179</w:t>
            </w:r>
            <w:r>
              <w:rPr>
                <w:rFonts w:hint="eastAsia"/>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二</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植被重建工程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color w:val="000000" w:themeColor="text1"/>
                <w:highlight w:val="none"/>
              </w:rPr>
              <w:t>1</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林地种植</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（1）</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rPr>
              <w:t>马尾松种植</w:t>
            </w:r>
          </w:p>
        </w:tc>
        <w:tc>
          <w:tcPr>
            <w:tcW w:w="1040" w:type="pct"/>
            <w:shd w:val="clear" w:color="auto" w:fill="auto"/>
            <w:vAlign w:val="center"/>
          </w:tcPr>
          <w:p>
            <w:pPr>
              <w:pStyle w:val="63"/>
              <w:rPr>
                <w:color w:val="000000" w:themeColor="text1"/>
                <w:highlight w:val="none"/>
              </w:rPr>
            </w:pPr>
            <w:r>
              <w:rPr>
                <w:rFonts w:hint="eastAsia"/>
                <w:color w:val="000000" w:themeColor="text1"/>
                <w:highlight w:val="none"/>
              </w:rPr>
              <w:t>株</w:t>
            </w:r>
          </w:p>
        </w:tc>
        <w:tc>
          <w:tcPr>
            <w:tcW w:w="1203"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22052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color w:val="000000" w:themeColor="text1"/>
                <w:highlight w:val="none"/>
              </w:rPr>
              <w:t>2</w:t>
            </w:r>
          </w:p>
        </w:tc>
        <w:tc>
          <w:tcPr>
            <w:tcW w:w="1955" w:type="pct"/>
            <w:shd w:val="clear" w:color="auto" w:fill="auto"/>
            <w:vAlign w:val="center"/>
          </w:tcPr>
          <w:p>
            <w:pPr>
              <w:pStyle w:val="63"/>
              <w:rPr>
                <w:color w:val="000000" w:themeColor="text1"/>
                <w:highlight w:val="none"/>
              </w:rPr>
            </w:pPr>
            <w:r>
              <w:rPr>
                <w:rFonts w:hint="eastAsia"/>
                <w:color w:val="000000" w:themeColor="text1"/>
                <w:highlight w:val="none"/>
                <w:lang w:eastAsia="zh-CN"/>
              </w:rPr>
              <w:t>其他草地</w:t>
            </w:r>
            <w:r>
              <w:rPr>
                <w:rFonts w:hint="eastAsia"/>
                <w:color w:val="000000" w:themeColor="text1"/>
                <w:highlight w:val="none"/>
              </w:rPr>
              <w:t>种植</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（1）</w:t>
            </w:r>
          </w:p>
        </w:tc>
        <w:tc>
          <w:tcPr>
            <w:tcW w:w="1955"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蔷薇</w:t>
            </w:r>
          </w:p>
        </w:tc>
        <w:tc>
          <w:tcPr>
            <w:tcW w:w="1040" w:type="pct"/>
            <w:shd w:val="clear" w:color="auto" w:fill="auto"/>
            <w:vAlign w:val="center"/>
          </w:tcPr>
          <w:p>
            <w:pPr>
              <w:pStyle w:val="63"/>
              <w:rPr>
                <w:color w:val="000000" w:themeColor="text1"/>
                <w:highlight w:val="none"/>
              </w:rPr>
            </w:pPr>
            <w:r>
              <w:rPr>
                <w:rFonts w:hint="eastAsia"/>
                <w:color w:val="000000" w:themeColor="text1"/>
                <w:highlight w:val="none"/>
              </w:rPr>
              <w:t>株</w:t>
            </w:r>
          </w:p>
        </w:tc>
        <w:tc>
          <w:tcPr>
            <w:tcW w:w="1203" w:type="pct"/>
            <w:shd w:val="clear" w:color="auto" w:fill="auto"/>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6710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rFonts w:hint="eastAsia"/>
                <w:color w:val="000000" w:themeColor="text1"/>
                <w:highlight w:val="none"/>
              </w:rPr>
              <w:t>三</w:t>
            </w:r>
          </w:p>
        </w:tc>
        <w:tc>
          <w:tcPr>
            <w:tcW w:w="1955" w:type="pct"/>
            <w:shd w:val="clear" w:color="auto" w:fill="auto"/>
            <w:vAlign w:val="center"/>
          </w:tcPr>
          <w:p>
            <w:pPr>
              <w:pStyle w:val="63"/>
              <w:rPr>
                <w:color w:val="000000" w:themeColor="text1"/>
                <w:highlight w:val="none"/>
              </w:rPr>
            </w:pPr>
            <w:r>
              <w:rPr>
                <w:color w:val="000000" w:themeColor="text1"/>
                <w:highlight w:val="none"/>
              </w:rPr>
              <w:t>监测与管护工程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color w:val="000000" w:themeColor="text1"/>
                <w:highlight w:val="none"/>
              </w:rPr>
              <w:t>1</w:t>
            </w:r>
          </w:p>
        </w:tc>
        <w:tc>
          <w:tcPr>
            <w:tcW w:w="1955" w:type="pct"/>
            <w:shd w:val="clear" w:color="auto" w:fill="auto"/>
            <w:vAlign w:val="center"/>
          </w:tcPr>
          <w:p>
            <w:pPr>
              <w:pStyle w:val="63"/>
              <w:rPr>
                <w:color w:val="000000" w:themeColor="text1"/>
                <w:highlight w:val="none"/>
              </w:rPr>
            </w:pPr>
            <w:r>
              <w:rPr>
                <w:color w:val="000000" w:themeColor="text1"/>
                <w:highlight w:val="none"/>
              </w:rPr>
              <w:t>监测工程</w:t>
            </w:r>
          </w:p>
        </w:tc>
        <w:tc>
          <w:tcPr>
            <w:tcW w:w="1040" w:type="pct"/>
            <w:shd w:val="clear" w:color="auto" w:fill="auto"/>
            <w:vAlign w:val="center"/>
          </w:tcPr>
          <w:p>
            <w:pPr>
              <w:pStyle w:val="63"/>
              <w:rPr>
                <w:color w:val="000000" w:themeColor="text1"/>
                <w:highlight w:val="none"/>
              </w:rPr>
            </w:pPr>
          </w:p>
        </w:tc>
        <w:tc>
          <w:tcPr>
            <w:tcW w:w="1203" w:type="pct"/>
            <w:shd w:val="clear" w:color="auto" w:fill="auto"/>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2" w:type="pct"/>
            <w:shd w:val="clear" w:color="auto" w:fill="auto"/>
            <w:vAlign w:val="center"/>
          </w:tcPr>
          <w:p>
            <w:pPr>
              <w:pStyle w:val="63"/>
              <w:rPr>
                <w:color w:val="000000" w:themeColor="text1"/>
                <w:highlight w:val="none"/>
              </w:rPr>
            </w:pPr>
            <w:r>
              <w:rPr>
                <w:color w:val="000000" w:themeColor="text1"/>
                <w:highlight w:val="none"/>
              </w:rPr>
              <w:t>（1）</w:t>
            </w:r>
          </w:p>
        </w:tc>
        <w:tc>
          <w:tcPr>
            <w:tcW w:w="1955" w:type="pct"/>
            <w:shd w:val="clear" w:color="auto" w:fill="auto"/>
            <w:vAlign w:val="center"/>
          </w:tcPr>
          <w:p>
            <w:pPr>
              <w:pStyle w:val="63"/>
              <w:rPr>
                <w:color w:val="000000" w:themeColor="text1"/>
                <w:highlight w:val="none"/>
              </w:rPr>
            </w:pPr>
            <w:r>
              <w:rPr>
                <w:color w:val="000000" w:themeColor="text1"/>
                <w:highlight w:val="none"/>
              </w:rPr>
              <w:t>土壤损毁情况监测</w:t>
            </w:r>
          </w:p>
        </w:tc>
        <w:tc>
          <w:tcPr>
            <w:tcW w:w="1040" w:type="pct"/>
            <w:shd w:val="clear" w:color="auto" w:fill="auto"/>
            <w:vAlign w:val="center"/>
          </w:tcPr>
          <w:p>
            <w:pPr>
              <w:pStyle w:val="63"/>
              <w:rPr>
                <w:color w:val="000000" w:themeColor="text1"/>
                <w:highlight w:val="none"/>
              </w:rPr>
            </w:pPr>
            <w:r>
              <w:rPr>
                <w:color w:val="000000" w:themeColor="text1"/>
                <w:highlight w:val="none"/>
              </w:rPr>
              <w:t>点·次</w:t>
            </w:r>
          </w:p>
        </w:tc>
        <w:tc>
          <w:tcPr>
            <w:tcW w:w="1203" w:type="pct"/>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4</w:t>
            </w:r>
          </w:p>
        </w:tc>
      </w:tr>
    </w:tbl>
    <w:p>
      <w:pPr>
        <w:pStyle w:val="67"/>
        <w:rPr>
          <w:color w:val="000000" w:themeColor="text1"/>
          <w:highlight w:val="none"/>
        </w:rPr>
        <w:sectPr>
          <w:pgSz w:w="11905" w:h="16838"/>
          <w:pgMar w:top="1440" w:right="1803" w:bottom="1440" w:left="1803" w:header="624" w:footer="624" w:gutter="0"/>
          <w:cols w:space="0" w:num="1"/>
          <w:docGrid w:type="linesAndChars" w:linePitch="331" w:charSpace="0"/>
        </w:sectPr>
      </w:pPr>
    </w:p>
    <w:bookmarkEnd w:id="252"/>
    <w:p>
      <w:pPr>
        <w:pStyle w:val="3"/>
        <w:rPr>
          <w:color w:val="000000" w:themeColor="text1"/>
          <w:highlight w:val="none"/>
        </w:rPr>
        <w:sectPr>
          <w:type w:val="continuous"/>
          <w:pgSz w:w="11905" w:h="16838"/>
          <w:pgMar w:top="1440" w:right="1803" w:bottom="1440" w:left="1803" w:header="624" w:footer="624" w:gutter="0"/>
          <w:cols w:space="720" w:num="1"/>
          <w:docGrid w:type="linesAndChars" w:linePitch="331" w:charSpace="0"/>
        </w:sectPr>
      </w:pPr>
    </w:p>
    <w:p>
      <w:pPr>
        <w:pStyle w:val="3"/>
        <w:rPr>
          <w:color w:val="000000" w:themeColor="text1"/>
          <w:highlight w:val="none"/>
        </w:rPr>
      </w:pPr>
      <w:bookmarkStart w:id="253" w:name="_Toc27024"/>
      <w:r>
        <w:rPr>
          <w:color w:val="000000" w:themeColor="text1"/>
          <w:highlight w:val="none"/>
        </w:rPr>
        <w:t>第七章经费估算与进度安排</w:t>
      </w:r>
      <w:bookmarkEnd w:id="253"/>
    </w:p>
    <w:p>
      <w:pPr>
        <w:pStyle w:val="4"/>
        <w:spacing w:before="82" w:after="82"/>
        <w:rPr>
          <w:color w:val="000000" w:themeColor="text1"/>
          <w:highlight w:val="none"/>
        </w:rPr>
      </w:pPr>
      <w:bookmarkStart w:id="254" w:name="_Toc31302"/>
      <w:r>
        <w:rPr>
          <w:rFonts w:hint="eastAsia"/>
          <w:color w:val="000000" w:themeColor="text1"/>
          <w:highlight w:val="none"/>
        </w:rPr>
        <w:t xml:space="preserve">7.1 </w:t>
      </w:r>
      <w:r>
        <w:rPr>
          <w:color w:val="000000" w:themeColor="text1"/>
          <w:highlight w:val="none"/>
        </w:rPr>
        <w:t>经费估算依据</w:t>
      </w:r>
      <w:bookmarkEnd w:id="254"/>
    </w:p>
    <w:p>
      <w:pPr>
        <w:pStyle w:val="5"/>
        <w:spacing w:before="82" w:after="82"/>
        <w:rPr>
          <w:color w:val="000000" w:themeColor="text1"/>
          <w:highlight w:val="none"/>
        </w:rPr>
      </w:pPr>
      <w:bookmarkStart w:id="255" w:name="_Toc25976"/>
      <w:r>
        <w:rPr>
          <w:rFonts w:hint="eastAsia"/>
          <w:color w:val="000000" w:themeColor="text1"/>
          <w:highlight w:val="none"/>
        </w:rPr>
        <w:t>7.1</w:t>
      </w:r>
      <w:r>
        <w:rPr>
          <w:color w:val="000000" w:themeColor="text1"/>
          <w:highlight w:val="none"/>
        </w:rPr>
        <w:t>.1矿山地质环境恢复治理经费估算依据</w:t>
      </w:r>
      <w:bookmarkEnd w:id="255"/>
    </w:p>
    <w:p>
      <w:pPr>
        <w:rPr>
          <w:color w:val="000000" w:themeColor="text1"/>
          <w:highlight w:val="none"/>
        </w:rPr>
      </w:pPr>
      <w:r>
        <w:rPr>
          <w:color w:val="000000" w:themeColor="text1"/>
          <w:highlight w:val="none"/>
        </w:rPr>
        <w:t>1、编制依据</w:t>
      </w:r>
    </w:p>
    <w:p>
      <w:pPr>
        <w:rPr>
          <w:color w:val="000000" w:themeColor="text1"/>
          <w:highlight w:val="none"/>
        </w:rPr>
      </w:pPr>
      <w:r>
        <w:rPr>
          <w:color w:val="000000" w:themeColor="text1"/>
          <w:highlight w:val="none"/>
        </w:rPr>
        <w:t>（</w:t>
      </w:r>
      <w:r>
        <w:rPr>
          <w:rFonts w:hint="eastAsia"/>
          <w:color w:val="000000" w:themeColor="text1"/>
          <w:highlight w:val="none"/>
        </w:rPr>
        <w:t>1</w:t>
      </w:r>
      <w:r>
        <w:rPr>
          <w:color w:val="000000" w:themeColor="text1"/>
          <w:highlight w:val="none"/>
        </w:rPr>
        <w:t>）四川省国土资源厅四川省财政厅关于印发《营业税改增值税后〈四川省地质灾害治理王程概（预）算标准〉调整办法》的通知（川国土资发〔2017〕63号）；</w:t>
      </w:r>
    </w:p>
    <w:p>
      <w:pPr>
        <w:rPr>
          <w:color w:val="000000" w:themeColor="text1"/>
          <w:highlight w:val="none"/>
        </w:rPr>
      </w:pPr>
      <w:r>
        <w:rPr>
          <w:color w:val="000000" w:themeColor="text1"/>
          <w:highlight w:val="none"/>
        </w:rPr>
        <w:t>（</w:t>
      </w:r>
      <w:r>
        <w:rPr>
          <w:rFonts w:hint="eastAsia"/>
          <w:color w:val="000000" w:themeColor="text1"/>
          <w:highlight w:val="none"/>
        </w:rPr>
        <w:t>2</w:t>
      </w:r>
      <w:r>
        <w:rPr>
          <w:color w:val="000000" w:themeColor="text1"/>
          <w:highlight w:val="none"/>
        </w:rPr>
        <w:t>）《四川省地质灾害防治工程设计概</w:t>
      </w:r>
      <w:r>
        <w:rPr>
          <w:rFonts w:hint="eastAsia"/>
          <w:color w:val="000000" w:themeColor="text1"/>
          <w:highlight w:val="none"/>
        </w:rPr>
        <w:t>（</w:t>
      </w:r>
      <w:r>
        <w:rPr>
          <w:color w:val="000000" w:themeColor="text1"/>
          <w:highlight w:val="none"/>
        </w:rPr>
        <w:t>估</w:t>
      </w:r>
      <w:r>
        <w:rPr>
          <w:rFonts w:hint="eastAsia"/>
          <w:color w:val="000000" w:themeColor="text1"/>
          <w:highlight w:val="none"/>
        </w:rPr>
        <w:t>）</w:t>
      </w:r>
      <w:r>
        <w:rPr>
          <w:color w:val="000000" w:themeColor="text1"/>
          <w:highlight w:val="none"/>
        </w:rPr>
        <w:t>算编制规定》</w:t>
      </w:r>
      <w:r>
        <w:rPr>
          <w:rFonts w:hint="eastAsia"/>
          <w:color w:val="000000" w:themeColor="text1"/>
          <w:highlight w:val="none"/>
        </w:rPr>
        <w:t>（</w:t>
      </w:r>
      <w:r>
        <w:rPr>
          <w:color w:val="000000" w:themeColor="text1"/>
          <w:highlight w:val="none"/>
        </w:rPr>
        <w:t>试行</w:t>
      </w:r>
      <w:r>
        <w:rPr>
          <w:rFonts w:hint="eastAsia"/>
          <w:color w:val="000000" w:themeColor="text1"/>
          <w:highlight w:val="none"/>
        </w:rPr>
        <w:t>）</w:t>
      </w:r>
      <w:r>
        <w:rPr>
          <w:color w:val="000000" w:themeColor="text1"/>
          <w:highlight w:val="none"/>
        </w:rPr>
        <w:t>；</w:t>
      </w:r>
    </w:p>
    <w:p>
      <w:pPr>
        <w:rPr>
          <w:color w:val="000000" w:themeColor="text1"/>
          <w:highlight w:val="none"/>
        </w:rPr>
      </w:pPr>
      <w:r>
        <w:rPr>
          <w:color w:val="000000" w:themeColor="text1"/>
          <w:highlight w:val="none"/>
        </w:rPr>
        <w:t>（</w:t>
      </w:r>
      <w:r>
        <w:rPr>
          <w:rFonts w:hint="eastAsia"/>
          <w:color w:val="000000" w:themeColor="text1"/>
          <w:highlight w:val="none"/>
        </w:rPr>
        <w:t>3</w:t>
      </w:r>
      <w:r>
        <w:rPr>
          <w:color w:val="000000" w:themeColor="text1"/>
          <w:highlight w:val="none"/>
        </w:rPr>
        <w:t>）《四川省地质灾害治理工程概（预）算标准（修订）》（川自然资发〔2018〕9号）；</w:t>
      </w:r>
    </w:p>
    <w:p>
      <w:pPr>
        <w:rPr>
          <w:color w:val="000000" w:themeColor="text1"/>
          <w:highlight w:val="none"/>
        </w:rPr>
      </w:pPr>
      <w:r>
        <w:rPr>
          <w:color w:val="000000" w:themeColor="text1"/>
          <w:highlight w:val="none"/>
        </w:rPr>
        <w:t>（</w:t>
      </w:r>
      <w:r>
        <w:rPr>
          <w:rFonts w:hint="eastAsia"/>
          <w:color w:val="000000" w:themeColor="text1"/>
          <w:highlight w:val="none"/>
        </w:rPr>
        <w:t>4</w:t>
      </w:r>
      <w:r>
        <w:rPr>
          <w:color w:val="000000" w:themeColor="text1"/>
          <w:highlight w:val="none"/>
        </w:rPr>
        <w:t>）《四川造价信息网》（四川省建设工程造价管理总站，20</w:t>
      </w:r>
      <w:r>
        <w:rPr>
          <w:rFonts w:hint="eastAsia"/>
          <w:color w:val="000000" w:themeColor="text1"/>
          <w:highlight w:val="none"/>
        </w:rPr>
        <w:t>2</w:t>
      </w:r>
      <w:r>
        <w:rPr>
          <w:rFonts w:hint="eastAsia"/>
          <w:color w:val="000000" w:themeColor="text1"/>
          <w:highlight w:val="none"/>
          <w:lang w:val="en-US" w:eastAsia="zh-CN"/>
        </w:rPr>
        <w:t>2</w:t>
      </w:r>
      <w:r>
        <w:rPr>
          <w:color w:val="000000" w:themeColor="text1"/>
          <w:highlight w:val="none"/>
        </w:rPr>
        <w:t>.0</w:t>
      </w:r>
      <w:r>
        <w:rPr>
          <w:rFonts w:hint="eastAsia"/>
          <w:color w:val="000000" w:themeColor="text1"/>
          <w:highlight w:val="none"/>
          <w:lang w:val="en-US" w:eastAsia="zh-CN"/>
        </w:rPr>
        <w:t>9</w:t>
      </w:r>
      <w:r>
        <w:rPr>
          <w:color w:val="000000" w:themeColor="text1"/>
          <w:highlight w:val="none"/>
        </w:rPr>
        <w:t>）；人工单价、部分材料价格通过当地市场调查获得；</w:t>
      </w:r>
    </w:p>
    <w:p>
      <w:pPr>
        <w:rPr>
          <w:color w:val="000000" w:themeColor="text1"/>
          <w:highlight w:val="none"/>
        </w:rPr>
      </w:pPr>
      <w:r>
        <w:rPr>
          <w:color w:val="000000" w:themeColor="text1"/>
          <w:highlight w:val="none"/>
        </w:rPr>
        <w:t>2、费用构成</w:t>
      </w:r>
    </w:p>
    <w:p>
      <w:pPr>
        <w:rPr>
          <w:color w:val="000000" w:themeColor="text1"/>
          <w:highlight w:val="none"/>
        </w:rPr>
      </w:pPr>
      <w:r>
        <w:rPr>
          <w:color w:val="000000" w:themeColor="text1"/>
          <w:highlight w:val="none"/>
        </w:rPr>
        <w:t>工程治理以定额基价为取费基础计算工程费用。估算费用由工程施工费用、独立费用和基本预备费组成。</w:t>
      </w:r>
    </w:p>
    <w:p>
      <w:pPr>
        <w:rPr>
          <w:color w:val="000000" w:themeColor="text1"/>
          <w:highlight w:val="none"/>
        </w:rPr>
      </w:pPr>
      <w:r>
        <w:rPr>
          <w:color w:val="000000" w:themeColor="text1"/>
          <w:highlight w:val="none"/>
        </w:rPr>
        <w:t>（1）工程施工费用</w:t>
      </w:r>
    </w:p>
    <w:p>
      <w:pPr>
        <w:rPr>
          <w:color w:val="000000" w:themeColor="text1"/>
          <w:highlight w:val="none"/>
        </w:rPr>
      </w:pPr>
      <w:r>
        <w:rPr>
          <w:color w:val="000000" w:themeColor="text1"/>
          <w:highlight w:val="none"/>
        </w:rPr>
        <w:t>工程、植物措施单价主要按照《四川省地质灾害防治工程设计概</w:t>
      </w:r>
      <w:r>
        <w:rPr>
          <w:rFonts w:hint="eastAsia"/>
          <w:color w:val="000000" w:themeColor="text1"/>
          <w:highlight w:val="none"/>
        </w:rPr>
        <w:t>（</w:t>
      </w:r>
      <w:r>
        <w:rPr>
          <w:color w:val="000000" w:themeColor="text1"/>
          <w:highlight w:val="none"/>
        </w:rPr>
        <w:t>估</w:t>
      </w:r>
      <w:r>
        <w:rPr>
          <w:rFonts w:hint="eastAsia"/>
          <w:color w:val="000000" w:themeColor="text1"/>
          <w:highlight w:val="none"/>
        </w:rPr>
        <w:t>）</w:t>
      </w:r>
      <w:r>
        <w:rPr>
          <w:color w:val="000000" w:themeColor="text1"/>
          <w:highlight w:val="none"/>
        </w:rPr>
        <w:t>算编制规定》计算，工程费由直接工程费、间接费、企业利润和税金组成。</w:t>
      </w:r>
    </w:p>
    <w:p>
      <w:pPr>
        <w:rPr>
          <w:color w:val="000000" w:themeColor="text1"/>
          <w:highlight w:val="none"/>
        </w:rPr>
      </w:pPr>
      <w:r>
        <w:rPr>
          <w:color w:val="000000" w:themeColor="text1"/>
          <w:highlight w:val="none"/>
        </w:rPr>
        <w:t>1）直接工程费：由直接费、其他直接费和现场经费组成。</w:t>
      </w:r>
    </w:p>
    <w:p>
      <w:pPr>
        <w:rPr>
          <w:color w:val="000000" w:themeColor="text1"/>
          <w:highlight w:val="none"/>
        </w:rPr>
      </w:pPr>
      <w:r>
        <w:rPr>
          <w:color w:val="000000" w:themeColor="text1"/>
          <w:highlight w:val="none"/>
        </w:rPr>
        <w:t>其中直接费包括人工费、材料费和机械使用费，按定额计算。艰苦边远类别为三类地区，人工费按工长130.14元/工日、高级工119.91元/工日、中级工99.46元/工日、初级工72.88元/工日计，地质环境治理机械使用费=定额机械使用量（台时）×施工机械台时费。</w:t>
      </w:r>
    </w:p>
    <w:p>
      <w:pPr>
        <w:rPr>
          <w:color w:val="000000" w:themeColor="text1"/>
          <w:highlight w:val="none"/>
        </w:rPr>
      </w:pPr>
      <w:r>
        <w:rPr>
          <w:color w:val="000000" w:themeColor="text1"/>
          <w:highlight w:val="none"/>
        </w:rPr>
        <w:t>其他直接费（包括冬雨季施工增加费、夜间施工增加费、其他费用）。</w:t>
      </w:r>
    </w:p>
    <w:p>
      <w:pPr>
        <w:pStyle w:val="67"/>
        <w:rPr>
          <w:color w:val="000000" w:themeColor="text1"/>
          <w:highlight w:val="none"/>
        </w:rPr>
      </w:pPr>
      <w:r>
        <w:rPr>
          <w:rFonts w:hint="eastAsia"/>
          <w:color w:val="000000" w:themeColor="text1"/>
          <w:highlight w:val="none"/>
        </w:rPr>
        <w:t>表7-1  矿山地质环境保护与治理人工费计算表</w:t>
      </w:r>
    </w:p>
    <w:tbl>
      <w:tblPr>
        <w:tblStyle w:val="3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2904"/>
        <w:gridCol w:w="326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0" w:type="dxa"/>
            <w:gridSpan w:val="2"/>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4536" w:type="dxa"/>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编号</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1815.000*12/250*1.068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77+7.258+0.800+3.908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4.9*365*0.95/250*1.068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(3.5+4.5)/2*20%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93.044*3*10/250*35%</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15.706+2.244</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福利基金</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(93.044+19.143)*14%</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(93.044+19.143)*2%</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人工工日预算单价（元/</w:t>
            </w:r>
            <w:r>
              <w:rPr>
                <w:rFonts w:ascii="宋体" w:hAnsi="宋体"/>
                <w:color w:val="000000" w:themeColor="text1"/>
                <w:highlight w:val="none"/>
              </w:rPr>
              <w:t>工日）</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93.044+19.143+17.950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人工工时预算单价（元/</w:t>
            </w:r>
            <w:r>
              <w:rPr>
                <w:rFonts w:ascii="宋体" w:hAnsi="宋体"/>
                <w:color w:val="000000" w:themeColor="text1"/>
                <w:highlight w:val="none"/>
              </w:rPr>
              <w:t>工时）</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130.137/8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0" w:type="dxa"/>
            <w:gridSpan w:val="2"/>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4536" w:type="dxa"/>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高级工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编号</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1650.000*12/250*1.068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77+7.258+0.800+3.553</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4.9*365*0.95/250*1.068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(3.5+4.5)/2*20%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84.586*3*10/250*35%</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14.472+2.067</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福利基金</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(84.586+18.788)*14%</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(84.586+18.788)*2%</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人工工日预算单价（元/</w:t>
            </w:r>
            <w:r>
              <w:rPr>
                <w:rFonts w:ascii="宋体" w:hAnsi="宋体"/>
                <w:color w:val="000000" w:themeColor="text1"/>
                <w:highlight w:val="none"/>
              </w:rPr>
              <w:t>工日）</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84.586+18.788+16.539</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人工工时预算单价（元/</w:t>
            </w:r>
            <w:r>
              <w:rPr>
                <w:rFonts w:ascii="宋体" w:hAnsi="宋体"/>
                <w:color w:val="000000" w:themeColor="text1"/>
                <w:highlight w:val="none"/>
              </w:rPr>
              <w:t>工时）</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119.913/8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0" w:type="dxa"/>
            <w:gridSpan w:val="2"/>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4536" w:type="dxa"/>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中级工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编号</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1320.000*12/250*1.068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77+7.258+0.800+2.842</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4.9*365*0.95/250*1.068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(3.5+4.5)/2*20%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67.668*3*10/250*35%</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12.004+1.715</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福利基金</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(67.668+18.077)*14%</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(67.668+18.077)*2%</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人工工日预算单价（元/</w:t>
            </w:r>
            <w:r>
              <w:rPr>
                <w:rFonts w:ascii="宋体" w:hAnsi="宋体"/>
                <w:color w:val="000000" w:themeColor="text1"/>
                <w:highlight w:val="none"/>
              </w:rPr>
              <w:t>工日）</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67.668+18.077+13.719</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人工工时预算单价（元/</w:t>
            </w:r>
            <w:r>
              <w:rPr>
                <w:rFonts w:ascii="宋体" w:hAnsi="宋体"/>
                <w:color w:val="000000" w:themeColor="text1"/>
                <w:highlight w:val="none"/>
              </w:rPr>
              <w:t>工时）</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99.464/8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0" w:type="dxa"/>
            <w:gridSpan w:val="2"/>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4536" w:type="dxa"/>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初级工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编号</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891.000*12/250*1.068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77+7.258+0.800+1.918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r>
              <w:rPr>
                <w:rFonts w:hint="eastAsia"/>
                <w:color w:val="000000" w:themeColor="text1"/>
                <w:highlight w:val="none"/>
              </w:rPr>
              <w:t>8.105</w:t>
            </w:r>
            <w:r>
              <w:rPr>
                <w:color w:val="000000" w:themeColor="text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140*12/250*1.068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4.9*365*0.95/250*1.068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(3.5+4.5)/2*20%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45.676*3*10/250*35%</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8.456+1.257</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福利基金</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(45.676+1</w:t>
            </w:r>
            <w:r>
              <w:rPr>
                <w:rFonts w:hint="eastAsia"/>
                <w:color w:val="000000" w:themeColor="text1"/>
                <w:highlight w:val="none"/>
              </w:rPr>
              <w:t>8.105</w:t>
            </w:r>
            <w:r>
              <w:rPr>
                <w:color w:val="000000" w:themeColor="text1"/>
                <w:highlight w:val="none"/>
              </w:rPr>
              <w:t>53)*14%</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(45.676+1</w:t>
            </w:r>
            <w:r>
              <w:rPr>
                <w:rFonts w:hint="eastAsia"/>
                <w:color w:val="000000" w:themeColor="text1"/>
                <w:highlight w:val="none"/>
              </w:rPr>
              <w:t>8.105</w:t>
            </w:r>
            <w:r>
              <w:rPr>
                <w:color w:val="000000" w:themeColor="text1"/>
                <w:highlight w:val="none"/>
              </w:rPr>
              <w:t>53)*2%</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人工工日预算单价（元/</w:t>
            </w:r>
            <w:r>
              <w:rPr>
                <w:rFonts w:ascii="宋体" w:hAnsi="宋体"/>
                <w:color w:val="000000" w:themeColor="text1"/>
                <w:highlight w:val="none"/>
              </w:rPr>
              <w:t>工日）</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45.676+1</w:t>
            </w:r>
            <w:r>
              <w:rPr>
                <w:rFonts w:hint="eastAsia"/>
                <w:color w:val="000000" w:themeColor="text1"/>
                <w:highlight w:val="none"/>
              </w:rPr>
              <w:t>8.105</w:t>
            </w:r>
            <w:r>
              <w:rPr>
                <w:color w:val="000000" w:themeColor="text1"/>
                <w:highlight w:val="none"/>
              </w:rPr>
              <w:t>53+10.053</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6"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290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人工工时预算单价（元/</w:t>
            </w:r>
            <w:r>
              <w:rPr>
                <w:rFonts w:ascii="宋体" w:hAnsi="宋体"/>
                <w:color w:val="000000" w:themeColor="text1"/>
                <w:highlight w:val="none"/>
              </w:rPr>
              <w:t>工时）</w:t>
            </w:r>
          </w:p>
        </w:tc>
        <w:tc>
          <w:tcPr>
            <w:tcW w:w="326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72.882/8</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9.11</w:t>
            </w:r>
          </w:p>
        </w:tc>
      </w:tr>
    </w:tbl>
    <w:p>
      <w:pPr>
        <w:rPr>
          <w:color w:val="000000" w:themeColor="text1"/>
          <w:highlight w:val="none"/>
        </w:rPr>
      </w:pPr>
      <w:r>
        <w:rPr>
          <w:color w:val="000000" w:themeColor="text1"/>
          <w:highlight w:val="none"/>
        </w:rPr>
        <w:t>2）间接费：直接工程费×间接费</w:t>
      </w:r>
      <w:r>
        <w:rPr>
          <w:rFonts w:hint="eastAsia"/>
          <w:color w:val="000000" w:themeColor="text1"/>
          <w:highlight w:val="none"/>
        </w:rPr>
        <w:t>费率</w:t>
      </w:r>
    </w:p>
    <w:p>
      <w:pPr>
        <w:rPr>
          <w:color w:val="000000" w:themeColor="text1"/>
          <w:highlight w:val="none"/>
        </w:rPr>
      </w:pPr>
      <w:r>
        <w:rPr>
          <w:color w:val="000000" w:themeColor="text1"/>
          <w:highlight w:val="none"/>
        </w:rPr>
        <w:t>间接费包括企业管理费、规费。</w:t>
      </w:r>
    </w:p>
    <w:p>
      <w:pPr>
        <w:rPr>
          <w:color w:val="000000" w:themeColor="text1"/>
          <w:highlight w:val="none"/>
        </w:rPr>
      </w:pPr>
      <w:r>
        <w:rPr>
          <w:color w:val="000000" w:themeColor="text1"/>
          <w:highlight w:val="none"/>
        </w:rPr>
        <w:t>3）企业利润：（直接工程费+间接费）×7%。</w:t>
      </w:r>
    </w:p>
    <w:p>
      <w:pPr>
        <w:rPr>
          <w:color w:val="000000" w:themeColor="text1"/>
          <w:highlight w:val="none"/>
        </w:rPr>
      </w:pPr>
      <w:r>
        <w:rPr>
          <w:color w:val="000000" w:themeColor="text1"/>
          <w:highlight w:val="none"/>
        </w:rPr>
        <w:t>4）税金：（直接工程费+间接费+企业利润）×9%。</w:t>
      </w:r>
    </w:p>
    <w:p>
      <w:pPr>
        <w:pStyle w:val="67"/>
        <w:rPr>
          <w:color w:val="000000" w:themeColor="text1"/>
          <w:highlight w:val="none"/>
        </w:rPr>
      </w:pPr>
      <w:r>
        <w:rPr>
          <w:rFonts w:hint="eastAsia"/>
          <w:color w:val="000000" w:themeColor="text1"/>
          <w:highlight w:val="none"/>
        </w:rPr>
        <w:t>表7-2  矿山地质环境保护与治理费率统计表</w:t>
      </w:r>
    </w:p>
    <w:tbl>
      <w:tblPr>
        <w:tblStyle w:val="31"/>
        <w:tblW w:w="9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16"/>
        <w:gridCol w:w="1488"/>
        <w:gridCol w:w="847"/>
        <w:gridCol w:w="1072"/>
        <w:gridCol w:w="791"/>
        <w:gridCol w:w="777"/>
        <w:gridCol w:w="777"/>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工程类别</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临时设施费（％）</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安全文明生产措施费（％）</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其他费（％）</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企业管理费（％）</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规费（％）</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利率（％）</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税率（％）</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扩大系数（％）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土方工程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6.6</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石方工程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11.1</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砌体工程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10.7</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混凝土工程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7.6</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2.4</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模版工程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9.7</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2.4</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钻孔灌浆及锚固工程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11.9</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2.9</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绿化工程</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8.8</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其他</w:t>
            </w:r>
          </w:p>
        </w:tc>
        <w:tc>
          <w:tcPr>
            <w:tcW w:w="121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2.1</w:t>
            </w:r>
          </w:p>
        </w:tc>
        <w:tc>
          <w:tcPr>
            <w:tcW w:w="148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2.0</w:t>
            </w:r>
          </w:p>
        </w:tc>
        <w:tc>
          <w:tcPr>
            <w:tcW w:w="84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w:t>
            </w:r>
          </w:p>
        </w:tc>
        <w:tc>
          <w:tcPr>
            <w:tcW w:w="107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8.8</w:t>
            </w:r>
          </w:p>
        </w:tc>
        <w:tc>
          <w:tcPr>
            <w:tcW w:w="79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777"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c>
          <w:tcPr>
            <w:tcW w:w="89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w:t>
            </w:r>
          </w:p>
        </w:tc>
      </w:tr>
    </w:tbl>
    <w:p>
      <w:pPr>
        <w:rPr>
          <w:color w:val="000000" w:themeColor="text1"/>
          <w:highlight w:val="none"/>
        </w:rPr>
      </w:pPr>
      <w:r>
        <w:rPr>
          <w:color w:val="000000" w:themeColor="text1"/>
          <w:highlight w:val="none"/>
        </w:rPr>
        <w:t>（2）临时设施费：包括按照规定拨付给施工企业的临时设施包干费，以及企业自行施工发生的临时设施实际支出。</w:t>
      </w:r>
    </w:p>
    <w:p>
      <w:pPr>
        <w:rPr>
          <w:color w:val="000000" w:themeColor="text1"/>
          <w:highlight w:val="none"/>
        </w:rPr>
      </w:pPr>
      <w:r>
        <w:rPr>
          <w:color w:val="000000" w:themeColor="text1"/>
          <w:highlight w:val="none"/>
        </w:rPr>
        <w:t>（3）监测费取费依据</w:t>
      </w:r>
    </w:p>
    <w:p>
      <w:pPr>
        <w:rPr>
          <w:color w:val="000000" w:themeColor="text1"/>
          <w:highlight w:val="none"/>
        </w:rPr>
      </w:pPr>
      <w:r>
        <w:rPr>
          <w:rFonts w:hint="eastAsia"/>
          <w:color w:val="000000" w:themeColor="text1"/>
          <w:highlight w:val="none"/>
        </w:rPr>
        <w:t>1）地质灾害监测</w:t>
      </w:r>
    </w:p>
    <w:p>
      <w:pPr>
        <w:rPr>
          <w:color w:val="000000" w:themeColor="text1"/>
          <w:highlight w:val="none"/>
        </w:rPr>
      </w:pPr>
      <w:r>
        <w:rPr>
          <w:rFonts w:hint="eastAsia"/>
          <w:color w:val="000000" w:themeColor="text1"/>
          <w:highlight w:val="none"/>
        </w:rPr>
        <w:t>根据监测工程实际情况，本方案主要采用人工监测巡视法，监测费按人工单价费×工程量计算得出。人工巡查单价设置为300元/次。</w:t>
      </w:r>
    </w:p>
    <w:p>
      <w:pPr>
        <w:rPr>
          <w:color w:val="000000" w:themeColor="text1"/>
          <w:highlight w:val="none"/>
        </w:rPr>
      </w:pPr>
      <w:r>
        <w:rPr>
          <w:rFonts w:hint="eastAsia"/>
          <w:color w:val="000000" w:themeColor="text1"/>
          <w:highlight w:val="none"/>
        </w:rPr>
        <w:t>2</w:t>
      </w:r>
      <w:r>
        <w:rPr>
          <w:color w:val="000000" w:themeColor="text1"/>
          <w:highlight w:val="none"/>
        </w:rPr>
        <w:t>）地下水水位监测</w:t>
      </w:r>
    </w:p>
    <w:p>
      <w:pPr>
        <w:rPr>
          <w:color w:val="000000" w:themeColor="text1"/>
          <w:highlight w:val="none"/>
        </w:rPr>
      </w:pPr>
      <w:r>
        <w:rPr>
          <w:rFonts w:hint="eastAsia"/>
          <w:color w:val="000000" w:themeColor="text1"/>
          <w:highlight w:val="none"/>
        </w:rPr>
        <w:t>根据监测工作实际情况，本监测项目主要由一个工长对对应含水层的地下水进行测量，测量工具简易，普通的标杆即可完成，读出两次水位差后即可完成监测工作。1点次为0.5个工作日。本工作区地下水水位监测每点次综合单价为300元/点。</w:t>
      </w:r>
    </w:p>
    <w:p>
      <w:pPr>
        <w:rPr>
          <w:color w:val="000000" w:themeColor="text1"/>
          <w:highlight w:val="none"/>
        </w:rPr>
      </w:pPr>
      <w:r>
        <w:rPr>
          <w:rFonts w:hint="eastAsia"/>
          <w:color w:val="000000" w:themeColor="text1"/>
          <w:highlight w:val="none"/>
        </w:rPr>
        <w:t>3</w:t>
      </w:r>
      <w:r>
        <w:rPr>
          <w:color w:val="000000" w:themeColor="text1"/>
          <w:highlight w:val="none"/>
        </w:rPr>
        <w:t>）地表水、地下水水质监测</w:t>
      </w:r>
    </w:p>
    <w:p>
      <w:pPr>
        <w:rPr>
          <w:color w:val="000000" w:themeColor="text1"/>
          <w:highlight w:val="none"/>
        </w:rPr>
      </w:pPr>
      <w:r>
        <w:rPr>
          <w:rFonts w:hint="eastAsia"/>
          <w:color w:val="000000" w:themeColor="text1"/>
          <w:highlight w:val="none"/>
        </w:rPr>
        <w:t>根据监测工作实际情况，本监测项目费用主要由采样和化验分析费两部分组成，因采样的技术要求，本项目区设置每点次由一个工长在0.5个工作日即可完成采样工作。水质监测需要送检专业部门检测，按2000元/次计算。</w:t>
      </w:r>
    </w:p>
    <w:p>
      <w:pPr>
        <w:rPr>
          <w:color w:val="000000" w:themeColor="text1"/>
          <w:highlight w:val="none"/>
        </w:rPr>
      </w:pPr>
      <w:r>
        <w:rPr>
          <w:rFonts w:hint="eastAsia"/>
          <w:color w:val="000000" w:themeColor="text1"/>
          <w:highlight w:val="none"/>
        </w:rPr>
        <w:t>4</w:t>
      </w:r>
      <w:r>
        <w:rPr>
          <w:color w:val="000000" w:themeColor="text1"/>
          <w:highlight w:val="none"/>
        </w:rPr>
        <w:t>）水土污染监测</w:t>
      </w:r>
    </w:p>
    <w:p>
      <w:pPr>
        <w:rPr>
          <w:color w:val="000000" w:themeColor="text1"/>
          <w:highlight w:val="none"/>
        </w:rPr>
      </w:pPr>
      <w:r>
        <w:rPr>
          <w:rFonts w:hint="eastAsia"/>
          <w:color w:val="000000" w:themeColor="text1"/>
          <w:highlight w:val="none"/>
        </w:rPr>
        <w:t>根据监测工作实际情况，本监测项目费用主要由采样和化验分析费两部分组成，因采样的技术要求，本项目区设置每点次由一个工长在0.5个工作日即可完成采样工作。水土污染监测需要送检专业部门检测，按1500元/次计算。</w:t>
      </w:r>
    </w:p>
    <w:p>
      <w:pPr>
        <w:pStyle w:val="67"/>
        <w:rPr>
          <w:color w:val="000000" w:themeColor="text1"/>
          <w:highlight w:val="none"/>
        </w:rPr>
      </w:pPr>
      <w:r>
        <w:rPr>
          <w:color w:val="000000" w:themeColor="text1"/>
          <w:highlight w:val="none"/>
        </w:rPr>
        <w:t>表7-</w:t>
      </w:r>
      <w:r>
        <w:rPr>
          <w:rFonts w:hint="eastAsia"/>
          <w:color w:val="000000" w:themeColor="text1"/>
          <w:highlight w:val="none"/>
        </w:rPr>
        <w:t>3</w:t>
      </w:r>
      <w:r>
        <w:rPr>
          <w:color w:val="000000" w:themeColor="text1"/>
          <w:highlight w:val="none"/>
        </w:rPr>
        <w:t xml:space="preserve">  地质灾害监测费用取费标准</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6"/>
        <w:gridCol w:w="2372"/>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szCs w:val="21"/>
                <w:highlight w:val="none"/>
              </w:rPr>
            </w:pPr>
            <w:bookmarkStart w:id="256" w:name="_Toc10569"/>
            <w:r>
              <w:rPr>
                <w:color w:val="000000" w:themeColor="text1"/>
                <w:highlight w:val="none"/>
              </w:rPr>
              <w:t>监测项目</w:t>
            </w:r>
            <w:bookmarkEnd w:id="256"/>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bookmarkStart w:id="257" w:name="_Toc20434"/>
            <w:r>
              <w:rPr>
                <w:color w:val="000000" w:themeColor="text1"/>
                <w:highlight w:val="none"/>
              </w:rPr>
              <w:t>单位</w:t>
            </w:r>
            <w:bookmarkEnd w:id="257"/>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取费额（元）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人工巡查</w:t>
            </w:r>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次</w:t>
            </w:r>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szCs w:val="21"/>
                <w:highlight w:val="none"/>
              </w:rPr>
            </w:pPr>
            <w:bookmarkStart w:id="258" w:name="_Toc9221"/>
            <w:r>
              <w:rPr>
                <w:color w:val="000000" w:themeColor="text1"/>
                <w:highlight w:val="none"/>
              </w:rPr>
              <w:t>地下水水位监测</w:t>
            </w:r>
            <w:bookmarkEnd w:id="258"/>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点·</w:t>
            </w:r>
            <w:r>
              <w:rPr>
                <w:rFonts w:ascii="宋体" w:hAnsi="宋体"/>
                <w:color w:val="000000" w:themeColor="text1"/>
                <w:highlight w:val="none"/>
              </w:rPr>
              <w:t>次</w:t>
            </w:r>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bookmarkStart w:id="259" w:name="_Toc12156"/>
            <w:r>
              <w:rPr>
                <w:color w:val="000000" w:themeColor="text1"/>
                <w:highlight w:val="none"/>
              </w:rPr>
              <w:t>300</w:t>
            </w:r>
            <w:bookmarkEnd w:id="2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szCs w:val="21"/>
                <w:highlight w:val="none"/>
              </w:rPr>
            </w:pPr>
            <w:bookmarkStart w:id="260" w:name="_Toc25341"/>
            <w:r>
              <w:rPr>
                <w:color w:val="000000" w:themeColor="text1"/>
                <w:highlight w:val="none"/>
              </w:rPr>
              <w:t>地下水水质监测</w:t>
            </w:r>
            <w:bookmarkEnd w:id="260"/>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点·</w:t>
            </w:r>
            <w:r>
              <w:rPr>
                <w:rFonts w:ascii="宋体" w:hAnsi="宋体"/>
                <w:color w:val="000000" w:themeColor="text1"/>
                <w:highlight w:val="none"/>
              </w:rPr>
              <w:t>次</w:t>
            </w:r>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bookmarkStart w:id="261" w:name="_Toc31697"/>
            <w:r>
              <w:rPr>
                <w:color w:val="000000" w:themeColor="text1"/>
                <w:highlight w:val="none"/>
              </w:rPr>
              <w:t>2000</w:t>
            </w:r>
            <w:bookmarkEnd w:id="2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szCs w:val="21"/>
                <w:highlight w:val="none"/>
              </w:rPr>
            </w:pPr>
            <w:bookmarkStart w:id="262" w:name="_Toc197"/>
            <w:r>
              <w:rPr>
                <w:color w:val="000000" w:themeColor="text1"/>
                <w:highlight w:val="none"/>
              </w:rPr>
              <w:t>地表水</w:t>
            </w:r>
            <w:bookmarkEnd w:id="262"/>
            <w:r>
              <w:rPr>
                <w:rFonts w:hint="eastAsia" w:ascii="宋体" w:hAnsi="宋体"/>
                <w:color w:val="000000" w:themeColor="text1"/>
                <w:highlight w:val="none"/>
              </w:rPr>
              <w:t>水质</w:t>
            </w:r>
            <w:r>
              <w:rPr>
                <w:color w:val="000000" w:themeColor="text1"/>
                <w:highlight w:val="none"/>
              </w:rPr>
              <w:t>监测</w:t>
            </w:r>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点·</w:t>
            </w:r>
            <w:r>
              <w:rPr>
                <w:rFonts w:ascii="宋体" w:hAnsi="宋体"/>
                <w:color w:val="000000" w:themeColor="text1"/>
                <w:highlight w:val="none"/>
              </w:rPr>
              <w:t>次</w:t>
            </w:r>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1"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szCs w:val="21"/>
                <w:highlight w:val="none"/>
              </w:rPr>
            </w:pPr>
            <w:r>
              <w:rPr>
                <w:rFonts w:hint="eastAsia"/>
                <w:color w:val="000000" w:themeColor="text1"/>
                <w:highlight w:val="none"/>
              </w:rPr>
              <w:t>土壤质量监测</w:t>
            </w:r>
          </w:p>
        </w:tc>
        <w:tc>
          <w:tcPr>
            <w:tcW w:w="1393"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点·</w:t>
            </w:r>
            <w:r>
              <w:rPr>
                <w:rFonts w:ascii="宋体" w:hAnsi="宋体"/>
                <w:color w:val="000000" w:themeColor="text1"/>
                <w:highlight w:val="none"/>
              </w:rPr>
              <w:t>次</w:t>
            </w:r>
          </w:p>
        </w:tc>
        <w:tc>
          <w:tcPr>
            <w:tcW w:w="1666" w:type="pct"/>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1500</w:t>
            </w:r>
          </w:p>
        </w:tc>
      </w:tr>
    </w:tbl>
    <w:p>
      <w:pPr>
        <w:rPr>
          <w:color w:val="000000" w:themeColor="text1"/>
          <w:highlight w:val="none"/>
        </w:rPr>
      </w:pPr>
      <w:r>
        <w:rPr>
          <w:color w:val="000000" w:themeColor="text1"/>
          <w:highlight w:val="none"/>
        </w:rPr>
        <w:t>（4）独立费</w:t>
      </w:r>
    </w:p>
    <w:p>
      <w:pPr>
        <w:rPr>
          <w:color w:val="000000" w:themeColor="text1"/>
          <w:highlight w:val="none"/>
        </w:rPr>
      </w:pPr>
      <w:r>
        <w:rPr>
          <w:color w:val="000000" w:themeColor="text1"/>
          <w:highlight w:val="none"/>
        </w:rPr>
        <w:t>独立费由建设管理费、科研勘察设计费、建设及施工场地征用费、环境保护及水土保持费和其它构成。</w:t>
      </w:r>
    </w:p>
    <w:p>
      <w:pPr>
        <w:rPr>
          <w:color w:val="000000" w:themeColor="text1"/>
          <w:highlight w:val="none"/>
        </w:rPr>
      </w:pPr>
      <w:r>
        <w:rPr>
          <w:color w:val="000000" w:themeColor="text1"/>
          <w:highlight w:val="none"/>
        </w:rPr>
        <w:t>1）建设管理费</w:t>
      </w:r>
    </w:p>
    <w:p>
      <w:pPr>
        <w:rPr>
          <w:color w:val="000000" w:themeColor="text1"/>
          <w:highlight w:val="none"/>
        </w:rPr>
      </w:pPr>
      <w:r>
        <w:rPr>
          <w:color w:val="000000" w:themeColor="text1"/>
          <w:highlight w:val="none"/>
        </w:rPr>
        <w:t>包括：项目建设管理费、造价咨询费、招标代理服务费、工程建设监理费等。</w:t>
      </w:r>
    </w:p>
    <w:p>
      <w:pPr>
        <w:rPr>
          <w:color w:val="000000" w:themeColor="text1"/>
          <w:highlight w:val="none"/>
        </w:rPr>
      </w:pPr>
      <w:r>
        <w:rPr>
          <w:rFonts w:hint="eastAsia"/>
          <w:color w:val="000000" w:themeColor="text1"/>
          <w:highlight w:val="none"/>
        </w:rPr>
        <w:t>①</w:t>
      </w:r>
      <w:r>
        <w:rPr>
          <w:color w:val="000000" w:themeColor="text1"/>
          <w:highlight w:val="none"/>
        </w:rPr>
        <w:t>项目建设管理费</w:t>
      </w:r>
    </w:p>
    <w:p>
      <w:pPr>
        <w:rPr>
          <w:color w:val="000000" w:themeColor="text1"/>
          <w:highlight w:val="none"/>
        </w:rPr>
      </w:pPr>
      <w:r>
        <w:rPr>
          <w:color w:val="000000" w:themeColor="text1"/>
          <w:highlight w:val="none"/>
        </w:rPr>
        <w:t>项目建设管理费包括建设单位管理费、工程验收费勘查、可行性研究、初步设计、施工图审查费。</w:t>
      </w:r>
    </w:p>
    <w:p>
      <w:pPr>
        <w:rPr>
          <w:color w:val="000000" w:themeColor="text1"/>
          <w:highlight w:val="none"/>
        </w:rPr>
      </w:pPr>
      <w:r>
        <w:rPr>
          <w:color w:val="000000" w:themeColor="text1"/>
          <w:highlight w:val="none"/>
        </w:rPr>
        <w:t>以建安费作为计费基数，采用差额定律累进法计算。</w:t>
      </w:r>
    </w:p>
    <w:p>
      <w:pPr>
        <w:rPr>
          <w:color w:val="000000" w:themeColor="text1"/>
          <w:highlight w:val="none"/>
        </w:rPr>
      </w:pPr>
      <w:r>
        <w:rPr>
          <w:rFonts w:hint="eastAsia"/>
          <w:color w:val="000000" w:themeColor="text1"/>
          <w:highlight w:val="none"/>
        </w:rPr>
        <w:t>②</w:t>
      </w:r>
      <w:r>
        <w:rPr>
          <w:color w:val="000000" w:themeColor="text1"/>
          <w:highlight w:val="none"/>
        </w:rPr>
        <w:t>造价咨询费</w:t>
      </w:r>
    </w:p>
    <w:p>
      <w:pPr>
        <w:rPr>
          <w:color w:val="000000" w:themeColor="text1"/>
          <w:highlight w:val="none"/>
        </w:rPr>
      </w:pPr>
      <w:r>
        <w:rPr>
          <w:color w:val="000000" w:themeColor="text1"/>
          <w:highlight w:val="none"/>
        </w:rPr>
        <w:t>以建安费作为计费基数，采用差额定律累进法计算。</w:t>
      </w:r>
    </w:p>
    <w:p>
      <w:pPr>
        <w:rPr>
          <w:color w:val="000000" w:themeColor="text1"/>
          <w:highlight w:val="none"/>
        </w:rPr>
      </w:pPr>
      <w:r>
        <w:rPr>
          <w:rFonts w:hint="eastAsia"/>
          <w:color w:val="000000" w:themeColor="text1"/>
          <w:highlight w:val="none"/>
        </w:rPr>
        <w:t>③</w:t>
      </w:r>
      <w:r>
        <w:rPr>
          <w:color w:val="000000" w:themeColor="text1"/>
          <w:highlight w:val="none"/>
        </w:rPr>
        <w:t>招标代理服务费</w:t>
      </w:r>
    </w:p>
    <w:p>
      <w:pPr>
        <w:rPr>
          <w:color w:val="000000" w:themeColor="text1"/>
          <w:highlight w:val="none"/>
        </w:rPr>
      </w:pPr>
      <w:r>
        <w:rPr>
          <w:color w:val="000000" w:themeColor="text1"/>
          <w:highlight w:val="none"/>
        </w:rPr>
        <w:t>以建安费作为计费基数，采用差额定律累进法计算。</w:t>
      </w:r>
    </w:p>
    <w:p>
      <w:pPr>
        <w:rPr>
          <w:color w:val="000000" w:themeColor="text1"/>
          <w:highlight w:val="none"/>
        </w:rPr>
      </w:pPr>
      <w:r>
        <w:rPr>
          <w:rFonts w:hint="eastAsia"/>
          <w:color w:val="000000" w:themeColor="text1"/>
          <w:highlight w:val="none"/>
        </w:rPr>
        <w:t>④</w:t>
      </w:r>
      <w:r>
        <w:rPr>
          <w:color w:val="000000" w:themeColor="text1"/>
          <w:highlight w:val="none"/>
        </w:rPr>
        <w:t>工程建设监理费</w:t>
      </w:r>
    </w:p>
    <w:p>
      <w:pPr>
        <w:rPr>
          <w:color w:val="000000" w:themeColor="text1"/>
          <w:highlight w:val="none"/>
        </w:rPr>
      </w:pPr>
      <w:r>
        <w:rPr>
          <w:color w:val="000000" w:themeColor="text1"/>
          <w:highlight w:val="none"/>
        </w:rPr>
        <w:t>以建安费作为计费基数，采用差额定律累进法计算。</w:t>
      </w:r>
    </w:p>
    <w:p>
      <w:pPr>
        <w:rPr>
          <w:color w:val="000000" w:themeColor="text1"/>
          <w:highlight w:val="none"/>
        </w:rPr>
      </w:pPr>
      <w:r>
        <w:rPr>
          <w:color w:val="000000" w:themeColor="text1"/>
          <w:highlight w:val="none"/>
        </w:rPr>
        <w:t>2）科研勘查设计费</w:t>
      </w:r>
    </w:p>
    <w:p>
      <w:pPr>
        <w:rPr>
          <w:color w:val="000000" w:themeColor="text1"/>
          <w:highlight w:val="none"/>
        </w:rPr>
      </w:pPr>
      <w:r>
        <w:rPr>
          <w:color w:val="000000" w:themeColor="text1"/>
          <w:highlight w:val="none"/>
        </w:rPr>
        <w:t>科研勘查设计费包括工程科学研究试验费和工程勘查设计费，以建安费作为计费基数，采用差额定律累进法计算。</w:t>
      </w:r>
    </w:p>
    <w:p>
      <w:pPr>
        <w:rPr>
          <w:color w:val="000000" w:themeColor="text1"/>
          <w:highlight w:val="none"/>
        </w:rPr>
      </w:pPr>
      <w:r>
        <w:rPr>
          <w:color w:val="000000" w:themeColor="text1"/>
          <w:highlight w:val="none"/>
        </w:rPr>
        <w:t>3）建设及施工场地征用费</w:t>
      </w:r>
    </w:p>
    <w:p>
      <w:pPr>
        <w:rPr>
          <w:color w:val="000000" w:themeColor="text1"/>
          <w:highlight w:val="none"/>
        </w:rPr>
      </w:pPr>
      <w:r>
        <w:rPr>
          <w:color w:val="000000" w:themeColor="text1"/>
          <w:highlight w:val="none"/>
        </w:rPr>
        <w:t>项目区在土地复垦责任范围内，不涉及施工场地征地费。</w:t>
      </w:r>
    </w:p>
    <w:p>
      <w:pPr>
        <w:rPr>
          <w:color w:val="000000" w:themeColor="text1"/>
          <w:highlight w:val="none"/>
        </w:rPr>
      </w:pPr>
      <w:r>
        <w:rPr>
          <w:color w:val="000000" w:themeColor="text1"/>
          <w:highlight w:val="none"/>
        </w:rPr>
        <w:t>4）环境保护及水土保持费</w:t>
      </w:r>
    </w:p>
    <w:p>
      <w:pPr>
        <w:rPr>
          <w:color w:val="000000" w:themeColor="text1"/>
          <w:highlight w:val="none"/>
        </w:rPr>
      </w:pPr>
      <w:r>
        <w:rPr>
          <w:color w:val="000000" w:themeColor="text1"/>
          <w:highlight w:val="none"/>
        </w:rPr>
        <w:t>环境保护及水土保持费=建安费合计×环境保护及水土保持费率，环境保护及水土保持费率取1%。</w:t>
      </w:r>
    </w:p>
    <w:p>
      <w:pPr>
        <w:rPr>
          <w:color w:val="000000" w:themeColor="text1"/>
          <w:highlight w:val="none"/>
        </w:rPr>
      </w:pPr>
      <w:r>
        <w:rPr>
          <w:color w:val="000000" w:themeColor="text1"/>
          <w:highlight w:val="none"/>
        </w:rPr>
        <w:t>5）其他费用</w:t>
      </w:r>
    </w:p>
    <w:p>
      <w:pPr>
        <w:rPr>
          <w:color w:val="000000" w:themeColor="text1"/>
          <w:highlight w:val="none"/>
        </w:rPr>
      </w:pPr>
      <w:r>
        <w:rPr>
          <w:color w:val="000000" w:themeColor="text1"/>
          <w:highlight w:val="none"/>
        </w:rPr>
        <w:t>其他费用包括工程保险费和工程质量检测费。</w:t>
      </w:r>
    </w:p>
    <w:p>
      <w:pPr>
        <w:rPr>
          <w:color w:val="000000" w:themeColor="text1"/>
          <w:highlight w:val="none"/>
        </w:rPr>
      </w:pPr>
      <w:r>
        <w:rPr>
          <w:color w:val="000000" w:themeColor="text1"/>
          <w:highlight w:val="none"/>
        </w:rPr>
        <w:t>工程保险费=建安费合计×工程保险费费率，工程保险费费率取0.45%。</w:t>
      </w:r>
    </w:p>
    <w:p>
      <w:pPr>
        <w:rPr>
          <w:b/>
          <w:bCs/>
          <w:color w:val="000000" w:themeColor="text1"/>
          <w:sz w:val="28"/>
          <w:szCs w:val="28"/>
          <w:highlight w:val="none"/>
        </w:rPr>
      </w:pPr>
      <w:r>
        <w:rPr>
          <w:color w:val="000000" w:themeColor="text1"/>
          <w:highlight w:val="none"/>
        </w:rPr>
        <w:t>工程质量检测费=建安费合计×工程质量检测费费率，工程质量检测费费率取0.08%。</w:t>
      </w:r>
    </w:p>
    <w:p>
      <w:pPr>
        <w:pStyle w:val="5"/>
        <w:spacing w:before="82" w:after="82"/>
        <w:rPr>
          <w:color w:val="000000" w:themeColor="text1"/>
          <w:szCs w:val="24"/>
          <w:highlight w:val="none"/>
        </w:rPr>
      </w:pPr>
      <w:bookmarkStart w:id="263" w:name="_Toc19859"/>
      <w:r>
        <w:rPr>
          <w:rFonts w:hint="eastAsia"/>
          <w:color w:val="000000" w:themeColor="text1"/>
          <w:highlight w:val="none"/>
        </w:rPr>
        <w:t>7.1</w:t>
      </w:r>
      <w:r>
        <w:rPr>
          <w:color w:val="000000" w:themeColor="text1"/>
          <w:highlight w:val="none"/>
        </w:rPr>
        <w:t>.2土地复垦费用估算依据</w:t>
      </w:r>
      <w:bookmarkEnd w:id="263"/>
    </w:p>
    <w:p>
      <w:pPr>
        <w:rPr>
          <w:color w:val="000000" w:themeColor="text1"/>
          <w:highlight w:val="none"/>
        </w:rPr>
      </w:pPr>
      <w:r>
        <w:rPr>
          <w:color w:val="000000" w:themeColor="text1"/>
          <w:highlight w:val="none"/>
        </w:rPr>
        <w:t>1、编制依据</w:t>
      </w:r>
    </w:p>
    <w:p>
      <w:pPr>
        <w:rPr>
          <w:color w:val="000000" w:themeColor="text1"/>
          <w:highlight w:val="none"/>
        </w:rPr>
      </w:pPr>
      <w:r>
        <w:rPr>
          <w:color w:val="000000" w:themeColor="text1"/>
          <w:highlight w:val="none"/>
        </w:rPr>
        <w:t>（1）《土地开发整理项目资金管理暂行办法》；</w:t>
      </w:r>
    </w:p>
    <w:p>
      <w:pPr>
        <w:rPr>
          <w:color w:val="000000" w:themeColor="text1"/>
          <w:highlight w:val="none"/>
        </w:rPr>
      </w:pPr>
      <w:r>
        <w:rPr>
          <w:color w:val="000000" w:themeColor="text1"/>
          <w:highlight w:val="none"/>
        </w:rPr>
        <w:t>（2）《土地开发整理项目规划设计规范》（TD/T1012.2000）；</w:t>
      </w:r>
    </w:p>
    <w:p>
      <w:pPr>
        <w:rPr>
          <w:color w:val="000000" w:themeColor="text1"/>
          <w:highlight w:val="none"/>
        </w:rPr>
      </w:pPr>
      <w:r>
        <w:rPr>
          <w:color w:val="000000" w:themeColor="text1"/>
          <w:highlight w:val="none"/>
        </w:rPr>
        <w:t>（3）《土地开发整理项目预算编制暂行办法》；</w:t>
      </w:r>
    </w:p>
    <w:p>
      <w:pPr>
        <w:rPr>
          <w:color w:val="000000" w:themeColor="text1"/>
          <w:highlight w:val="none"/>
        </w:rPr>
      </w:pPr>
      <w:r>
        <w:rPr>
          <w:color w:val="000000" w:themeColor="text1"/>
          <w:highlight w:val="none"/>
        </w:rPr>
        <w:t>（4）《四川省土地开发整理项目预算定额标准》（2012）；</w:t>
      </w:r>
    </w:p>
    <w:p>
      <w:pPr>
        <w:rPr>
          <w:color w:val="000000" w:themeColor="text1"/>
          <w:highlight w:val="none"/>
        </w:rPr>
      </w:pPr>
      <w:r>
        <w:rPr>
          <w:color w:val="000000" w:themeColor="text1"/>
          <w:highlight w:val="none"/>
        </w:rPr>
        <w:t>（5）《水土保持工程概算定额》；</w:t>
      </w:r>
    </w:p>
    <w:p>
      <w:pPr>
        <w:rPr>
          <w:color w:val="000000" w:themeColor="text1"/>
          <w:highlight w:val="none"/>
        </w:rPr>
      </w:pPr>
      <w:r>
        <w:rPr>
          <w:color w:val="000000" w:themeColor="text1"/>
          <w:highlight w:val="none"/>
        </w:rPr>
        <w:t>（6）四川省财政厅、国土资源厅关于印发《四川省土地开发整理预算定额标准》的通知（川[2012]139号）；</w:t>
      </w:r>
    </w:p>
    <w:p>
      <w:pPr>
        <w:rPr>
          <w:color w:val="000000" w:themeColor="text1"/>
          <w:highlight w:val="none"/>
        </w:rPr>
      </w:pPr>
      <w:r>
        <w:rPr>
          <w:color w:val="000000" w:themeColor="text1"/>
          <w:highlight w:val="none"/>
        </w:rPr>
        <w:t>（7）土地复垦方案编制实务；</w:t>
      </w:r>
    </w:p>
    <w:p>
      <w:pPr>
        <w:rPr>
          <w:color w:val="000000" w:themeColor="text1"/>
          <w:highlight w:val="none"/>
        </w:rPr>
      </w:pPr>
      <w:r>
        <w:rPr>
          <w:color w:val="000000" w:themeColor="text1"/>
          <w:highlight w:val="none"/>
        </w:rPr>
        <w:t>（8）四川省国土资源厅、财政厅关于营业税改增值税四川省土地开发整理项目预算定额计价规则调整办法通知（川国土资发</w:t>
      </w:r>
      <w:r>
        <w:rPr>
          <w:rFonts w:hint="eastAsia"/>
          <w:color w:val="000000" w:themeColor="text1"/>
          <w:highlight w:val="none"/>
        </w:rPr>
        <w:t>〔</w:t>
      </w:r>
      <w:r>
        <w:rPr>
          <w:color w:val="000000" w:themeColor="text1"/>
          <w:highlight w:val="none"/>
        </w:rPr>
        <w:t>2017</w:t>
      </w:r>
      <w:r>
        <w:rPr>
          <w:rFonts w:hint="eastAsia"/>
          <w:color w:val="000000" w:themeColor="text1"/>
          <w:highlight w:val="none"/>
        </w:rPr>
        <w:t>〕</w:t>
      </w:r>
      <w:r>
        <w:rPr>
          <w:color w:val="000000" w:themeColor="text1"/>
          <w:highlight w:val="none"/>
        </w:rPr>
        <w:t>42号）；</w:t>
      </w:r>
    </w:p>
    <w:p>
      <w:pPr>
        <w:rPr>
          <w:color w:val="000000" w:themeColor="text1"/>
          <w:highlight w:val="none"/>
        </w:rPr>
      </w:pPr>
      <w:r>
        <w:rPr>
          <w:color w:val="000000" w:themeColor="text1"/>
          <w:highlight w:val="none"/>
        </w:rPr>
        <w:t>（9）《四川造价信息网》（四川省建设工程造价管理总站，202</w:t>
      </w:r>
      <w:r>
        <w:rPr>
          <w:rFonts w:hint="eastAsia"/>
          <w:color w:val="000000" w:themeColor="text1"/>
          <w:highlight w:val="none"/>
          <w:lang w:val="en-US" w:eastAsia="zh-CN"/>
        </w:rPr>
        <w:t>2.</w:t>
      </w:r>
      <w:r>
        <w:rPr>
          <w:color w:val="000000" w:themeColor="text1"/>
          <w:highlight w:val="none"/>
        </w:rPr>
        <w:t>0</w:t>
      </w:r>
      <w:r>
        <w:rPr>
          <w:rFonts w:hint="eastAsia"/>
          <w:color w:val="000000" w:themeColor="text1"/>
          <w:highlight w:val="none"/>
          <w:lang w:val="en-US" w:eastAsia="zh-CN"/>
        </w:rPr>
        <w:t>9</w:t>
      </w:r>
      <w:r>
        <w:rPr>
          <w:color w:val="000000" w:themeColor="text1"/>
          <w:highlight w:val="none"/>
        </w:rPr>
        <w:t>）；人工单价、部分材料价格通过当地市场调查获得。</w:t>
      </w:r>
    </w:p>
    <w:p>
      <w:pPr>
        <w:rPr>
          <w:color w:val="000000" w:themeColor="text1"/>
          <w:highlight w:val="none"/>
        </w:rPr>
      </w:pPr>
      <w:r>
        <w:rPr>
          <w:color w:val="000000" w:themeColor="text1"/>
          <w:highlight w:val="none"/>
        </w:rPr>
        <w:t>2、费用构成</w:t>
      </w:r>
    </w:p>
    <w:p>
      <w:pPr>
        <w:rPr>
          <w:color w:val="000000" w:themeColor="text1"/>
          <w:highlight w:val="none"/>
        </w:rPr>
      </w:pPr>
      <w:r>
        <w:rPr>
          <w:color w:val="000000" w:themeColor="text1"/>
          <w:highlight w:val="none"/>
        </w:rPr>
        <w:t>根据本项目非公益性土地复垦工程特点，参考《土地开发整理项目预算编制暂行办法》和《四川省土地开发整理项目预算定额标准》（川财投〔2012〕139号），项目预算由工程施工费、设备购置费、其他费用、监测与管护费、不可预见费组成。</w:t>
      </w:r>
    </w:p>
    <w:p>
      <w:pPr>
        <w:rPr>
          <w:color w:val="000000" w:themeColor="text1"/>
          <w:highlight w:val="none"/>
        </w:rPr>
      </w:pPr>
      <w:r>
        <w:rPr>
          <w:color w:val="000000" w:themeColor="text1"/>
          <w:highlight w:val="none"/>
        </w:rPr>
        <w:t>（1）工程施工费</w:t>
      </w:r>
    </w:p>
    <w:p>
      <w:pPr>
        <w:rPr>
          <w:color w:val="000000" w:themeColor="text1"/>
          <w:highlight w:val="none"/>
        </w:rPr>
      </w:pPr>
      <w:r>
        <w:rPr>
          <w:color w:val="000000" w:themeColor="text1"/>
          <w:highlight w:val="none"/>
        </w:rPr>
        <w:t>工程施工费由直接费、间接费、利润和税金组成。</w:t>
      </w:r>
    </w:p>
    <w:p>
      <w:pPr>
        <w:rPr>
          <w:color w:val="000000" w:themeColor="text1"/>
          <w:highlight w:val="none"/>
        </w:rPr>
      </w:pPr>
      <w:r>
        <w:rPr>
          <w:color w:val="000000" w:themeColor="text1"/>
          <w:highlight w:val="none"/>
        </w:rPr>
        <w:t>1）直接费</w:t>
      </w:r>
    </w:p>
    <w:p>
      <w:pPr>
        <w:rPr>
          <w:color w:val="000000" w:themeColor="text1"/>
          <w:highlight w:val="none"/>
        </w:rPr>
      </w:pPr>
      <w:r>
        <w:rPr>
          <w:color w:val="000000" w:themeColor="text1"/>
          <w:highlight w:val="none"/>
        </w:rPr>
        <w:t>直接费由直接工程费和措施费组成，费用皆按《四川省土地开发整理项目预算定额标准》（川财投〔2012〕139号）计取。</w:t>
      </w:r>
    </w:p>
    <w:p>
      <w:pPr>
        <w:rPr>
          <w:color w:val="000000" w:themeColor="text1"/>
          <w:highlight w:val="none"/>
        </w:rPr>
      </w:pPr>
      <w:r>
        <w:rPr>
          <w:rFonts w:hint="eastAsia"/>
          <w:color w:val="000000" w:themeColor="text1"/>
          <w:highlight w:val="none"/>
        </w:rPr>
        <w:t>①</w:t>
      </w:r>
      <w:r>
        <w:rPr>
          <w:color w:val="000000" w:themeColor="text1"/>
          <w:highlight w:val="none"/>
        </w:rPr>
        <w:t>直接工程费</w:t>
      </w:r>
    </w:p>
    <w:p>
      <w:pPr>
        <w:rPr>
          <w:color w:val="000000" w:themeColor="text1"/>
          <w:highlight w:val="none"/>
        </w:rPr>
      </w:pPr>
      <w:r>
        <w:rPr>
          <w:color w:val="000000" w:themeColor="text1"/>
          <w:highlight w:val="none"/>
        </w:rPr>
        <w:t>直接工程费由人工费、材料费、施工机械使用费组成。</w:t>
      </w:r>
    </w:p>
    <w:p>
      <w:pPr>
        <w:rPr>
          <w:color w:val="000000" w:themeColor="text1"/>
          <w:highlight w:val="none"/>
        </w:rPr>
      </w:pPr>
      <w:r>
        <w:rPr>
          <w:color w:val="000000" w:themeColor="text1"/>
          <w:highlight w:val="none"/>
        </w:rPr>
        <w:t>人工费中人工单价根据《四川省土地开发整理项目预算定额》计算。项目所在地</w:t>
      </w:r>
      <w:r>
        <w:rPr>
          <w:rFonts w:hint="eastAsia"/>
          <w:color w:val="000000" w:themeColor="text1"/>
          <w:highlight w:val="none"/>
        </w:rPr>
        <w:t>广元市旺苍县</w:t>
      </w:r>
      <w:r>
        <w:rPr>
          <w:color w:val="000000" w:themeColor="text1"/>
          <w:highlight w:val="none"/>
        </w:rPr>
        <w:t>不属于艰苦偏远地区，该区海拔2000米以下，经计算甲类工/乙类工分别为50.73元/工日和40.70元/工日。</w:t>
      </w:r>
    </w:p>
    <w:p>
      <w:pPr>
        <w:pStyle w:val="67"/>
        <w:rPr>
          <w:color w:val="000000" w:themeColor="text1"/>
          <w:highlight w:val="none"/>
        </w:rPr>
      </w:pPr>
      <w:r>
        <w:rPr>
          <w:rFonts w:hint="eastAsia"/>
          <w:color w:val="000000" w:themeColor="text1"/>
          <w:highlight w:val="none"/>
        </w:rPr>
        <w:t>表7-4  土地复垦人工预算单价计算表</w:t>
      </w:r>
    </w:p>
    <w:tbl>
      <w:tblPr>
        <w:tblStyle w:val="3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984"/>
        <w:gridCol w:w="453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地区类别</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六类工资区及以下</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甲类工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序号</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r>
              <w:rPr>
                <w:rFonts w:hint="eastAsia"/>
                <w:color w:val="000000" w:themeColor="text1"/>
                <w:highlight w:val="none"/>
              </w:rPr>
              <w:t>（</w:t>
            </w:r>
            <w:r>
              <w:rPr>
                <w:rFonts w:ascii="宋体" w:hAnsi="宋体"/>
                <w:color w:val="000000" w:themeColor="text1"/>
                <w:highlight w:val="none"/>
              </w:rPr>
              <w:t>元</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基本工资标准</w:t>
            </w:r>
            <w:r>
              <w:rPr>
                <w:color w:val="000000" w:themeColor="text1"/>
                <w:highlight w:val="none"/>
              </w:rPr>
              <w:t>*</w:t>
            </w:r>
            <w:r>
              <w:rPr>
                <w:rFonts w:ascii="宋体" w:hAnsi="宋体"/>
                <w:color w:val="000000" w:themeColor="text1"/>
                <w:highlight w:val="none"/>
              </w:rPr>
              <w:t>地区工资系数</w:t>
            </w:r>
            <w:r>
              <w:rPr>
                <w:color w:val="000000" w:themeColor="text1"/>
                <w:highlight w:val="none"/>
              </w:rPr>
              <w:t>*12/(250-10)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=地区津贴+施工津贴+夜餐津贴+节日加班津贴</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8.105</w:t>
            </w:r>
            <w:r>
              <w:rPr>
                <w:color w:val="000000" w:themeColor="text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地区津贴标准</w:t>
            </w:r>
            <w:r>
              <w:rPr>
                <w:color w:val="000000" w:themeColor="text1"/>
                <w:highlight w:val="none"/>
              </w:rPr>
              <w:t>×12÷(250-10)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施工津贴标准</w:t>
            </w:r>
            <w:r>
              <w:rPr>
                <w:color w:val="000000" w:themeColor="text1"/>
                <w:highlight w:val="none"/>
              </w:rPr>
              <w:t>×365×</w:t>
            </w:r>
            <w:r>
              <w:rPr>
                <w:rFonts w:ascii="宋体" w:hAnsi="宋体"/>
                <w:color w:val="000000" w:themeColor="text1"/>
                <w:highlight w:val="none"/>
              </w:rPr>
              <w:t>辅助工资系数</w:t>
            </w:r>
            <w:r>
              <w:rPr>
                <w:color w:val="000000" w:themeColor="text1"/>
                <w:highlight w:val="none"/>
              </w:rPr>
              <w:t>K1÷(250-10)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=(4.5+3.5)÷2×</w:t>
            </w:r>
            <w:r>
              <w:rPr>
                <w:rFonts w:ascii="宋体" w:hAnsi="宋体"/>
                <w:color w:val="000000" w:themeColor="text1"/>
                <w:highlight w:val="none"/>
              </w:rPr>
              <w:t>辅助工资系数</w:t>
            </w:r>
            <w:r>
              <w:rPr>
                <w:color w:val="000000" w:themeColor="text1"/>
                <w:highlight w:val="none"/>
              </w:rPr>
              <w:t>K2</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基本工资</w:t>
            </w:r>
            <w:r>
              <w:rPr>
                <w:color w:val="000000" w:themeColor="text1"/>
                <w:highlight w:val="none"/>
              </w:rPr>
              <w:t>*3*11/250*</w:t>
            </w:r>
            <w:r>
              <w:rPr>
                <w:rFonts w:ascii="宋体" w:hAnsi="宋体"/>
                <w:color w:val="000000" w:themeColor="text1"/>
                <w:highlight w:val="none"/>
              </w:rPr>
              <w:t>辅助工资系数</w:t>
            </w:r>
            <w:r>
              <w:rPr>
                <w:color w:val="000000" w:themeColor="text1"/>
                <w:highlight w:val="none"/>
              </w:rPr>
              <w:t>K3</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=职工福利基金+工会经费+养老保险费+医疗保险费+工伤保险费+职工失业保险基金+住房公积金</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职工福利基金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×福利基金费率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×工会经费率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养老保险费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×养老保险费率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医疗保险费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×医疗保险费率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工伤保险费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×工伤保险费率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职工失业保险基金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×失业保险费率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住房公积金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×住房公积金费率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=基本工资+辅助工资+工资附加费</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地区类别</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六类工资区及以下</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定额人工等级</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乙类工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序号</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项目</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计算式</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单价</w:t>
            </w:r>
            <w:r>
              <w:rPr>
                <w:rFonts w:hint="eastAsia"/>
                <w:color w:val="000000" w:themeColor="text1"/>
                <w:highlight w:val="none"/>
              </w:rPr>
              <w:t>（</w:t>
            </w:r>
            <w:r>
              <w:rPr>
                <w:rFonts w:ascii="宋体" w:hAnsi="宋体"/>
                <w:color w:val="000000" w:themeColor="text1"/>
                <w:highlight w:val="none"/>
              </w:rPr>
              <w:t>元</w:t>
            </w:r>
            <w:r>
              <w:rPr>
                <w:rFonts w:hint="eastAsia"/>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基本工资标准</w:t>
            </w:r>
            <w:r>
              <w:rPr>
                <w:color w:val="000000" w:themeColor="text1"/>
                <w:highlight w:val="none"/>
              </w:rPr>
              <w:t>*</w:t>
            </w:r>
            <w:r>
              <w:rPr>
                <w:rFonts w:ascii="宋体" w:hAnsi="宋体"/>
                <w:color w:val="000000" w:themeColor="text1"/>
                <w:highlight w:val="none"/>
              </w:rPr>
              <w:t>地区工资系数</w:t>
            </w:r>
            <w:r>
              <w:rPr>
                <w:color w:val="000000" w:themeColor="text1"/>
                <w:highlight w:val="none"/>
              </w:rPr>
              <w:t>*12/(250-10)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辅助工资</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=地区津贴+施工津贴+夜餐津贴+节日加班津贴</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地区津贴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地区津贴标准</w:t>
            </w:r>
            <w:r>
              <w:rPr>
                <w:color w:val="000000" w:themeColor="text1"/>
                <w:highlight w:val="none"/>
              </w:rPr>
              <w:t>×12÷(250-10)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施工津贴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施工津贴标准</w:t>
            </w:r>
            <w:r>
              <w:rPr>
                <w:color w:val="000000" w:themeColor="text1"/>
                <w:highlight w:val="none"/>
              </w:rPr>
              <w:t>×365×</w:t>
            </w:r>
            <w:r>
              <w:rPr>
                <w:rFonts w:ascii="宋体" w:hAnsi="宋体"/>
                <w:color w:val="000000" w:themeColor="text1"/>
                <w:highlight w:val="none"/>
              </w:rPr>
              <w:t>辅助工资系数</w:t>
            </w:r>
            <w:r>
              <w:rPr>
                <w:color w:val="000000" w:themeColor="text1"/>
                <w:highlight w:val="none"/>
              </w:rPr>
              <w:t>K1÷(250-10)</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夜餐津贴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=(4.5+3.5)÷2×</w:t>
            </w:r>
            <w:r>
              <w:rPr>
                <w:rFonts w:ascii="宋体" w:hAnsi="宋体"/>
                <w:color w:val="000000" w:themeColor="text1"/>
                <w:highlight w:val="none"/>
              </w:rPr>
              <w:t>辅助工资系数</w:t>
            </w:r>
            <w:r>
              <w:rPr>
                <w:color w:val="000000" w:themeColor="text1"/>
                <w:highlight w:val="none"/>
              </w:rPr>
              <w:t>K2</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节日加班津贴</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ascii="宋体" w:hAnsi="宋体"/>
                <w:color w:val="000000" w:themeColor="text1"/>
                <w:highlight w:val="none"/>
              </w:rPr>
              <w:t>基本工资</w:t>
            </w:r>
            <w:r>
              <w:rPr>
                <w:color w:val="000000" w:themeColor="text1"/>
                <w:highlight w:val="none"/>
              </w:rPr>
              <w:t>*</w:t>
            </w:r>
            <w:r>
              <w:rPr>
                <w:rFonts w:ascii="宋体" w:hAnsi="宋体"/>
                <w:color w:val="000000" w:themeColor="text1"/>
                <w:highlight w:val="none"/>
              </w:rPr>
              <w:t>（</w:t>
            </w:r>
            <w:r>
              <w:rPr>
                <w:color w:val="000000" w:themeColor="text1"/>
                <w:highlight w:val="none"/>
              </w:rPr>
              <w:t>3-1</w:t>
            </w:r>
            <w:r>
              <w:rPr>
                <w:rFonts w:ascii="宋体" w:hAnsi="宋体"/>
                <w:color w:val="000000" w:themeColor="text1"/>
                <w:highlight w:val="none"/>
              </w:rPr>
              <w:t>）</w:t>
            </w:r>
            <w:r>
              <w:rPr>
                <w:color w:val="000000" w:themeColor="text1"/>
                <w:highlight w:val="none"/>
              </w:rPr>
              <w:t>*11/250*</w:t>
            </w:r>
            <w:r>
              <w:rPr>
                <w:rFonts w:ascii="宋体" w:hAnsi="宋体"/>
                <w:color w:val="000000" w:themeColor="text1"/>
                <w:highlight w:val="none"/>
              </w:rPr>
              <w:t>辅助工资系数</w:t>
            </w:r>
            <w:r>
              <w:rPr>
                <w:color w:val="000000" w:themeColor="text1"/>
                <w:highlight w:val="none"/>
              </w:rPr>
              <w:t>K3</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工资附加费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=职工福利基金+工会经费+养老保险费+医疗保险费+工伤保险费+职工失业保险基金+住房公积金</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职工福利基金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×福利基金费率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工会经费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×工会经费率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养老保险费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×养老保险费率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医疗保险费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×医疗保险费率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(5)</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工伤保险费</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×工伤保险费率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职工失业保险基金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×失业保险费率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住房公积金</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w:t>
            </w:r>
            <w:r>
              <w:rPr>
                <w:rFonts w:hint="eastAsia"/>
                <w:color w:val="000000" w:themeColor="text1"/>
                <w:highlight w:val="none"/>
              </w:rPr>
              <w:t>（</w:t>
            </w:r>
            <w:r>
              <w:rPr>
                <w:color w:val="000000" w:themeColor="text1"/>
                <w:highlight w:val="none"/>
              </w:rPr>
              <w:t>基本工资+辅助工资</w:t>
            </w:r>
            <w:r>
              <w:rPr>
                <w:rFonts w:hint="eastAsia"/>
                <w:color w:val="000000" w:themeColor="text1"/>
                <w:highlight w:val="none"/>
              </w:rPr>
              <w:t>）</w:t>
            </w:r>
            <w:r>
              <w:rPr>
                <w:color w:val="000000" w:themeColor="text1"/>
                <w:highlight w:val="none"/>
              </w:rPr>
              <w:t>×住房公积金费率</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2"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人工工日预算单价</w:t>
            </w:r>
          </w:p>
        </w:tc>
        <w:tc>
          <w:tcPr>
            <w:tcW w:w="4536"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=基本工资+辅助工资+工资附加费</w:t>
            </w:r>
          </w:p>
        </w:tc>
        <w:tc>
          <w:tcPr>
            <w:tcW w:w="10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40.70</w:t>
            </w:r>
          </w:p>
        </w:tc>
      </w:tr>
    </w:tbl>
    <w:p>
      <w:pPr>
        <w:rPr>
          <w:color w:val="000000" w:themeColor="text1"/>
          <w:highlight w:val="none"/>
        </w:rPr>
      </w:pPr>
      <w:r>
        <w:rPr>
          <w:color w:val="000000" w:themeColor="text1"/>
          <w:highlight w:val="none"/>
        </w:rPr>
        <w:t>在材料费定额的计算中，材料消耗量参照预算定额，材料价格主要参考《四川工程造价信息》（四川省建设工程造价管理总站，202</w:t>
      </w:r>
      <w:r>
        <w:rPr>
          <w:rFonts w:hint="eastAsia"/>
          <w:color w:val="000000" w:themeColor="text1"/>
          <w:highlight w:val="none"/>
          <w:lang w:val="en-US" w:eastAsia="zh-CN"/>
        </w:rPr>
        <w:t>2.09</w:t>
      </w:r>
      <w:r>
        <w:rPr>
          <w:color w:val="000000" w:themeColor="text1"/>
          <w:highlight w:val="none"/>
        </w:rPr>
        <w:t>）。</w:t>
      </w:r>
    </w:p>
    <w:p>
      <w:pPr>
        <w:rPr>
          <w:color w:val="000000" w:themeColor="text1"/>
          <w:highlight w:val="none"/>
        </w:rPr>
      </w:pPr>
      <w:r>
        <w:rPr>
          <w:color w:val="000000" w:themeColor="text1"/>
          <w:highlight w:val="none"/>
        </w:rPr>
        <w:t>在施工机械使用费定额的计算中，台班费分别依据《土地开发整理项目施工机械台班费定额》。</w:t>
      </w:r>
    </w:p>
    <w:p>
      <w:pPr>
        <w:rPr>
          <w:color w:val="000000" w:themeColor="text1"/>
          <w:highlight w:val="none"/>
        </w:rPr>
      </w:pPr>
      <w:r>
        <w:rPr>
          <w:rFonts w:hint="eastAsia"/>
          <w:color w:val="000000" w:themeColor="text1"/>
          <w:highlight w:val="none"/>
        </w:rPr>
        <w:t>②</w:t>
      </w:r>
      <w:r>
        <w:rPr>
          <w:color w:val="000000" w:themeColor="text1"/>
          <w:highlight w:val="none"/>
        </w:rPr>
        <w:t>措施费</w:t>
      </w:r>
    </w:p>
    <w:p>
      <w:pPr>
        <w:rPr>
          <w:color w:val="000000" w:themeColor="text1"/>
          <w:highlight w:val="none"/>
        </w:rPr>
      </w:pPr>
      <w:r>
        <w:rPr>
          <w:color w:val="000000" w:themeColor="text1"/>
          <w:highlight w:val="none"/>
        </w:rPr>
        <w:t>措施费=直接工程费（或人工费）×措施费率</w:t>
      </w:r>
    </w:p>
    <w:p>
      <w:pPr>
        <w:rPr>
          <w:color w:val="000000" w:themeColor="text1"/>
          <w:highlight w:val="none"/>
        </w:rPr>
      </w:pPr>
      <w:r>
        <w:rPr>
          <w:color w:val="000000" w:themeColor="text1"/>
          <w:highlight w:val="none"/>
        </w:rPr>
        <w:t>措施费包括临时设施费、冬雨季施工增加费、夜间施工增加费、施工辅助费和特殊地区施工增加费。</w:t>
      </w:r>
    </w:p>
    <w:p>
      <w:pPr>
        <w:rPr>
          <w:color w:val="000000" w:themeColor="text1"/>
          <w:highlight w:val="none"/>
        </w:rPr>
      </w:pPr>
      <w:r>
        <w:rPr>
          <w:color w:val="000000" w:themeColor="text1"/>
          <w:highlight w:val="none"/>
        </w:rPr>
        <w:t>根据不同工程性质，临时设施费费率下表。</w:t>
      </w:r>
    </w:p>
    <w:p>
      <w:pPr>
        <w:pStyle w:val="67"/>
        <w:rPr>
          <w:color w:val="000000" w:themeColor="text1"/>
          <w:highlight w:val="none"/>
        </w:rPr>
      </w:pPr>
      <w:r>
        <w:rPr>
          <w:rFonts w:hint="eastAsia"/>
          <w:color w:val="000000" w:themeColor="text1"/>
          <w:highlight w:val="none"/>
        </w:rPr>
        <w:t>表7-5  土地复垦临时设施费费率表</w:t>
      </w:r>
    </w:p>
    <w:tbl>
      <w:tblPr>
        <w:tblStyle w:val="31"/>
        <w:tblW w:w="8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2938"/>
        <w:gridCol w:w="2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工程类别</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计算基础</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临时设施费（％）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土方工程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石方工程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砌体工程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混凝土工程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农用井工程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其他工程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直接工程费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1"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安装工程</w:t>
            </w:r>
          </w:p>
        </w:tc>
        <w:tc>
          <w:tcPr>
            <w:tcW w:w="2938"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人工费</w:t>
            </w:r>
          </w:p>
        </w:tc>
        <w:tc>
          <w:tcPr>
            <w:tcW w:w="288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r>
    </w:tbl>
    <w:p>
      <w:pPr>
        <w:rPr>
          <w:color w:val="000000" w:themeColor="text1"/>
          <w:highlight w:val="none"/>
        </w:rPr>
      </w:pPr>
      <w:r>
        <w:rPr>
          <w:color w:val="000000" w:themeColor="text1"/>
          <w:highlight w:val="none"/>
        </w:rPr>
        <w:t>雨季施工增加费的计算方法是根据不同地区，按直接工程费的百分率计算，费率取0.7％。</w:t>
      </w:r>
    </w:p>
    <w:p>
      <w:pPr>
        <w:rPr>
          <w:color w:val="000000" w:themeColor="text1"/>
          <w:highlight w:val="none"/>
        </w:rPr>
      </w:pPr>
      <w:r>
        <w:rPr>
          <w:color w:val="000000" w:themeColor="text1"/>
          <w:highlight w:val="none"/>
        </w:rPr>
        <w:t>施工辅助按直接工程费的百分率计算，其中安装工程为1％，建筑工程为0.7％。</w:t>
      </w:r>
    </w:p>
    <w:p>
      <w:pPr>
        <w:rPr>
          <w:color w:val="000000" w:themeColor="text1"/>
          <w:highlight w:val="none"/>
        </w:rPr>
      </w:pPr>
      <w:r>
        <w:rPr>
          <w:color w:val="000000" w:themeColor="text1"/>
          <w:highlight w:val="none"/>
        </w:rPr>
        <w:t>2）间接费。根据《关于营业税改增值税后四川省土地开发整理项目预算定额计价规则调整办法的通知》，不同间接费见下表</w:t>
      </w:r>
    </w:p>
    <w:p>
      <w:pPr>
        <w:pStyle w:val="67"/>
        <w:rPr>
          <w:color w:val="000000" w:themeColor="text1"/>
          <w:highlight w:val="none"/>
        </w:rPr>
      </w:pPr>
      <w:r>
        <w:rPr>
          <w:rFonts w:hint="eastAsia"/>
          <w:color w:val="000000" w:themeColor="text1"/>
          <w:highlight w:val="none"/>
        </w:rPr>
        <w:t>表7-6  土地复垦间接费费率表</w:t>
      </w:r>
    </w:p>
    <w:tbl>
      <w:tblPr>
        <w:tblStyle w:val="31"/>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841"/>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工程类别</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计算基础</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间接费系数（％）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土方工程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石方工程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砌体工程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混凝土工程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农用井工程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其他工程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直接费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5"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安装工程</w:t>
            </w:r>
          </w:p>
        </w:tc>
        <w:tc>
          <w:tcPr>
            <w:tcW w:w="284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人工费</w:t>
            </w:r>
          </w:p>
        </w:tc>
        <w:tc>
          <w:tcPr>
            <w:tcW w:w="298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65</w:t>
            </w:r>
          </w:p>
        </w:tc>
      </w:tr>
    </w:tbl>
    <w:p>
      <w:pPr>
        <w:rPr>
          <w:color w:val="000000" w:themeColor="text1"/>
          <w:highlight w:val="none"/>
        </w:rPr>
      </w:pPr>
      <w:r>
        <w:rPr>
          <w:color w:val="000000" w:themeColor="text1"/>
          <w:highlight w:val="none"/>
        </w:rPr>
        <w:t>3）利润</w:t>
      </w:r>
    </w:p>
    <w:p>
      <w:pPr>
        <w:rPr>
          <w:color w:val="000000" w:themeColor="text1"/>
          <w:highlight w:val="none"/>
        </w:rPr>
      </w:pPr>
      <w:r>
        <w:rPr>
          <w:color w:val="000000" w:themeColor="text1"/>
          <w:highlight w:val="none"/>
        </w:rPr>
        <w:t>依据《关于营业税改增值税后四川省土地开发整理项目预算定额计价规则调整办法的通知》，费率取3％，计算基础为直接费和间接费之和。</w:t>
      </w:r>
    </w:p>
    <w:p>
      <w:pPr>
        <w:rPr>
          <w:color w:val="000000" w:themeColor="text1"/>
          <w:highlight w:val="none"/>
        </w:rPr>
      </w:pPr>
      <w:r>
        <w:rPr>
          <w:color w:val="000000" w:themeColor="text1"/>
          <w:highlight w:val="none"/>
        </w:rPr>
        <w:t>4）税金</w:t>
      </w:r>
    </w:p>
    <w:p>
      <w:pPr>
        <w:rPr>
          <w:color w:val="000000" w:themeColor="text1"/>
          <w:highlight w:val="none"/>
        </w:rPr>
      </w:pPr>
      <w:r>
        <w:rPr>
          <w:color w:val="000000" w:themeColor="text1"/>
          <w:highlight w:val="none"/>
        </w:rPr>
        <w:t>依据《关于营业税改增值税后四川省土地开发整理项目预算定额计价规则调整办法的通知》，综合税金费率为9％，计算基础为直接费、间接费及利润之和。</w:t>
      </w:r>
    </w:p>
    <w:p>
      <w:pPr>
        <w:rPr>
          <w:color w:val="000000" w:themeColor="text1"/>
          <w:highlight w:val="none"/>
        </w:rPr>
      </w:pPr>
      <w:r>
        <w:rPr>
          <w:color w:val="000000" w:themeColor="text1"/>
          <w:highlight w:val="none"/>
        </w:rPr>
        <w:t>（2）设备购置费</w:t>
      </w:r>
    </w:p>
    <w:p>
      <w:pPr>
        <w:rPr>
          <w:color w:val="000000" w:themeColor="text1"/>
          <w:highlight w:val="none"/>
        </w:rPr>
      </w:pPr>
      <w:r>
        <w:rPr>
          <w:color w:val="000000" w:themeColor="text1"/>
          <w:highlight w:val="none"/>
        </w:rPr>
        <w:t>设备费主要有设备原价，运杂费，运输保险费，采购及保管费等组成。</w:t>
      </w:r>
    </w:p>
    <w:p>
      <w:pPr>
        <w:rPr>
          <w:color w:val="000000" w:themeColor="text1"/>
          <w:highlight w:val="none"/>
        </w:rPr>
      </w:pPr>
      <w:r>
        <w:rPr>
          <w:color w:val="000000" w:themeColor="text1"/>
          <w:highlight w:val="none"/>
        </w:rPr>
        <w:t>（3）其他费用</w:t>
      </w:r>
    </w:p>
    <w:p>
      <w:pPr>
        <w:rPr>
          <w:color w:val="000000" w:themeColor="text1"/>
          <w:highlight w:val="none"/>
        </w:rPr>
      </w:pPr>
      <w:r>
        <w:rPr>
          <w:color w:val="000000" w:themeColor="text1"/>
          <w:highlight w:val="none"/>
        </w:rPr>
        <w:t>其他费用由前期工作费、工程监理费、竣工验收费和业主管理费构成。</w:t>
      </w:r>
    </w:p>
    <w:p>
      <w:pPr>
        <w:rPr>
          <w:color w:val="000000" w:themeColor="text1"/>
          <w:highlight w:val="none"/>
        </w:rPr>
      </w:pPr>
      <w:r>
        <w:rPr>
          <w:color w:val="000000" w:themeColor="text1"/>
          <w:highlight w:val="none"/>
        </w:rPr>
        <w:t>1）前期工作费</w:t>
      </w:r>
    </w:p>
    <w:p>
      <w:pPr>
        <w:rPr>
          <w:color w:val="000000" w:themeColor="text1"/>
          <w:highlight w:val="none"/>
        </w:rPr>
      </w:pPr>
      <w:r>
        <w:rPr>
          <w:color w:val="000000" w:themeColor="text1"/>
          <w:highlight w:val="none"/>
        </w:rPr>
        <w:t>包括：土地利用与生态现状调查费、土地复垦方案编制费、土地勘测费、阶段性实施方案编制费、工程招标代理费等。</w:t>
      </w:r>
    </w:p>
    <w:p>
      <w:pPr>
        <w:rPr>
          <w:color w:val="000000" w:themeColor="text1"/>
          <w:highlight w:val="none"/>
        </w:rPr>
      </w:pPr>
      <w:r>
        <w:rPr>
          <w:rFonts w:hint="eastAsia"/>
          <w:color w:val="000000" w:themeColor="text1"/>
          <w:highlight w:val="none"/>
        </w:rPr>
        <w:t>①</w:t>
      </w:r>
      <w:r>
        <w:rPr>
          <w:color w:val="000000" w:themeColor="text1"/>
          <w:highlight w:val="none"/>
        </w:rPr>
        <w:t>土地利用与生态现状调查费</w:t>
      </w:r>
    </w:p>
    <w:p>
      <w:pPr>
        <w:rPr>
          <w:color w:val="000000" w:themeColor="text1"/>
          <w:highlight w:val="none"/>
        </w:rPr>
      </w:pPr>
      <w:r>
        <w:rPr>
          <w:color w:val="000000" w:themeColor="text1"/>
          <w:highlight w:val="none"/>
        </w:rPr>
        <w:t>按不超过工程施工费的0.5%计算。计算公式为：</w:t>
      </w:r>
    </w:p>
    <w:p>
      <w:pPr>
        <w:rPr>
          <w:color w:val="000000" w:themeColor="text1"/>
          <w:highlight w:val="none"/>
        </w:rPr>
      </w:pPr>
      <w:r>
        <w:rPr>
          <w:color w:val="000000" w:themeColor="text1"/>
          <w:highlight w:val="none"/>
        </w:rPr>
        <w:t>土地利用与生态现状调查费=工程施工费×费率</w:t>
      </w:r>
    </w:p>
    <w:p>
      <w:pPr>
        <w:rPr>
          <w:color w:val="000000" w:themeColor="text1"/>
          <w:highlight w:val="none"/>
        </w:rPr>
      </w:pPr>
      <w:r>
        <w:rPr>
          <w:rFonts w:hint="eastAsia"/>
          <w:color w:val="000000" w:themeColor="text1"/>
          <w:highlight w:val="none"/>
        </w:rPr>
        <w:t>②</w:t>
      </w:r>
      <w:r>
        <w:rPr>
          <w:color w:val="000000" w:themeColor="text1"/>
          <w:highlight w:val="none"/>
        </w:rPr>
        <w:t>项土地复垦方案编制费</w:t>
      </w:r>
    </w:p>
    <w:p>
      <w:pPr>
        <w:rPr>
          <w:color w:val="000000" w:themeColor="text1"/>
          <w:highlight w:val="none"/>
        </w:rPr>
      </w:pPr>
      <w:r>
        <w:rPr>
          <w:color w:val="000000" w:themeColor="text1"/>
          <w:highlight w:val="none"/>
        </w:rPr>
        <w:t>以工程施工费与设备购置费之和作为计费基数，采用分档定额计费方式计算，各区间按内插法确定。</w:t>
      </w:r>
    </w:p>
    <w:p>
      <w:pPr>
        <w:rPr>
          <w:color w:val="000000" w:themeColor="text1"/>
          <w:highlight w:val="none"/>
        </w:rPr>
      </w:pPr>
      <w:r>
        <w:rPr>
          <w:rFonts w:hint="eastAsia"/>
          <w:color w:val="000000" w:themeColor="text1"/>
          <w:highlight w:val="none"/>
        </w:rPr>
        <w:t>③</w:t>
      </w:r>
      <w:r>
        <w:rPr>
          <w:color w:val="000000" w:themeColor="text1"/>
          <w:highlight w:val="none"/>
        </w:rPr>
        <w:t>土地勘测费</w:t>
      </w:r>
    </w:p>
    <w:p>
      <w:pPr>
        <w:rPr>
          <w:color w:val="000000" w:themeColor="text1"/>
          <w:highlight w:val="none"/>
        </w:rPr>
      </w:pPr>
      <w:r>
        <w:rPr>
          <w:color w:val="000000" w:themeColor="text1"/>
          <w:highlight w:val="none"/>
        </w:rPr>
        <w:t>按不超过工程施工费的1.5%计算。计算公式为：</w:t>
      </w:r>
    </w:p>
    <w:p>
      <w:pPr>
        <w:rPr>
          <w:color w:val="000000" w:themeColor="text1"/>
          <w:highlight w:val="none"/>
        </w:rPr>
      </w:pPr>
      <w:r>
        <w:rPr>
          <w:color w:val="000000" w:themeColor="text1"/>
          <w:highlight w:val="none"/>
        </w:rPr>
        <w:t>土地勘测费=工程施工费×费率</w:t>
      </w:r>
    </w:p>
    <w:p>
      <w:pPr>
        <w:rPr>
          <w:color w:val="000000" w:themeColor="text1"/>
          <w:highlight w:val="none"/>
        </w:rPr>
      </w:pPr>
      <w:r>
        <w:rPr>
          <w:color w:val="000000" w:themeColor="text1"/>
          <w:highlight w:val="none"/>
        </w:rPr>
        <w:t>项目地貌为丘陵、山区的可乘以1.1的系数。</w:t>
      </w:r>
    </w:p>
    <w:p>
      <w:pPr>
        <w:rPr>
          <w:color w:val="000000" w:themeColor="text1"/>
          <w:highlight w:val="none"/>
        </w:rPr>
      </w:pPr>
      <w:r>
        <w:rPr>
          <w:rFonts w:hint="eastAsia"/>
          <w:color w:val="000000" w:themeColor="text1"/>
          <w:highlight w:val="none"/>
        </w:rPr>
        <w:t>④</w:t>
      </w:r>
      <w:r>
        <w:rPr>
          <w:color w:val="000000" w:themeColor="text1"/>
          <w:highlight w:val="none"/>
        </w:rPr>
        <w:t>阶段性实施方案编制费</w:t>
      </w:r>
    </w:p>
    <w:p>
      <w:pPr>
        <w:rPr>
          <w:color w:val="000000" w:themeColor="text1"/>
          <w:highlight w:val="none"/>
        </w:rPr>
      </w:pPr>
      <w:r>
        <w:rPr>
          <w:color w:val="000000" w:themeColor="text1"/>
          <w:highlight w:val="none"/>
        </w:rPr>
        <w:t>以工程施工费与设备购置费之和为计费基础，采用分档定额计费方式计算，各区间按内插法确定。</w:t>
      </w:r>
    </w:p>
    <w:p>
      <w:pPr>
        <w:rPr>
          <w:color w:val="000000" w:themeColor="text1"/>
          <w:highlight w:val="none"/>
        </w:rPr>
      </w:pPr>
      <w:r>
        <w:rPr>
          <w:color w:val="000000" w:themeColor="text1"/>
          <w:highlight w:val="none"/>
        </w:rPr>
        <w:t>项目地貌为丘陵、山区的可乘以1.1的系数。</w:t>
      </w:r>
    </w:p>
    <w:p>
      <w:pPr>
        <w:rPr>
          <w:color w:val="000000" w:themeColor="text1"/>
          <w:highlight w:val="none"/>
        </w:rPr>
      </w:pPr>
      <w:r>
        <w:rPr>
          <w:rFonts w:hint="eastAsia"/>
          <w:color w:val="000000" w:themeColor="text1"/>
          <w:highlight w:val="none"/>
        </w:rPr>
        <w:t>⑤</w:t>
      </w:r>
      <w:r>
        <w:rPr>
          <w:color w:val="000000" w:themeColor="text1"/>
          <w:highlight w:val="none"/>
        </w:rPr>
        <w:t>工程招标代理费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color w:val="000000" w:themeColor="text1"/>
          <w:highlight w:val="none"/>
        </w:rPr>
        <w:t>2）工程监理费</w:t>
      </w:r>
    </w:p>
    <w:p>
      <w:pPr>
        <w:rPr>
          <w:color w:val="000000" w:themeColor="text1"/>
          <w:highlight w:val="none"/>
        </w:rPr>
      </w:pPr>
      <w:r>
        <w:rPr>
          <w:color w:val="000000" w:themeColor="text1"/>
          <w:highlight w:val="none"/>
        </w:rPr>
        <w:t>以工程施工费与设备购置费之和为计费基础，采用分档定额计费方式计算，各区间按内插法确定。</w:t>
      </w:r>
    </w:p>
    <w:p>
      <w:pPr>
        <w:rPr>
          <w:color w:val="000000" w:themeColor="text1"/>
          <w:highlight w:val="none"/>
        </w:rPr>
      </w:pPr>
      <w:r>
        <w:rPr>
          <w:color w:val="000000" w:themeColor="text1"/>
          <w:highlight w:val="none"/>
        </w:rPr>
        <w:t>3）竣工验收费</w:t>
      </w:r>
    </w:p>
    <w:p>
      <w:pPr>
        <w:rPr>
          <w:color w:val="000000" w:themeColor="text1"/>
          <w:highlight w:val="none"/>
        </w:rPr>
      </w:pPr>
      <w:r>
        <w:rPr>
          <w:color w:val="000000" w:themeColor="text1"/>
          <w:highlight w:val="none"/>
        </w:rPr>
        <w:t>包括：竣工验收复核费、工程验收费、决算编制与审计费、复垦后土地重估与登记费、基本农田划分与标志设定费等。</w:t>
      </w:r>
    </w:p>
    <w:p>
      <w:pPr>
        <w:rPr>
          <w:color w:val="000000" w:themeColor="text1"/>
          <w:highlight w:val="none"/>
        </w:rPr>
      </w:pPr>
      <w:r>
        <w:rPr>
          <w:rFonts w:hint="eastAsia"/>
          <w:color w:val="000000" w:themeColor="text1"/>
          <w:highlight w:val="none"/>
        </w:rPr>
        <w:t>①</w:t>
      </w:r>
      <w:r>
        <w:rPr>
          <w:color w:val="000000" w:themeColor="text1"/>
          <w:highlight w:val="none"/>
        </w:rPr>
        <w:t>竣工验收复核费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rFonts w:hint="eastAsia"/>
          <w:color w:val="000000" w:themeColor="text1"/>
          <w:highlight w:val="none"/>
        </w:rPr>
        <w:t>②</w:t>
      </w:r>
      <w:r>
        <w:rPr>
          <w:color w:val="000000" w:themeColor="text1"/>
          <w:highlight w:val="none"/>
        </w:rPr>
        <w:t>工程验收费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rFonts w:hint="eastAsia"/>
          <w:color w:val="000000" w:themeColor="text1"/>
          <w:highlight w:val="none"/>
        </w:rPr>
        <w:t>③</w:t>
      </w:r>
      <w:r>
        <w:rPr>
          <w:color w:val="000000" w:themeColor="text1"/>
          <w:highlight w:val="none"/>
        </w:rPr>
        <w:t>决算编制与审计费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rFonts w:hint="eastAsia"/>
          <w:color w:val="000000" w:themeColor="text1"/>
          <w:highlight w:val="none"/>
        </w:rPr>
        <w:t>④</w:t>
      </w:r>
      <w:r>
        <w:rPr>
          <w:color w:val="000000" w:themeColor="text1"/>
          <w:highlight w:val="none"/>
        </w:rPr>
        <w:t>复垦后土地重估与登记费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rFonts w:hint="eastAsia"/>
          <w:color w:val="000000" w:themeColor="text1"/>
          <w:highlight w:val="none"/>
        </w:rPr>
        <w:t>⑤</w:t>
      </w:r>
      <w:r>
        <w:rPr>
          <w:color w:val="000000" w:themeColor="text1"/>
          <w:highlight w:val="none"/>
        </w:rPr>
        <w:t>基本农田划分与标志设定费</w:t>
      </w:r>
    </w:p>
    <w:p>
      <w:pPr>
        <w:rPr>
          <w:color w:val="000000" w:themeColor="text1"/>
          <w:highlight w:val="none"/>
        </w:rPr>
      </w:pPr>
      <w:r>
        <w:rPr>
          <w:color w:val="000000" w:themeColor="text1"/>
          <w:highlight w:val="none"/>
        </w:rPr>
        <w:t>以工程施工费与设备购置费之和作为计费基数，采用差额定律累进法计算。</w:t>
      </w:r>
    </w:p>
    <w:p>
      <w:pPr>
        <w:rPr>
          <w:color w:val="000000" w:themeColor="text1"/>
          <w:highlight w:val="none"/>
        </w:rPr>
      </w:pPr>
      <w:r>
        <w:rPr>
          <w:color w:val="000000" w:themeColor="text1"/>
          <w:highlight w:val="none"/>
        </w:rPr>
        <w:t>4）业主管理费</w:t>
      </w:r>
    </w:p>
    <w:p>
      <w:pPr>
        <w:rPr>
          <w:color w:val="000000" w:themeColor="text1"/>
          <w:highlight w:val="none"/>
        </w:rPr>
      </w:pPr>
      <w:r>
        <w:rPr>
          <w:color w:val="000000" w:themeColor="text1"/>
          <w:highlight w:val="none"/>
        </w:rPr>
        <w:t>业主管理费以工程施工费、设备购置费、前期工作费、工程监理费、拆迁补偿费和竣工验收费之和作为计费基数，采用差额定律累进法计算。</w:t>
      </w:r>
    </w:p>
    <w:p>
      <w:pPr>
        <w:rPr>
          <w:color w:val="000000" w:themeColor="text1"/>
          <w:highlight w:val="none"/>
        </w:rPr>
      </w:pPr>
      <w:r>
        <w:rPr>
          <w:color w:val="000000" w:themeColor="text1"/>
          <w:highlight w:val="none"/>
        </w:rPr>
        <w:t>（4）监测与管护费</w:t>
      </w:r>
    </w:p>
    <w:p>
      <w:pPr>
        <w:rPr>
          <w:color w:val="000000" w:themeColor="text1"/>
          <w:highlight w:val="none"/>
        </w:rPr>
      </w:pPr>
      <w:r>
        <w:rPr>
          <w:color w:val="000000" w:themeColor="text1"/>
          <w:highlight w:val="none"/>
        </w:rPr>
        <w:t>根据监测与管护工程量和人工费、材料费价格计算。</w:t>
      </w:r>
    </w:p>
    <w:p>
      <w:pPr>
        <w:rPr>
          <w:color w:val="000000" w:themeColor="text1"/>
          <w:highlight w:val="none"/>
        </w:rPr>
      </w:pPr>
      <w:r>
        <w:rPr>
          <w:color w:val="000000" w:themeColor="text1"/>
          <w:highlight w:val="none"/>
        </w:rPr>
        <w:t>（5）不可预见费</w:t>
      </w:r>
    </w:p>
    <w:p>
      <w:pPr>
        <w:rPr>
          <w:color w:val="000000" w:themeColor="text1"/>
          <w:highlight w:val="none"/>
        </w:rPr>
      </w:pPr>
      <w:r>
        <w:rPr>
          <w:color w:val="000000" w:themeColor="text1"/>
          <w:highlight w:val="none"/>
        </w:rPr>
        <w:t>不可预见费按3%计取。</w:t>
      </w:r>
    </w:p>
    <w:p>
      <w:pPr>
        <w:rPr>
          <w:color w:val="000000" w:themeColor="text1"/>
          <w:highlight w:val="none"/>
        </w:rPr>
      </w:pPr>
      <w:r>
        <w:rPr>
          <w:color w:val="000000" w:themeColor="text1"/>
          <w:highlight w:val="none"/>
        </w:rPr>
        <w:t>（6）监测费</w:t>
      </w:r>
    </w:p>
    <w:p>
      <w:pPr>
        <w:rPr>
          <w:color w:val="000000" w:themeColor="text1"/>
          <w:highlight w:val="none"/>
        </w:rPr>
      </w:pPr>
      <w:r>
        <w:rPr>
          <w:color w:val="000000" w:themeColor="text1"/>
          <w:highlight w:val="none"/>
        </w:rPr>
        <w:t>本项目土地复垦监测主要由土地损毁监测、土壤质量监测、复垦效果监测及复垦配套设施监测四部分组成。</w:t>
      </w:r>
    </w:p>
    <w:p>
      <w:pPr>
        <w:rPr>
          <w:color w:val="000000" w:themeColor="text1"/>
          <w:highlight w:val="none"/>
        </w:rPr>
      </w:pPr>
      <w:r>
        <w:rPr>
          <w:color w:val="000000" w:themeColor="text1"/>
          <w:highlight w:val="none"/>
        </w:rPr>
        <w:t>监测费用根据《四川省地质灾害治理工程概（预）算标准——编制与审查规定（修订）》中附录21中</w:t>
      </w:r>
      <w:r>
        <w:rPr>
          <w:rFonts w:hint="eastAsia"/>
          <w:color w:val="000000" w:themeColor="text1"/>
          <w:highlight w:val="none"/>
        </w:rPr>
        <w:t>矿山土地复垦监测工程估算单价参考表进行取费。</w:t>
      </w:r>
    </w:p>
    <w:p>
      <w:pPr>
        <w:pStyle w:val="67"/>
        <w:rPr>
          <w:color w:val="000000" w:themeColor="text1"/>
          <w:highlight w:val="none"/>
        </w:rPr>
      </w:pPr>
      <w:r>
        <w:rPr>
          <w:rFonts w:hint="eastAsia"/>
          <w:color w:val="000000" w:themeColor="text1"/>
          <w:highlight w:val="none"/>
        </w:rPr>
        <w:t>表7-7  矿山土地复垦监测工程估算单价参考表</w:t>
      </w:r>
    </w:p>
    <w:tbl>
      <w:tblPr>
        <w:tblStyle w:val="31"/>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4"/>
        <w:gridCol w:w="1984"/>
        <w:gridCol w:w="2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4"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检测项目</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单位</w:t>
            </w:r>
          </w:p>
        </w:tc>
        <w:tc>
          <w:tcPr>
            <w:tcW w:w="2389"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4"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土地损毁情况监测</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元/</w:t>
            </w:r>
            <w:r>
              <w:rPr>
                <w:rFonts w:hint="eastAsia" w:ascii="宋体" w:hAnsi="宋体"/>
                <w:color w:val="000000" w:themeColor="text1"/>
                <w:highlight w:val="none"/>
              </w:rPr>
              <w:t>次</w:t>
            </w:r>
          </w:p>
        </w:tc>
        <w:tc>
          <w:tcPr>
            <w:tcW w:w="2389"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4"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土壤质量监测</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元/</w:t>
            </w:r>
            <w:r>
              <w:rPr>
                <w:rFonts w:hint="eastAsia" w:ascii="宋体" w:hAnsi="宋体"/>
                <w:color w:val="000000" w:themeColor="text1"/>
                <w:highlight w:val="none"/>
              </w:rPr>
              <w:t>次</w:t>
            </w:r>
          </w:p>
        </w:tc>
        <w:tc>
          <w:tcPr>
            <w:tcW w:w="2389"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4"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植被复垦效果监测</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元/</w:t>
            </w:r>
            <w:r>
              <w:rPr>
                <w:rFonts w:hint="eastAsia" w:ascii="宋体" w:hAnsi="宋体"/>
                <w:color w:val="000000" w:themeColor="text1"/>
                <w:highlight w:val="none"/>
              </w:rPr>
              <w:t>次</w:t>
            </w:r>
          </w:p>
        </w:tc>
        <w:tc>
          <w:tcPr>
            <w:tcW w:w="2389"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4"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复垦配套设施监测</w:t>
            </w:r>
          </w:p>
        </w:tc>
        <w:tc>
          <w:tcPr>
            <w:tcW w:w="198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元/</w:t>
            </w:r>
            <w:r>
              <w:rPr>
                <w:rFonts w:hint="eastAsia" w:ascii="宋体" w:hAnsi="宋体"/>
                <w:color w:val="000000" w:themeColor="text1"/>
                <w:highlight w:val="none"/>
              </w:rPr>
              <w:t>次</w:t>
            </w:r>
          </w:p>
        </w:tc>
        <w:tc>
          <w:tcPr>
            <w:tcW w:w="2389"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300</w:t>
            </w:r>
          </w:p>
        </w:tc>
      </w:tr>
    </w:tbl>
    <w:p>
      <w:pPr>
        <w:rPr>
          <w:color w:val="000000" w:themeColor="text1"/>
          <w:highlight w:val="none"/>
        </w:rPr>
      </w:pPr>
      <w:r>
        <w:rPr>
          <w:color w:val="000000" w:themeColor="text1"/>
          <w:highlight w:val="none"/>
        </w:rPr>
        <w:t>（7）管护费用取费依据</w:t>
      </w:r>
    </w:p>
    <w:p>
      <w:pPr>
        <w:rPr>
          <w:color w:val="000000" w:themeColor="text1"/>
          <w:highlight w:val="none"/>
        </w:rPr>
      </w:pPr>
      <w:r>
        <w:rPr>
          <w:color w:val="000000" w:themeColor="text1"/>
          <w:highlight w:val="none"/>
        </w:rPr>
        <w:t>管护工程主要包括复垦土地植被管护和农田配套设施工程管护等。主要内容是对林地、果园、草地等的补种，病虫害防治，排灌与施肥，以及对农田排灌设施的管护等。本项目中主要是对林地和草地进行管护。</w:t>
      </w:r>
    </w:p>
    <w:p>
      <w:pPr>
        <w:rPr>
          <w:color w:val="000000" w:themeColor="text1"/>
          <w:sz w:val="21"/>
          <w:szCs w:val="21"/>
          <w:highlight w:val="none"/>
        </w:rPr>
      </w:pPr>
      <w:r>
        <w:rPr>
          <w:color w:val="000000" w:themeColor="text1"/>
          <w:highlight w:val="none"/>
        </w:rPr>
        <w:t>管护费用根据《四川省地质灾害治理工程概（预）算标准——编制与审查规定（修订）》中附录21中管护工程估算单价参考表</w:t>
      </w:r>
      <w:r>
        <w:rPr>
          <w:rFonts w:hint="eastAsia"/>
          <w:color w:val="000000" w:themeColor="text1"/>
          <w:highlight w:val="none"/>
        </w:rPr>
        <w:t>取费</w:t>
      </w:r>
      <w:r>
        <w:rPr>
          <w:rFonts w:hint="eastAsia"/>
          <w:color w:val="000000" w:themeColor="text1"/>
          <w:sz w:val="21"/>
          <w:szCs w:val="21"/>
          <w:highlight w:val="none"/>
        </w:rPr>
        <w:t>。</w:t>
      </w:r>
    </w:p>
    <w:p>
      <w:pPr>
        <w:pStyle w:val="67"/>
        <w:rPr>
          <w:color w:val="000000" w:themeColor="text1"/>
          <w:szCs w:val="21"/>
          <w:highlight w:val="none"/>
        </w:rPr>
      </w:pPr>
      <w:r>
        <w:rPr>
          <w:rFonts w:hint="eastAsia"/>
          <w:color w:val="000000" w:themeColor="text1"/>
          <w:highlight w:val="none"/>
        </w:rPr>
        <w:t>表7-8  管护工程估算单价参考表</w:t>
      </w:r>
    </w:p>
    <w:tbl>
      <w:tblPr>
        <w:tblStyle w:val="31"/>
        <w:tblW w:w="7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2551"/>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7"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管护费用</w:t>
            </w:r>
          </w:p>
        </w:tc>
        <w:tc>
          <w:tcPr>
            <w:tcW w:w="2551"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单位</w:t>
            </w:r>
          </w:p>
        </w:tc>
        <w:tc>
          <w:tcPr>
            <w:tcW w:w="23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7"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林地管护</w:t>
            </w:r>
          </w:p>
        </w:tc>
        <w:tc>
          <w:tcPr>
            <w:tcW w:w="2551" w:type="dxa"/>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元</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rPr>
              <w:t>年</w:t>
            </w:r>
          </w:p>
        </w:tc>
        <w:tc>
          <w:tcPr>
            <w:tcW w:w="23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17"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lang w:eastAsia="zh-CN"/>
              </w:rPr>
              <w:t>其他草地</w:t>
            </w:r>
            <w:r>
              <w:rPr>
                <w:rFonts w:hint="eastAsia"/>
                <w:color w:val="000000" w:themeColor="text1"/>
                <w:highlight w:val="none"/>
              </w:rPr>
              <w:t>管护</w:t>
            </w:r>
          </w:p>
        </w:tc>
        <w:tc>
          <w:tcPr>
            <w:tcW w:w="2551" w:type="dxa"/>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元</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rPr>
              <w:t>年</w:t>
            </w:r>
          </w:p>
        </w:tc>
        <w:tc>
          <w:tcPr>
            <w:tcW w:w="23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2000</w:t>
            </w:r>
          </w:p>
        </w:tc>
      </w:tr>
    </w:tbl>
    <w:p>
      <w:pPr>
        <w:pStyle w:val="4"/>
        <w:spacing w:before="82" w:after="82"/>
        <w:rPr>
          <w:rFonts w:cs="Times New Roman"/>
          <w:color w:val="000000" w:themeColor="text1"/>
          <w:highlight w:val="none"/>
        </w:rPr>
      </w:pPr>
      <w:bookmarkStart w:id="264" w:name="_Toc21277"/>
      <w:r>
        <w:rPr>
          <w:color w:val="000000" w:themeColor="text1"/>
          <w:highlight w:val="none"/>
        </w:rPr>
        <w:t>7.2矿山地质环境治理工程经费估算</w:t>
      </w:r>
      <w:bookmarkEnd w:id="264"/>
    </w:p>
    <w:p>
      <w:pPr>
        <w:pStyle w:val="5"/>
        <w:spacing w:before="82" w:after="82"/>
        <w:rPr>
          <w:color w:val="000000" w:themeColor="text1"/>
          <w:highlight w:val="none"/>
        </w:rPr>
      </w:pPr>
      <w:bookmarkStart w:id="265" w:name="_Toc6177"/>
      <w:r>
        <w:rPr>
          <w:color w:val="000000" w:themeColor="text1"/>
          <w:highlight w:val="none"/>
        </w:rPr>
        <w:t>7.2.1总工程量与投资估算</w:t>
      </w:r>
      <w:bookmarkEnd w:id="265"/>
    </w:p>
    <w:p>
      <w:pPr>
        <w:rPr>
          <w:color w:val="000000" w:themeColor="text1"/>
          <w:highlight w:val="none"/>
        </w:rPr>
      </w:pPr>
      <w:r>
        <w:rPr>
          <w:color w:val="000000" w:themeColor="text1"/>
          <w:highlight w:val="none"/>
        </w:rPr>
        <w:t>本方案对矿山地质环境治理工程以监测为主，矿山地质环境监测工程所布总工作量见表7-</w:t>
      </w:r>
      <w:r>
        <w:rPr>
          <w:rFonts w:hint="eastAsia"/>
          <w:color w:val="000000" w:themeColor="text1"/>
          <w:highlight w:val="none"/>
        </w:rPr>
        <w:t>9</w:t>
      </w:r>
      <w:r>
        <w:rPr>
          <w:color w:val="000000" w:themeColor="text1"/>
          <w:highlight w:val="none"/>
        </w:rPr>
        <w:t>。</w:t>
      </w:r>
    </w:p>
    <w:p>
      <w:pPr>
        <w:pStyle w:val="67"/>
        <w:rPr>
          <w:color w:val="000000" w:themeColor="text1"/>
          <w:highlight w:val="none"/>
        </w:rPr>
      </w:pPr>
      <w:r>
        <w:rPr>
          <w:rFonts w:hint="eastAsia"/>
          <w:color w:val="000000" w:themeColor="text1"/>
          <w:highlight w:val="none"/>
        </w:rPr>
        <w:t>表7-9  矿山地质环境治理工程工作量总表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2448"/>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序号</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工程名称</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单位</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lang w:val="en-US" w:eastAsia="zh-CN"/>
              </w:rPr>
              <w:t>1</w:t>
            </w:r>
          </w:p>
        </w:tc>
        <w:tc>
          <w:tcPr>
            <w:tcW w:w="1437"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安全警示牌</w:t>
            </w:r>
          </w:p>
        </w:tc>
        <w:tc>
          <w:tcPr>
            <w:tcW w:w="1250"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个</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lang w:val="en-US" w:eastAsia="zh-CN"/>
              </w:rPr>
              <w:t>2</w:t>
            </w:r>
          </w:p>
        </w:tc>
        <w:tc>
          <w:tcPr>
            <w:tcW w:w="1437"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边坡清理</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color w:val="000000" w:themeColor="text1"/>
                <w:highlight w:val="none"/>
                <w:lang w:val="en-US" w:eastAsia="zh-CN"/>
              </w:rPr>
            </w:pPr>
            <w:r>
              <w:rPr>
                <w:rFonts w:hint="eastAsia"/>
                <w:color w:val="000000" w:themeColor="text1"/>
                <w:highlight w:val="none"/>
                <w:lang w:val="en-US" w:eastAsia="zh-CN"/>
              </w:rPr>
              <w:t>（1）</w:t>
            </w:r>
          </w:p>
        </w:tc>
        <w:tc>
          <w:tcPr>
            <w:tcW w:w="1437" w:type="pct"/>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eastAsia"/>
                <w:color w:val="000000" w:themeColor="text1"/>
                <w:highlight w:val="none"/>
                <w:lang w:eastAsia="zh-CN"/>
              </w:rPr>
              <w:t>清理浮石</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m</w:t>
            </w:r>
            <w:r>
              <w:rPr>
                <w:rFonts w:hint="eastAsia"/>
                <w:color w:val="000000" w:themeColor="text1"/>
                <w:highlight w:val="none"/>
                <w:vertAlign w:val="superscript"/>
                <w:lang w:val="en-US" w:eastAsia="zh-CN"/>
              </w:rPr>
              <w:t>3</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3</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地质灾害监测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次</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雨量监测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台</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5</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GNSS监测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GNSS监测设备</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套</w:t>
            </w:r>
          </w:p>
        </w:tc>
        <w:tc>
          <w:tcPr>
            <w:tcW w:w="1250"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（2）</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机房配套设施</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套</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（3）</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视频监测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套</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6</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含水层破坏监测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地下水水位监测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点•次</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（2）</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地下水水质监测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点•次</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（3）</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地表水水质监测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点•次</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62"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7</w:t>
            </w:r>
          </w:p>
        </w:tc>
        <w:tc>
          <w:tcPr>
            <w:tcW w:w="1437"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水土污染监测</w:t>
            </w:r>
          </w:p>
        </w:tc>
        <w:tc>
          <w:tcPr>
            <w:tcW w:w="1250"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点•次</w:t>
            </w:r>
          </w:p>
        </w:tc>
        <w:tc>
          <w:tcPr>
            <w:tcW w:w="1250" w:type="pct"/>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w:t>
            </w:r>
          </w:p>
        </w:tc>
      </w:tr>
    </w:tbl>
    <w:p>
      <w:pPr>
        <w:pStyle w:val="5"/>
        <w:spacing w:before="82" w:after="82"/>
        <w:rPr>
          <w:rFonts w:cs="Times New Roman"/>
          <w:color w:val="000000" w:themeColor="text1"/>
          <w:highlight w:val="none"/>
        </w:rPr>
      </w:pPr>
      <w:bookmarkStart w:id="266" w:name="_Toc23199"/>
      <w:r>
        <w:rPr>
          <w:color w:val="000000" w:themeColor="text1"/>
          <w:highlight w:val="none"/>
        </w:rPr>
        <w:t>7.2.2</w:t>
      </w:r>
      <w:r>
        <w:rPr>
          <w:rFonts w:ascii="宋体" w:hAnsi="宋体"/>
          <w:color w:val="000000" w:themeColor="text1"/>
          <w:highlight w:val="none"/>
        </w:rPr>
        <w:t>投资估算</w:t>
      </w:r>
      <w:bookmarkEnd w:id="266"/>
    </w:p>
    <w:p>
      <w:pPr>
        <w:rPr>
          <w:color w:val="000000" w:themeColor="text1"/>
          <w:highlight w:val="none"/>
        </w:rPr>
      </w:pPr>
      <w:r>
        <w:rPr>
          <w:color w:val="000000" w:themeColor="text1"/>
          <w:highlight w:val="none"/>
        </w:rPr>
        <w:t>1、总投资估算</w:t>
      </w:r>
    </w:p>
    <w:p>
      <w:pPr>
        <w:rPr>
          <w:color w:val="000000" w:themeColor="text1"/>
          <w:highlight w:val="none"/>
        </w:rPr>
      </w:pPr>
      <w:r>
        <w:rPr>
          <w:color w:val="000000" w:themeColor="text1"/>
          <w:highlight w:val="none"/>
        </w:rPr>
        <w:t>根据矿山地质环境保护与治理、监测总工程量，矿山地质环境保护与治理、监测总投资估算</w:t>
      </w:r>
      <w:r>
        <w:rPr>
          <w:rFonts w:hint="eastAsia"/>
          <w:color w:val="000000" w:themeColor="text1"/>
          <w:highlight w:val="none"/>
          <w:lang w:eastAsia="zh-CN"/>
        </w:rPr>
        <w:t>动态总投资</w:t>
      </w:r>
      <w:r>
        <w:rPr>
          <w:color w:val="000000" w:themeColor="text1"/>
          <w:highlight w:val="none"/>
        </w:rPr>
        <w:t>为</w:t>
      </w:r>
      <w:r>
        <w:rPr>
          <w:rFonts w:hint="eastAsia"/>
          <w:color w:val="000000" w:themeColor="text1"/>
          <w:highlight w:val="none"/>
          <w:lang w:eastAsia="zh-CN"/>
        </w:rPr>
        <w:t>34.971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静态总投资</w:t>
      </w:r>
      <w:r>
        <w:rPr>
          <w:color w:val="000000" w:themeColor="text1"/>
          <w:highlight w:val="none"/>
        </w:rPr>
        <w:t>为</w:t>
      </w:r>
      <w:r>
        <w:rPr>
          <w:rFonts w:hint="eastAsia"/>
          <w:color w:val="000000" w:themeColor="text1"/>
          <w:highlight w:val="none"/>
          <w:lang w:val="en-US" w:eastAsia="zh-CN"/>
        </w:rPr>
        <w:t>31.831</w:t>
      </w:r>
      <w:r>
        <w:rPr>
          <w:color w:val="000000" w:themeColor="text1"/>
          <w:highlight w:val="none"/>
        </w:rPr>
        <w:t>万元</w:t>
      </w:r>
      <w:r>
        <w:rPr>
          <w:rFonts w:hint="eastAsia"/>
          <w:color w:val="000000" w:themeColor="text1"/>
          <w:highlight w:val="none"/>
          <w:lang w:eastAsia="zh-CN"/>
        </w:rPr>
        <w:t>；</w:t>
      </w:r>
      <w:r>
        <w:rPr>
          <w:color w:val="000000" w:themeColor="text1"/>
          <w:highlight w:val="none"/>
        </w:rPr>
        <w:t>其中</w:t>
      </w:r>
      <w:r>
        <w:rPr>
          <w:rFonts w:hint="eastAsia"/>
          <w:color w:val="000000" w:themeColor="text1"/>
          <w:highlight w:val="none"/>
          <w:lang w:eastAsia="zh-CN"/>
        </w:rPr>
        <w:t>主体建筑工程</w:t>
      </w:r>
      <w:r>
        <w:rPr>
          <w:rFonts w:hint="eastAsia"/>
          <w:color w:val="000000" w:themeColor="text1"/>
          <w:highlight w:val="none"/>
          <w:lang w:val="en-US" w:eastAsia="zh-CN"/>
        </w:rPr>
        <w:t>10.025万元</w:t>
      </w:r>
      <w:r>
        <w:rPr>
          <w:rFonts w:hint="eastAsia"/>
          <w:color w:val="000000" w:themeColor="text1"/>
          <w:highlight w:val="none"/>
          <w:lang w:eastAsia="zh-CN"/>
        </w:rPr>
        <w:t>；</w:t>
      </w:r>
      <w:r>
        <w:rPr>
          <w:rFonts w:hint="eastAsia"/>
          <w:color w:val="000000" w:themeColor="text1"/>
          <w:kern w:val="0"/>
          <w:highlight w:val="none"/>
          <w:lang w:val="en-US" w:eastAsia="zh-CN"/>
        </w:rPr>
        <w:t>矿山地质环境监测工程费</w:t>
      </w:r>
      <w:r>
        <w:rPr>
          <w:color w:val="000000" w:themeColor="text1"/>
          <w:highlight w:val="none"/>
        </w:rPr>
        <w:t>用</w:t>
      </w:r>
      <w:r>
        <w:rPr>
          <w:rFonts w:hint="eastAsia"/>
          <w:color w:val="000000" w:themeColor="text1"/>
          <w:highlight w:val="none"/>
          <w:lang w:eastAsia="zh-CN"/>
        </w:rPr>
        <w:t>15.420</w:t>
      </w:r>
      <w:r>
        <w:rPr>
          <w:rFonts w:hint="eastAsia"/>
          <w:color w:val="000000" w:themeColor="text1"/>
          <w:highlight w:val="none"/>
        </w:rPr>
        <w:t>万元，独立费</w:t>
      </w:r>
      <w:r>
        <w:rPr>
          <w:rFonts w:hint="eastAsia"/>
          <w:color w:val="000000" w:themeColor="text1"/>
          <w:highlight w:val="none"/>
          <w:lang w:eastAsia="zh-CN"/>
        </w:rPr>
        <w:t>4.028</w:t>
      </w:r>
      <w:r>
        <w:rPr>
          <w:rFonts w:hint="eastAsia"/>
          <w:color w:val="000000" w:themeColor="text1"/>
          <w:highlight w:val="none"/>
        </w:rPr>
        <w:t>万元，基本预备费</w:t>
      </w:r>
      <w:r>
        <w:rPr>
          <w:rFonts w:hint="eastAsia"/>
          <w:color w:val="000000" w:themeColor="text1"/>
          <w:highlight w:val="none"/>
          <w:lang w:eastAsia="zh-CN"/>
        </w:rPr>
        <w:t>2.358</w:t>
      </w:r>
      <w:r>
        <w:rPr>
          <w:rFonts w:hint="eastAsia"/>
          <w:color w:val="000000" w:themeColor="text1"/>
          <w:highlight w:val="none"/>
        </w:rPr>
        <w:t>万元</w:t>
      </w:r>
      <w:r>
        <w:rPr>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3.14万元，</w:t>
      </w:r>
      <w:r>
        <w:rPr>
          <w:color w:val="000000" w:themeColor="text1"/>
          <w:highlight w:val="none"/>
        </w:rPr>
        <w:t>详见表7-</w:t>
      </w:r>
      <w:r>
        <w:rPr>
          <w:rFonts w:hint="eastAsia"/>
          <w:color w:val="000000" w:themeColor="text1"/>
          <w:highlight w:val="none"/>
        </w:rPr>
        <w:t>10</w:t>
      </w:r>
      <w:r>
        <w:rPr>
          <w:color w:val="000000" w:themeColor="text1"/>
          <w:highlight w:val="none"/>
        </w:rPr>
        <w:t>。</w:t>
      </w:r>
    </w:p>
    <w:p>
      <w:pPr>
        <w:pStyle w:val="67"/>
        <w:rPr>
          <w:color w:val="000000" w:themeColor="text1"/>
          <w:highlight w:val="none"/>
        </w:rPr>
      </w:pPr>
      <w:r>
        <w:rPr>
          <w:rFonts w:hint="eastAsia"/>
          <w:color w:val="000000" w:themeColor="text1"/>
          <w:highlight w:val="none"/>
        </w:rPr>
        <w:t>表7-10  矿山地质环境保护与恢复治理总投资估算表（单位：元）</w:t>
      </w:r>
    </w:p>
    <w:tbl>
      <w:tblPr>
        <w:tblStyle w:val="31"/>
        <w:tblW w:w="4998" w:type="pct"/>
        <w:tblInd w:w="0" w:type="dxa"/>
        <w:shd w:val="clear" w:color="auto" w:fill="auto"/>
        <w:tblLayout w:type="autofit"/>
        <w:tblCellMar>
          <w:top w:w="0" w:type="dxa"/>
          <w:left w:w="0" w:type="dxa"/>
          <w:bottom w:w="0" w:type="dxa"/>
          <w:right w:w="0" w:type="dxa"/>
        </w:tblCellMar>
      </w:tblPr>
      <w:tblGrid>
        <w:gridCol w:w="718"/>
        <w:gridCol w:w="2832"/>
        <w:gridCol w:w="999"/>
        <w:gridCol w:w="1331"/>
        <w:gridCol w:w="1189"/>
        <w:gridCol w:w="1257"/>
      </w:tblGrid>
      <w:tr>
        <w:tblPrEx>
          <w:shd w:val="clear" w:color="auto" w:fill="auto"/>
          <w:tblCellMar>
            <w:top w:w="0" w:type="dxa"/>
            <w:left w:w="0" w:type="dxa"/>
            <w:bottom w:w="0" w:type="dxa"/>
            <w:right w:w="0" w:type="dxa"/>
          </w:tblCellMar>
        </w:tblPrEx>
        <w:trPr>
          <w:trHeight w:val="340" w:hRule="atLeast"/>
        </w:trPr>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序号</w:t>
            </w:r>
          </w:p>
        </w:tc>
        <w:tc>
          <w:tcPr>
            <w:tcW w:w="170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工程或费用名称</w:t>
            </w:r>
          </w:p>
        </w:tc>
        <w:tc>
          <w:tcPr>
            <w:tcW w:w="60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 xml:space="preserve">建安 </w:t>
            </w:r>
          </w:p>
          <w:p>
            <w:pPr>
              <w:pStyle w:val="63"/>
              <w:rPr>
                <w:rFonts w:hint="eastAsia"/>
                <w:color w:val="000000" w:themeColor="text1"/>
                <w:kern w:val="0"/>
                <w:highlight w:val="none"/>
              </w:rPr>
            </w:pPr>
            <w:r>
              <w:rPr>
                <w:rFonts w:hint="eastAsia"/>
                <w:color w:val="000000" w:themeColor="text1"/>
                <w:kern w:val="0"/>
                <w:highlight w:val="none"/>
                <w:lang w:val="en-US" w:eastAsia="zh-CN"/>
              </w:rPr>
              <w:t>工程费</w:t>
            </w:r>
          </w:p>
        </w:tc>
        <w:tc>
          <w:tcPr>
            <w:tcW w:w="79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 xml:space="preserve">独立 </w:t>
            </w:r>
          </w:p>
          <w:p>
            <w:pPr>
              <w:pStyle w:val="63"/>
              <w:rPr>
                <w:rFonts w:hint="eastAsia"/>
                <w:color w:val="000000" w:themeColor="text1"/>
                <w:kern w:val="0"/>
                <w:highlight w:val="none"/>
              </w:rPr>
            </w:pPr>
            <w:r>
              <w:rPr>
                <w:rFonts w:hint="eastAsia"/>
                <w:color w:val="000000" w:themeColor="text1"/>
                <w:kern w:val="0"/>
                <w:highlight w:val="none"/>
                <w:lang w:val="en-US" w:eastAsia="zh-CN"/>
              </w:rPr>
              <w:t>费用</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合计</w:t>
            </w:r>
          </w:p>
        </w:tc>
        <w:tc>
          <w:tcPr>
            <w:tcW w:w="75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r>
              <w:rPr>
                <w:rFonts w:hint="eastAsia"/>
                <w:color w:val="000000" w:themeColor="text1"/>
                <w:kern w:val="0"/>
                <w:highlight w:val="none"/>
                <w:lang w:val="en-US" w:eastAsia="zh-CN"/>
              </w:rPr>
              <w:t>占一至五部分投资（%）</w:t>
            </w:r>
          </w:p>
        </w:tc>
      </w:tr>
      <w:tr>
        <w:tblPrEx>
          <w:shd w:val="clear" w:color="auto" w:fill="auto"/>
          <w:tblCellMar>
            <w:top w:w="0" w:type="dxa"/>
            <w:left w:w="0" w:type="dxa"/>
            <w:bottom w:w="0" w:type="dxa"/>
            <w:right w:w="0" w:type="dxa"/>
          </w:tblCellMar>
        </w:tblPrEx>
        <w:trPr>
          <w:trHeight w:val="340" w:hRule="atLeast"/>
        </w:trPr>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c>
          <w:tcPr>
            <w:tcW w:w="17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c>
          <w:tcPr>
            <w:tcW w:w="60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c>
          <w:tcPr>
            <w:tcW w:w="79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c>
          <w:tcPr>
            <w:tcW w:w="75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rPr>
            </w:pP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Ⅰ</w:t>
            </w: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第一部分 主体建筑工程</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100250.00</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100250.00</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34.01%</w:t>
            </w: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Ⅱ</w:t>
            </w: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第二部分 施工临时工程</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Ⅲ</w:t>
            </w: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第三部分 矿山地质环境监测工程费</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154200.00</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154200.00</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52.32%</w:t>
            </w: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Ⅳ</w:t>
            </w: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第四部分 独立费</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40281.72</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40281.72</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13.67%</w:t>
            </w: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Ⅴ</w:t>
            </w: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第五部分 预备费</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shd w:val="clear" w:color="auto" w:fill="auto"/>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一至三部分投资合计</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254450.00</w:t>
            </w: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40281.72</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294731.72</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基本预备费</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23578.54</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静态总投资</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318310.26</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价差预备费</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31401.28</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r>
        <w:tblPrEx>
          <w:tblCellMar>
            <w:top w:w="0" w:type="dxa"/>
            <w:left w:w="0" w:type="dxa"/>
            <w:bottom w:w="0" w:type="dxa"/>
            <w:right w:w="0" w:type="dxa"/>
          </w:tblCellMar>
        </w:tblPrEx>
        <w:trPr>
          <w:trHeight w:val="34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28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总投资</w:t>
            </w:r>
          </w:p>
        </w:tc>
        <w:tc>
          <w:tcPr>
            <w:tcW w:w="9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r>
              <w:rPr>
                <w:rFonts w:hint="eastAsia"/>
                <w:color w:val="000000" w:themeColor="text1"/>
                <w:kern w:val="0"/>
                <w:highlight w:val="none"/>
                <w:lang w:val="en-US" w:eastAsia="zh-CN"/>
              </w:rPr>
              <w:t>349711.54</w:t>
            </w:r>
          </w:p>
        </w:tc>
        <w:tc>
          <w:tcPr>
            <w:tcW w:w="12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kern w:val="0"/>
                <w:highlight w:val="none"/>
                <w:lang w:val="en-US" w:eastAsia="zh-CN"/>
              </w:rPr>
            </w:pPr>
          </w:p>
        </w:tc>
      </w:tr>
    </w:tbl>
    <w:p>
      <w:pPr>
        <w:rPr>
          <w:color w:val="000000" w:themeColor="text1"/>
          <w:highlight w:val="none"/>
        </w:rPr>
      </w:pPr>
      <w:r>
        <w:rPr>
          <w:color w:val="000000" w:themeColor="text1"/>
          <w:highlight w:val="none"/>
        </w:rPr>
        <w:t>2、单项工程量与投资估算</w:t>
      </w:r>
    </w:p>
    <w:p>
      <w:pPr>
        <w:rPr>
          <w:color w:val="000000" w:themeColor="text1"/>
          <w:highlight w:val="none"/>
        </w:rPr>
      </w:pPr>
      <w:r>
        <w:rPr>
          <w:color w:val="000000" w:themeColor="text1"/>
          <w:highlight w:val="none"/>
        </w:rPr>
        <w:t>矿山地质环境保护与治理</w:t>
      </w:r>
      <w:r>
        <w:rPr>
          <w:rFonts w:hint="eastAsia"/>
          <w:color w:val="000000" w:themeColor="text1"/>
          <w:highlight w:val="none"/>
          <w:lang w:eastAsia="zh-CN"/>
        </w:rPr>
        <w:t>主体建筑工程</w:t>
      </w:r>
      <w:r>
        <w:rPr>
          <w:rFonts w:hint="eastAsia"/>
          <w:color w:val="000000" w:themeColor="text1"/>
          <w:highlight w:val="none"/>
          <w:lang w:val="en-US" w:eastAsia="zh-CN"/>
        </w:rPr>
        <w:t>10.025万元</w:t>
      </w:r>
      <w:r>
        <w:rPr>
          <w:rFonts w:hint="eastAsia"/>
          <w:color w:val="000000" w:themeColor="text1"/>
          <w:highlight w:val="none"/>
          <w:lang w:eastAsia="zh-CN"/>
        </w:rPr>
        <w:t>；</w:t>
      </w:r>
    </w:p>
    <w:p>
      <w:pPr>
        <w:pStyle w:val="67"/>
        <w:rPr>
          <w:color w:val="000000" w:themeColor="text1"/>
          <w:highlight w:val="none"/>
        </w:rPr>
      </w:pPr>
      <w:r>
        <w:rPr>
          <w:rFonts w:hint="eastAsia"/>
          <w:color w:val="000000" w:themeColor="text1"/>
          <w:highlight w:val="none"/>
        </w:rPr>
        <w:t>表7-11  矿山地质环境</w:t>
      </w:r>
      <w:r>
        <w:rPr>
          <w:rFonts w:hint="eastAsia" w:ascii="Times New Roman" w:hAnsi="Times New Roman" w:cs="Times New Roman"/>
          <w:color w:val="000000" w:themeColor="text1"/>
          <w:kern w:val="0"/>
          <w:highlight w:val="none"/>
          <w:lang w:val="en-US" w:eastAsia="zh-CN"/>
        </w:rPr>
        <w:t>主体建筑工程</w:t>
      </w:r>
      <w:r>
        <w:rPr>
          <w:rFonts w:hint="eastAsia"/>
          <w:color w:val="000000" w:themeColor="text1"/>
          <w:highlight w:val="none"/>
        </w:rPr>
        <w:t>估算表</w:t>
      </w:r>
    </w:p>
    <w:tbl>
      <w:tblPr>
        <w:tblStyle w:val="3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9"/>
        <w:gridCol w:w="2800"/>
        <w:gridCol w:w="593"/>
        <w:gridCol w:w="1298"/>
        <w:gridCol w:w="1303"/>
        <w:gridCol w:w="1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7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序号</w:t>
            </w:r>
          </w:p>
        </w:tc>
        <w:tc>
          <w:tcPr>
            <w:tcW w:w="1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工程或费用名称</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单位</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数量</w:t>
            </w:r>
          </w:p>
        </w:tc>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单价（元）</w:t>
            </w:r>
          </w:p>
        </w:tc>
        <w:tc>
          <w:tcPr>
            <w:tcW w:w="7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7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1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16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第一部分 主体建筑工程</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100250.00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w:t>
            </w:r>
          </w:p>
        </w:tc>
        <w:tc>
          <w:tcPr>
            <w:tcW w:w="16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安全警示牌</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个</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30</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500.00</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w:t>
            </w:r>
          </w:p>
        </w:tc>
        <w:tc>
          <w:tcPr>
            <w:tcW w:w="16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边坡清理</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85250.00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2.1</w:t>
            </w:r>
          </w:p>
        </w:tc>
        <w:tc>
          <w:tcPr>
            <w:tcW w:w="16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清理浮石</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m3</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17.05</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85250.00</w:t>
            </w:r>
          </w:p>
        </w:tc>
      </w:tr>
    </w:tbl>
    <w:p>
      <w:pPr>
        <w:rPr>
          <w:color w:val="000000" w:themeColor="text1"/>
          <w:highlight w:val="none"/>
        </w:rPr>
      </w:pPr>
      <w:r>
        <w:rPr>
          <w:color w:val="000000" w:themeColor="text1"/>
          <w:highlight w:val="none"/>
        </w:rPr>
        <w:t>矿山地质环境</w:t>
      </w:r>
      <w:r>
        <w:rPr>
          <w:rFonts w:hint="eastAsia"/>
          <w:color w:val="000000" w:themeColor="text1"/>
          <w:kern w:val="0"/>
          <w:highlight w:val="none"/>
          <w:lang w:val="en-US" w:eastAsia="zh-CN"/>
        </w:rPr>
        <w:t>矿山地质环境监测工程费</w:t>
      </w:r>
      <w:r>
        <w:rPr>
          <w:color w:val="000000" w:themeColor="text1"/>
          <w:highlight w:val="none"/>
        </w:rPr>
        <w:t>投资</w:t>
      </w:r>
      <w:r>
        <w:rPr>
          <w:rFonts w:hint="eastAsia"/>
          <w:color w:val="000000" w:themeColor="text1"/>
          <w:highlight w:val="none"/>
          <w:lang w:eastAsia="zh-CN"/>
        </w:rPr>
        <w:t>15.420</w:t>
      </w:r>
      <w:r>
        <w:rPr>
          <w:color w:val="000000" w:themeColor="text1"/>
          <w:highlight w:val="none"/>
        </w:rPr>
        <w:t>万元。</w:t>
      </w:r>
      <w:r>
        <w:rPr>
          <w:rFonts w:hint="eastAsia"/>
          <w:color w:val="000000" w:themeColor="text1"/>
          <w:highlight w:val="none"/>
        </w:rPr>
        <w:t>矿山地质环境监测工程</w:t>
      </w:r>
      <w:r>
        <w:rPr>
          <w:color w:val="000000" w:themeColor="text1"/>
          <w:highlight w:val="none"/>
        </w:rPr>
        <w:t>估算见表7-</w:t>
      </w:r>
      <w:r>
        <w:rPr>
          <w:rFonts w:hint="eastAsia"/>
          <w:color w:val="000000" w:themeColor="text1"/>
          <w:highlight w:val="none"/>
        </w:rPr>
        <w:t>1</w:t>
      </w:r>
      <w:r>
        <w:rPr>
          <w:rFonts w:hint="eastAsia"/>
          <w:color w:val="000000" w:themeColor="text1"/>
          <w:highlight w:val="none"/>
          <w:lang w:val="en-US" w:eastAsia="zh-CN"/>
        </w:rPr>
        <w:t>2</w:t>
      </w:r>
      <w:r>
        <w:rPr>
          <w:color w:val="000000" w:themeColor="text1"/>
          <w:highlight w:val="none"/>
        </w:rPr>
        <w:t>。</w:t>
      </w:r>
    </w:p>
    <w:p>
      <w:pPr>
        <w:pStyle w:val="67"/>
        <w:rPr>
          <w:color w:val="000000" w:themeColor="text1"/>
          <w:highlight w:val="none"/>
        </w:rPr>
      </w:pPr>
      <w:r>
        <w:rPr>
          <w:rFonts w:hint="eastAsia"/>
          <w:color w:val="000000" w:themeColor="text1"/>
          <w:highlight w:val="none"/>
        </w:rPr>
        <w:t>表7-1</w:t>
      </w:r>
      <w:r>
        <w:rPr>
          <w:rFonts w:hint="eastAsia"/>
          <w:color w:val="000000" w:themeColor="text1"/>
          <w:highlight w:val="none"/>
          <w:lang w:val="en-US" w:eastAsia="zh-CN"/>
        </w:rPr>
        <w:t>2</w:t>
      </w:r>
      <w:r>
        <w:rPr>
          <w:rFonts w:hint="eastAsia"/>
          <w:color w:val="000000" w:themeColor="text1"/>
          <w:highlight w:val="none"/>
        </w:rPr>
        <w:t xml:space="preserve">  矿山地质环境监测工程估算表</w:t>
      </w:r>
    </w:p>
    <w:tbl>
      <w:tblPr>
        <w:tblStyle w:val="31"/>
        <w:tblW w:w="4998" w:type="pct"/>
        <w:tblInd w:w="0" w:type="dxa"/>
        <w:shd w:val="clear" w:color="auto" w:fill="auto"/>
        <w:tblLayout w:type="autofit"/>
        <w:tblCellMar>
          <w:top w:w="0" w:type="dxa"/>
          <w:left w:w="0" w:type="dxa"/>
          <w:bottom w:w="0" w:type="dxa"/>
          <w:right w:w="0" w:type="dxa"/>
        </w:tblCellMar>
      </w:tblPr>
      <w:tblGrid>
        <w:gridCol w:w="1168"/>
        <w:gridCol w:w="2714"/>
        <w:gridCol w:w="690"/>
        <w:gridCol w:w="1216"/>
        <w:gridCol w:w="1218"/>
        <w:gridCol w:w="1320"/>
      </w:tblGrid>
      <w:tr>
        <w:tblPrEx>
          <w:shd w:val="clear" w:color="auto" w:fill="auto"/>
          <w:tblCellMar>
            <w:top w:w="0" w:type="dxa"/>
            <w:left w:w="0" w:type="dxa"/>
            <w:bottom w:w="0" w:type="dxa"/>
            <w:right w:w="0" w:type="dxa"/>
          </w:tblCellMar>
        </w:tblPrEx>
        <w:trPr>
          <w:trHeight w:val="367" w:hRule="atLeast"/>
        </w:trPr>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序号</w:t>
            </w:r>
          </w:p>
        </w:tc>
        <w:tc>
          <w:tcPr>
            <w:tcW w:w="1629"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工程或费用名称</w:t>
            </w:r>
          </w:p>
        </w:tc>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单位</w:t>
            </w:r>
          </w:p>
        </w:tc>
        <w:tc>
          <w:tcPr>
            <w:tcW w:w="73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数量</w:t>
            </w:r>
          </w:p>
        </w:tc>
        <w:tc>
          <w:tcPr>
            <w:tcW w:w="73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单价（元）</w:t>
            </w:r>
          </w:p>
        </w:tc>
        <w:tc>
          <w:tcPr>
            <w:tcW w:w="792"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合价（元）</w:t>
            </w:r>
          </w:p>
        </w:tc>
      </w:tr>
      <w:tr>
        <w:tblPrEx>
          <w:shd w:val="clear" w:color="auto" w:fill="auto"/>
          <w:tblCellMar>
            <w:top w:w="0" w:type="dxa"/>
            <w:left w:w="0" w:type="dxa"/>
            <w:bottom w:w="0" w:type="dxa"/>
            <w:right w:w="0" w:type="dxa"/>
          </w:tblCellMar>
        </w:tblPrEx>
        <w:trPr>
          <w:trHeight w:val="367" w:hRule="atLeast"/>
        </w:trPr>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629"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73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73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792"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第三部分 矿山地质环境监测工程费</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154200.00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地质灾害监测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45600.00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A1.1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地质灾害监测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132</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39600.00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A1.2</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雨量监测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台</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A2</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含水层破坏监测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33600.00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A2.1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地下水水位监测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点*次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48</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9600.00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A2.2</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地下水水质监测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点*次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12000.00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A2.3</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地表水水质监测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点*次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12000.00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A3</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水土污染监测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12000.00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A3.1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水土污染监测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点*次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12000.00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A4</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雨量监测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20000.00</w:t>
            </w:r>
          </w:p>
        </w:tc>
      </w:tr>
      <w:tr>
        <w:tblPrEx>
          <w:shd w:val="clear" w:color="auto" w:fill="auto"/>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A4.1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太阳能雨量监测系统</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20000.00</w:t>
            </w:r>
          </w:p>
        </w:tc>
      </w:tr>
      <w:tr>
        <w:tblPrEx>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A5</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GNSS监测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43000.00</w:t>
            </w:r>
          </w:p>
        </w:tc>
      </w:tr>
      <w:tr>
        <w:tblPrEx>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A5.1</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GNSS监测设备</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30000.00</w:t>
            </w:r>
          </w:p>
        </w:tc>
      </w:tr>
      <w:tr>
        <w:tblPrEx>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A5.2</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机房配套设施</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8000.00</w:t>
            </w:r>
          </w:p>
        </w:tc>
      </w:tr>
      <w:tr>
        <w:tblPrEx>
          <w:tblCellMar>
            <w:top w:w="0" w:type="dxa"/>
            <w:left w:w="0" w:type="dxa"/>
            <w:bottom w:w="0" w:type="dxa"/>
            <w:right w:w="0" w:type="dxa"/>
          </w:tblCellMar>
        </w:tblPrEx>
        <w:trPr>
          <w:trHeight w:val="367" w:hRule="atLeast"/>
        </w:trPr>
        <w:tc>
          <w:tcPr>
            <w:tcW w:w="7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A5.3</w:t>
            </w:r>
          </w:p>
        </w:tc>
        <w:tc>
          <w:tcPr>
            <w:tcW w:w="16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视频监测</w:t>
            </w:r>
          </w:p>
        </w:tc>
        <w:tc>
          <w:tcPr>
            <w:tcW w:w="4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5000.00</w:t>
            </w:r>
          </w:p>
        </w:tc>
      </w:tr>
      <w:tr>
        <w:tblPrEx>
          <w:tblCellMar>
            <w:top w:w="0" w:type="dxa"/>
            <w:left w:w="0" w:type="dxa"/>
            <w:bottom w:w="0" w:type="dxa"/>
            <w:right w:w="0" w:type="dxa"/>
          </w:tblCellMar>
        </w:tblPrEx>
        <w:trPr>
          <w:trHeight w:val="367" w:hRule="atLeast"/>
        </w:trPr>
        <w:tc>
          <w:tcPr>
            <w:tcW w:w="700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本页小计</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154200</w:t>
            </w:r>
          </w:p>
        </w:tc>
      </w:tr>
    </w:tbl>
    <w:p>
      <w:pPr>
        <w:pStyle w:val="67"/>
        <w:rPr>
          <w:color w:val="000000" w:themeColor="text1"/>
          <w:highlight w:val="none"/>
        </w:rPr>
      </w:pPr>
    </w:p>
    <w:p>
      <w:pPr>
        <w:pStyle w:val="67"/>
        <w:rPr>
          <w:color w:val="000000" w:themeColor="text1"/>
          <w:highlight w:val="none"/>
        </w:rPr>
      </w:pPr>
      <w:r>
        <w:rPr>
          <w:rFonts w:hint="eastAsia"/>
          <w:color w:val="000000" w:themeColor="text1"/>
          <w:highlight w:val="none"/>
        </w:rPr>
        <w:t>表7-13  独立费用估算表</w:t>
      </w:r>
    </w:p>
    <w:tbl>
      <w:tblPr>
        <w:tblStyle w:val="31"/>
        <w:tblW w:w="4998" w:type="pct"/>
        <w:tblInd w:w="0" w:type="dxa"/>
        <w:shd w:val="clear" w:color="auto" w:fill="auto"/>
        <w:tblLayout w:type="autofit"/>
        <w:tblCellMar>
          <w:top w:w="0" w:type="dxa"/>
          <w:left w:w="0" w:type="dxa"/>
          <w:bottom w:w="0" w:type="dxa"/>
          <w:right w:w="0" w:type="dxa"/>
        </w:tblCellMar>
      </w:tblPr>
      <w:tblGrid>
        <w:gridCol w:w="959"/>
        <w:gridCol w:w="1975"/>
        <w:gridCol w:w="3175"/>
        <w:gridCol w:w="959"/>
        <w:gridCol w:w="1258"/>
      </w:tblGrid>
      <w:tr>
        <w:tblPrEx>
          <w:shd w:val="clear" w:color="auto" w:fill="auto"/>
          <w:tblCellMar>
            <w:top w:w="0" w:type="dxa"/>
            <w:left w:w="0" w:type="dxa"/>
            <w:bottom w:w="0" w:type="dxa"/>
            <w:right w:w="0" w:type="dxa"/>
          </w:tblCellMar>
        </w:tblPrEx>
        <w:trPr>
          <w:trHeight w:val="374" w:hRule="atLeast"/>
        </w:trPr>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序号</w:t>
            </w:r>
          </w:p>
        </w:tc>
        <w:tc>
          <w:tcPr>
            <w:tcW w:w="11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费用名称</w:t>
            </w:r>
          </w:p>
        </w:tc>
        <w:tc>
          <w:tcPr>
            <w:tcW w:w="19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公式</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费率</w:t>
            </w:r>
          </w:p>
        </w:tc>
        <w:tc>
          <w:tcPr>
            <w:tcW w:w="7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总价（元）</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一、建设管理费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F11+F12+F13+F14</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33666.02</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1、项目建设管理费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F111+F112+F113</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7739.84</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F111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（1）建设单位管理费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max((FZ*2%)</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5739.84</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F112</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（2）工程验收费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max(建安费合计*验收费费率</w:t>
            </w:r>
            <w:r>
              <w:rPr>
                <w:rFonts w:hint="eastAsia" w:cs="Times New Roman"/>
                <w:color w:val="000000" w:themeColor="text1"/>
                <w:kern w:val="0"/>
                <w:highlight w:val="none"/>
                <w:lang w:val="en-US" w:eastAsia="zh-CN"/>
              </w:rPr>
              <w:t>，</w:t>
            </w:r>
            <w:r>
              <w:rPr>
                <w:rFonts w:hint="eastAsia" w:ascii="Times New Roman" w:hAnsi="Times New Roman" w:cs="Times New Roman"/>
                <w:color w:val="000000" w:themeColor="text1"/>
                <w:kern w:val="0"/>
                <w:highlight w:val="none"/>
                <w:lang w:val="en-US" w:eastAsia="zh-CN"/>
              </w:rPr>
              <w:t>2000)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0.60%</w:t>
            </w: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F12</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2、造价咨询费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F121</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3381.68</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F121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（1）竣工结算审核费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max((建安费合计/10000*5/1000)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3381.68</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F13</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3、招标代理服务费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F131</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2544.50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F131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（1）工程施工招标（比选）服务费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(建安费合计/10000*1%)</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2544.50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F14</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4、工程建设监理费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F141*(1+F142)*F143*F144</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F141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监理费基价</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F143</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工程复杂程度系数</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工程复杂程度系数</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1.00</w:t>
            </w: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F144</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高程调整系数</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高程调整系数</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1.00</w:t>
            </w: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F2411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①设计费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max((工程设计复杂程度系数200/200*建安费合计/10000)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27000.00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F2412</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②技术审查费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F2413</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③经济审查费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2500.00</w:t>
            </w:r>
          </w:p>
        </w:tc>
      </w:tr>
      <w:tr>
        <w:tblPrEx>
          <w:shd w:val="clear" w:color="auto" w:fill="auto"/>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F2421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①设计费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max((工程设计复杂程度系数200/200*建安费合计/10000)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45000.00</w:t>
            </w:r>
          </w:p>
        </w:tc>
      </w:tr>
      <w:tr>
        <w:tblPrEx>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F2422</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②技术审查费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(6000)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6000.00</w:t>
            </w:r>
          </w:p>
        </w:tc>
      </w:tr>
      <w:tr>
        <w:tblPrEx>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F2423</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③经济审查费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2500</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2500.00</w:t>
            </w:r>
          </w:p>
        </w:tc>
      </w:tr>
      <w:tr>
        <w:tblPrEx>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F4</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四、其它</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F41+F42</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6615.70</w:t>
            </w:r>
          </w:p>
        </w:tc>
      </w:tr>
      <w:tr>
        <w:tblPrEx>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F41</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1、工程质量检测费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建安费合计*检测费费率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0.60%</w:t>
            </w: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1526.70</w:t>
            </w:r>
          </w:p>
        </w:tc>
      </w:tr>
      <w:tr>
        <w:tblPrEx>
          <w:tblCellMar>
            <w:top w:w="0" w:type="dxa"/>
            <w:left w:w="0" w:type="dxa"/>
            <w:bottom w:w="0" w:type="dxa"/>
            <w:right w:w="0" w:type="dxa"/>
          </w:tblCellMar>
        </w:tblPrEx>
        <w:trPr>
          <w:trHeight w:val="374" w:hRule="atLeast"/>
        </w:trPr>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F42</w:t>
            </w:r>
          </w:p>
        </w:tc>
        <w:tc>
          <w:tcPr>
            <w:tcW w:w="1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2、监测费</w:t>
            </w:r>
          </w:p>
        </w:tc>
        <w:tc>
          <w:tcPr>
            <w:tcW w:w="31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∑建安费*监测费费率</w:t>
            </w:r>
          </w:p>
        </w:tc>
        <w:tc>
          <w:tcPr>
            <w:tcW w:w="9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2.00%</w:t>
            </w:r>
          </w:p>
        </w:tc>
        <w:tc>
          <w:tcPr>
            <w:tcW w:w="1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5089.00</w:t>
            </w:r>
          </w:p>
        </w:tc>
      </w:tr>
      <w:tr>
        <w:tblPrEx>
          <w:tblCellMar>
            <w:top w:w="0" w:type="dxa"/>
            <w:left w:w="0" w:type="dxa"/>
            <w:bottom w:w="0" w:type="dxa"/>
            <w:right w:w="0" w:type="dxa"/>
          </w:tblCellMar>
        </w:tblPrEx>
        <w:trPr>
          <w:trHeight w:val="374" w:hRule="atLeast"/>
        </w:trPr>
        <w:tc>
          <w:tcPr>
            <w:tcW w:w="3668" w:type="pct"/>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合计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kern w:val="0"/>
                <w:highlight w:val="none"/>
                <w:lang w:val="en-US" w:eastAsia="zh-CN"/>
              </w:rPr>
            </w:pPr>
            <w:r>
              <w:rPr>
                <w:rFonts w:hint="eastAsia" w:ascii="Times New Roman" w:hAnsi="Times New Roman" w:cs="Times New Roman"/>
                <w:color w:val="000000" w:themeColor="text1"/>
                <w:kern w:val="0"/>
                <w:highlight w:val="none"/>
                <w:lang w:val="en-US" w:eastAsia="zh-CN"/>
              </w:rPr>
              <w:t>40281.72</w:t>
            </w:r>
          </w:p>
        </w:tc>
      </w:tr>
    </w:tbl>
    <w:p>
      <w:pPr>
        <w:pStyle w:val="4"/>
        <w:spacing w:before="82" w:after="82"/>
        <w:rPr>
          <w:rFonts w:cs="Times New Roman"/>
          <w:color w:val="000000" w:themeColor="text1"/>
          <w:highlight w:val="none"/>
        </w:rPr>
      </w:pPr>
      <w:bookmarkStart w:id="267" w:name="_Toc26422"/>
      <w:r>
        <w:rPr>
          <w:color w:val="000000" w:themeColor="text1"/>
          <w:highlight w:val="none"/>
        </w:rPr>
        <w:t>7.3土地复垦工程经费估算</w:t>
      </w:r>
      <w:bookmarkEnd w:id="267"/>
    </w:p>
    <w:p>
      <w:pPr>
        <w:pStyle w:val="5"/>
        <w:spacing w:before="82" w:after="82"/>
        <w:rPr>
          <w:rFonts w:ascii="宋体" w:hAnsi="宋体"/>
          <w:color w:val="000000" w:themeColor="text1"/>
          <w:highlight w:val="none"/>
        </w:rPr>
      </w:pPr>
      <w:bookmarkStart w:id="268" w:name="_Toc27439"/>
      <w:r>
        <w:rPr>
          <w:color w:val="000000" w:themeColor="text1"/>
          <w:highlight w:val="none"/>
        </w:rPr>
        <w:t>7.3.1</w:t>
      </w:r>
      <w:r>
        <w:rPr>
          <w:rFonts w:ascii="宋体" w:hAnsi="宋体"/>
          <w:color w:val="000000" w:themeColor="text1"/>
          <w:highlight w:val="none"/>
        </w:rPr>
        <w:t>总工程量</w:t>
      </w:r>
      <w:bookmarkEnd w:id="268"/>
    </w:p>
    <w:p>
      <w:pPr>
        <w:pStyle w:val="67"/>
        <w:rPr>
          <w:color w:val="000000" w:themeColor="text1"/>
          <w:highlight w:val="none"/>
        </w:rPr>
      </w:pPr>
      <w:r>
        <w:rPr>
          <w:rFonts w:hint="eastAsia"/>
          <w:color w:val="000000" w:themeColor="text1"/>
          <w:highlight w:val="none"/>
        </w:rPr>
        <w:t>表7-14  土地复垦工程量汇总表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1550"/>
        <w:gridCol w:w="1848"/>
        <w:gridCol w:w="19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序号</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名称及规格</w:t>
            </w:r>
          </w:p>
        </w:tc>
        <w:tc>
          <w:tcPr>
            <w:tcW w:w="116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单位</w:t>
            </w:r>
          </w:p>
        </w:tc>
        <w:tc>
          <w:tcPr>
            <w:tcW w:w="1022"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工程量合计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一</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土壤重构工程</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val="en-US" w:eastAsia="zh-CN"/>
              </w:rPr>
              <w:t>1</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土壤剥覆工程</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w:t>
            </w:r>
            <w:r>
              <w:rPr>
                <w:rFonts w:hint="eastAsia"/>
                <w:color w:val="000000" w:themeColor="text1"/>
                <w:highlight w:val="none"/>
                <w:lang w:val="en-US" w:eastAsia="zh-CN"/>
              </w:rPr>
              <w:t>1</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表土剥离</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m</w:t>
            </w:r>
            <w:r>
              <w:rPr>
                <w:color w:val="000000" w:themeColor="text1"/>
                <w:highlight w:val="none"/>
                <w:vertAlign w:val="superscript"/>
              </w:rPr>
              <w:t>3</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val="en-US"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w:t>
            </w:r>
            <w:r>
              <w:rPr>
                <w:rFonts w:hint="eastAsia"/>
                <w:color w:val="000000" w:themeColor="text1"/>
                <w:highlight w:val="none"/>
                <w:lang w:val="en-US" w:eastAsia="zh-CN"/>
              </w:rPr>
              <w:t>2</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表土养护</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hm</w:t>
            </w:r>
            <w:r>
              <w:rPr>
                <w:color w:val="000000" w:themeColor="text1"/>
                <w:highlight w:val="none"/>
                <w:vertAlign w:val="superscript"/>
              </w:rPr>
              <w:t>2</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w:t>
            </w:r>
            <w:r>
              <w:rPr>
                <w:rFonts w:hint="eastAsia"/>
                <w:color w:val="000000" w:themeColor="text1"/>
                <w:highlight w:val="none"/>
                <w:lang w:val="en-US" w:eastAsia="zh-CN"/>
              </w:rPr>
              <w:t>3</w:t>
            </w:r>
            <w:r>
              <w:rPr>
                <w:rFonts w:hint="eastAsia"/>
                <w:color w:val="000000" w:themeColor="text1"/>
                <w:highlight w:val="none"/>
                <w:lang w:eastAsia="zh-CN"/>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表土回覆</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m</w:t>
            </w:r>
            <w:r>
              <w:rPr>
                <w:color w:val="000000" w:themeColor="text1"/>
                <w:highlight w:val="none"/>
                <w:vertAlign w:val="superscript"/>
              </w:rPr>
              <w:t>3</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val="en-US" w:eastAsia="zh-CN"/>
              </w:rPr>
              <w:t>24711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（4</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表土挡墙</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①</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浆砌块石挡土墙</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m</w:t>
            </w:r>
            <w:r>
              <w:rPr>
                <w:color w:val="000000" w:themeColor="text1"/>
                <w:highlight w:val="none"/>
                <w:vertAlign w:val="superscript"/>
              </w:rPr>
              <w:t>3</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val="en-US" w:eastAsia="zh-CN"/>
              </w:rPr>
              <w:t>2</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生物化学工程</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（1</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林地培肥（3</w:t>
            </w:r>
            <w:r>
              <w:rPr>
                <w:rFonts w:hint="eastAsia" w:ascii="宋体" w:hAnsi="宋体"/>
                <w:color w:val="000000" w:themeColor="text1"/>
                <w:highlight w:val="none"/>
              </w:rPr>
              <w:t>年）</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hm</w:t>
            </w:r>
            <w:r>
              <w:rPr>
                <w:color w:val="000000" w:themeColor="text1"/>
                <w:highlight w:val="none"/>
                <w:vertAlign w:val="superscript"/>
              </w:rPr>
              <w:t>2</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8.179</w:t>
            </w:r>
            <w:r>
              <w:rPr>
                <w:rFonts w:hint="eastAsia"/>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二</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rFonts w:hint="eastAsia"/>
                <w:color w:val="000000" w:themeColor="text1"/>
                <w:highlight w:val="none"/>
              </w:rPr>
            </w:pPr>
            <w:r>
              <w:rPr>
                <w:rFonts w:hint="eastAsia"/>
                <w:color w:val="000000" w:themeColor="text1"/>
                <w:highlight w:val="none"/>
              </w:rPr>
              <w:t>植被重建工程</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1</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林地种植</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rFonts w:hint="default" w:eastAsia="宋体"/>
                <w:color w:val="000000" w:themeColor="text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（1</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马尾松种植</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株</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lang w:eastAsia="zh-CN"/>
              </w:rPr>
              <w:t>22052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2</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lang w:eastAsia="zh-CN"/>
              </w:rPr>
              <w:t>其他草地种植</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w:t>
            </w:r>
            <w:r>
              <w:rPr>
                <w:rFonts w:hint="eastAsia"/>
                <w:color w:val="000000" w:themeColor="text1"/>
                <w:highlight w:val="none"/>
                <w:lang w:val="en-US" w:eastAsia="zh-CN"/>
              </w:rPr>
              <w:t>1</w:t>
            </w:r>
            <w:r>
              <w:rPr>
                <w:rFonts w:hint="eastAsia" w:ascii="宋体" w:hAnsi="宋体"/>
                <w:color w:val="000000" w:themeColor="text1"/>
                <w:highlight w:val="none"/>
              </w:rPr>
              <w:t>）</w:t>
            </w:r>
          </w:p>
        </w:tc>
        <w:tc>
          <w:tcPr>
            <w:tcW w:w="1995" w:type="pct"/>
            <w:gridSpan w:val="2"/>
            <w:tcBorders>
              <w:top w:val="single" w:color="auto" w:sz="4" w:space="0"/>
              <w:left w:val="nil"/>
              <w:bottom w:val="single" w:color="auto" w:sz="4" w:space="0"/>
              <w:right w:val="single" w:color="auto" w:sz="4" w:space="0"/>
            </w:tcBorders>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lang w:eastAsia="zh-CN"/>
              </w:rPr>
              <w:t>蔷薇</w:t>
            </w:r>
          </w:p>
        </w:tc>
        <w:tc>
          <w:tcPr>
            <w:tcW w:w="1165"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株</w:t>
            </w:r>
          </w:p>
        </w:tc>
        <w:tc>
          <w:tcPr>
            <w:tcW w:w="1022" w:type="pct"/>
            <w:tcBorders>
              <w:top w:val="single" w:color="auto" w:sz="4" w:space="0"/>
              <w:left w:val="nil"/>
              <w:bottom w:val="single" w:color="auto" w:sz="4" w:space="0"/>
              <w:right w:val="single" w:color="auto" w:sz="4" w:space="0"/>
            </w:tcBorders>
            <w:vAlign w:val="center"/>
          </w:tcPr>
          <w:p>
            <w:pPr>
              <w:pStyle w:val="63"/>
              <w:ind w:firstLine="0" w:firstLineChars="0"/>
              <w:rPr>
                <w:rFonts w:hint="eastAsia" w:eastAsia="宋体"/>
                <w:color w:val="000000" w:themeColor="text1"/>
                <w:highlight w:val="none"/>
                <w:lang w:eastAsia="zh-CN"/>
              </w:rPr>
            </w:pPr>
            <w:r>
              <w:rPr>
                <w:rFonts w:hint="eastAsia"/>
                <w:color w:val="000000" w:themeColor="text1"/>
                <w:highlight w:val="none"/>
                <w:lang w:eastAsia="zh-CN"/>
              </w:rPr>
              <w:t>6710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四</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监测工程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p>
        </w:tc>
        <w:tc>
          <w:tcPr>
            <w:tcW w:w="1022"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1</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土壤损毁情况监测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点·次</w:t>
            </w:r>
          </w:p>
        </w:tc>
        <w:tc>
          <w:tcPr>
            <w:tcW w:w="1022" w:type="pct"/>
            <w:tcBorders>
              <w:top w:val="single" w:color="auto" w:sz="4" w:space="0"/>
              <w:left w:val="nil"/>
              <w:bottom w:val="single" w:color="auto" w:sz="4" w:space="0"/>
              <w:right w:val="single" w:color="auto" w:sz="4" w:space="0"/>
            </w:tcBorders>
            <w:noWrap/>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2</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土壤质量监测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点·次</w:t>
            </w:r>
          </w:p>
        </w:tc>
        <w:tc>
          <w:tcPr>
            <w:tcW w:w="1022" w:type="pct"/>
            <w:tcBorders>
              <w:top w:val="single" w:color="auto" w:sz="4" w:space="0"/>
              <w:left w:val="nil"/>
              <w:bottom w:val="single" w:color="auto" w:sz="4" w:space="0"/>
              <w:right w:val="single" w:color="auto" w:sz="4" w:space="0"/>
            </w:tcBorders>
            <w:noWrap/>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3</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复垦植被监测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点·次</w:t>
            </w:r>
          </w:p>
        </w:tc>
        <w:tc>
          <w:tcPr>
            <w:tcW w:w="1022" w:type="pct"/>
            <w:tcBorders>
              <w:top w:val="single" w:color="auto" w:sz="4" w:space="0"/>
              <w:left w:val="nil"/>
              <w:bottom w:val="single" w:color="auto" w:sz="4" w:space="0"/>
              <w:right w:val="single" w:color="auto" w:sz="4" w:space="0"/>
            </w:tcBorders>
            <w:noWrap/>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4</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复垦配套设施监测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点·次</w:t>
            </w:r>
          </w:p>
        </w:tc>
        <w:tc>
          <w:tcPr>
            <w:tcW w:w="1022"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r>
              <w:rPr>
                <w:rFonts w:hint="eastAsia"/>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五</w:t>
            </w:r>
          </w:p>
        </w:tc>
        <w:tc>
          <w:tcPr>
            <w:tcW w:w="1995" w:type="pct"/>
            <w:gridSpan w:val="2"/>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highlight w:val="none"/>
              </w:rPr>
              <w:t>管护工程</w:t>
            </w:r>
          </w:p>
        </w:tc>
        <w:tc>
          <w:tcPr>
            <w:tcW w:w="1165"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p>
        </w:tc>
        <w:tc>
          <w:tcPr>
            <w:tcW w:w="1022" w:type="pct"/>
            <w:tcBorders>
              <w:top w:val="single" w:color="auto" w:sz="4" w:space="0"/>
              <w:left w:val="nil"/>
              <w:bottom w:val="single" w:color="auto" w:sz="4" w:space="0"/>
              <w:right w:val="single" w:color="auto" w:sz="4" w:space="0"/>
            </w:tcBorders>
            <w:noWrap/>
            <w:vAlign w:val="center"/>
          </w:tcPr>
          <w:p>
            <w:pPr>
              <w:pStyle w:val="63"/>
              <w:rPr>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vMerge w:val="restart"/>
            <w:tcBorders>
              <w:top w:val="nil"/>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w:t>
            </w:r>
          </w:p>
        </w:tc>
        <w:tc>
          <w:tcPr>
            <w:tcW w:w="910" w:type="pct"/>
            <w:vMerge w:val="restart"/>
            <w:tcBorders>
              <w:top w:val="nil"/>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林地管护</w:t>
            </w:r>
          </w:p>
        </w:tc>
        <w:tc>
          <w:tcPr>
            <w:tcW w:w="108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林木补植</w:t>
            </w:r>
          </w:p>
        </w:tc>
        <w:tc>
          <w:tcPr>
            <w:tcW w:w="116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022"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kern w:val="0"/>
                <w:highlight w:val="none"/>
                <w:lang w:eastAsia="zh-CN"/>
              </w:rPr>
              <w:t>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910" w:type="pct"/>
            <w:vMerge w:val="continue"/>
            <w:tcBorders>
              <w:top w:val="nil"/>
              <w:left w:val="nil"/>
              <w:bottom w:val="single" w:color="auto" w:sz="4" w:space="0"/>
              <w:right w:val="single" w:color="auto" w:sz="4" w:space="0"/>
            </w:tcBorders>
            <w:vAlign w:val="center"/>
          </w:tcPr>
          <w:p>
            <w:pPr>
              <w:pStyle w:val="63"/>
              <w:rPr>
                <w:color w:val="000000" w:themeColor="text1"/>
                <w:highlight w:val="none"/>
              </w:rPr>
            </w:pPr>
          </w:p>
        </w:tc>
        <w:tc>
          <w:tcPr>
            <w:tcW w:w="108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伐枯腐木</w:t>
            </w:r>
          </w:p>
        </w:tc>
        <w:tc>
          <w:tcPr>
            <w:tcW w:w="116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022"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kern w:val="0"/>
                <w:highlight w:val="none"/>
                <w:lang w:eastAsia="zh-CN"/>
              </w:rPr>
              <w:t>8.179</w:t>
            </w:r>
            <w:r>
              <w:rPr>
                <w:color w:val="000000" w:themeColor="text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pct"/>
            <w:vMerge w:val="continue"/>
            <w:tcBorders>
              <w:top w:val="nil"/>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910" w:type="pct"/>
            <w:vMerge w:val="continue"/>
            <w:tcBorders>
              <w:top w:val="nil"/>
              <w:left w:val="nil"/>
              <w:bottom w:val="single" w:color="auto" w:sz="4" w:space="0"/>
              <w:right w:val="single" w:color="auto" w:sz="4" w:space="0"/>
            </w:tcBorders>
            <w:vAlign w:val="center"/>
          </w:tcPr>
          <w:p>
            <w:pPr>
              <w:pStyle w:val="63"/>
              <w:rPr>
                <w:color w:val="000000" w:themeColor="text1"/>
                <w:highlight w:val="none"/>
              </w:rPr>
            </w:pPr>
          </w:p>
        </w:tc>
        <w:tc>
          <w:tcPr>
            <w:tcW w:w="108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喷洒农药</w:t>
            </w:r>
          </w:p>
        </w:tc>
        <w:tc>
          <w:tcPr>
            <w:tcW w:w="1165"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hm</w:t>
            </w:r>
            <w:r>
              <w:rPr>
                <w:color w:val="000000" w:themeColor="text1"/>
                <w:highlight w:val="none"/>
                <w:vertAlign w:val="superscript"/>
              </w:rPr>
              <w:t>2</w:t>
            </w:r>
          </w:p>
        </w:tc>
        <w:tc>
          <w:tcPr>
            <w:tcW w:w="1022" w:type="pc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rFonts w:hint="eastAsia"/>
                <w:color w:val="000000" w:themeColor="text1"/>
                <w:kern w:val="0"/>
                <w:highlight w:val="none"/>
                <w:lang w:eastAsia="zh-CN"/>
              </w:rPr>
              <w:t>8.179</w:t>
            </w:r>
            <w:r>
              <w:rPr>
                <w:color w:val="000000" w:themeColor="text1"/>
                <w:highlight w:val="none"/>
              </w:rPr>
              <w:t>*3</w:t>
            </w:r>
          </w:p>
        </w:tc>
      </w:tr>
    </w:tbl>
    <w:p>
      <w:pPr>
        <w:pStyle w:val="5"/>
        <w:spacing w:before="82" w:after="82"/>
        <w:rPr>
          <w:rFonts w:cs="Times New Roman"/>
          <w:color w:val="000000" w:themeColor="text1"/>
          <w:highlight w:val="none"/>
        </w:rPr>
      </w:pPr>
      <w:bookmarkStart w:id="269" w:name="_Toc12346"/>
      <w:r>
        <w:rPr>
          <w:color w:val="000000" w:themeColor="text1"/>
          <w:highlight w:val="none"/>
        </w:rPr>
        <w:t>7.3.2</w:t>
      </w:r>
      <w:r>
        <w:rPr>
          <w:rFonts w:ascii="宋体" w:hAnsi="宋体"/>
          <w:color w:val="000000" w:themeColor="text1"/>
          <w:highlight w:val="none"/>
        </w:rPr>
        <w:t>投资估算</w:t>
      </w:r>
      <w:bookmarkEnd w:id="269"/>
    </w:p>
    <w:p>
      <w:pPr>
        <w:rPr>
          <w:color w:val="000000" w:themeColor="text1"/>
          <w:highlight w:val="none"/>
        </w:rPr>
      </w:pPr>
      <w:r>
        <w:rPr>
          <w:color w:val="000000" w:themeColor="text1"/>
          <w:highlight w:val="none"/>
        </w:rPr>
        <w:t>经计算，</w:t>
      </w:r>
      <w:r>
        <w:rPr>
          <w:rFonts w:hint="eastAsia"/>
          <w:color w:val="000000" w:themeColor="text1"/>
          <w:highlight w:val="none"/>
          <w:lang w:eastAsia="zh-CN"/>
        </w:rPr>
        <w:t>土地复垦动态</w:t>
      </w:r>
      <w:r>
        <w:rPr>
          <w:color w:val="000000" w:themeColor="text1"/>
          <w:highlight w:val="none"/>
        </w:rPr>
        <w:t>总投资</w:t>
      </w:r>
      <w:r>
        <w:rPr>
          <w:rFonts w:hint="eastAsia"/>
          <w:color w:val="000000" w:themeColor="text1"/>
          <w:highlight w:val="none"/>
          <w:lang w:val="en-US" w:eastAsia="zh-CN"/>
        </w:rPr>
        <w:t>123.429</w:t>
      </w:r>
      <w:r>
        <w:rPr>
          <w:color w:val="000000" w:themeColor="text1"/>
          <w:highlight w:val="none"/>
        </w:rPr>
        <w:t>万元，静态总投资</w:t>
      </w:r>
      <w:r>
        <w:rPr>
          <w:rFonts w:hint="eastAsia"/>
          <w:color w:val="000000" w:themeColor="text1"/>
          <w:highlight w:val="none"/>
          <w:lang w:val="en-US" w:eastAsia="zh-CN"/>
        </w:rPr>
        <w:t>95.126</w:t>
      </w:r>
      <w:r>
        <w:rPr>
          <w:color w:val="000000" w:themeColor="text1"/>
          <w:highlight w:val="none"/>
        </w:rPr>
        <w:t>万元，其中工程施工费</w:t>
      </w:r>
      <w:r>
        <w:rPr>
          <w:rFonts w:hint="eastAsia"/>
          <w:color w:val="000000" w:themeColor="text1"/>
          <w:highlight w:val="none"/>
          <w:lang w:val="en-US" w:eastAsia="zh-CN"/>
        </w:rPr>
        <w:t>68.447</w:t>
      </w:r>
      <w:r>
        <w:rPr>
          <w:color w:val="000000" w:themeColor="text1"/>
          <w:highlight w:val="none"/>
        </w:rPr>
        <w:t>万元，其它费用</w:t>
      </w:r>
      <w:r>
        <w:rPr>
          <w:rFonts w:hint="eastAsia"/>
          <w:color w:val="000000" w:themeColor="text1"/>
          <w:highlight w:val="none"/>
          <w:lang w:val="en-US" w:eastAsia="zh-CN"/>
        </w:rPr>
        <w:t>17.320</w:t>
      </w:r>
      <w:r>
        <w:rPr>
          <w:color w:val="000000" w:themeColor="text1"/>
          <w:highlight w:val="none"/>
        </w:rPr>
        <w:t>万元，监测与管护费</w:t>
      </w:r>
      <w:r>
        <w:rPr>
          <w:rFonts w:hint="eastAsia"/>
          <w:color w:val="000000" w:themeColor="text1"/>
          <w:highlight w:val="none"/>
          <w:lang w:val="en-US" w:eastAsia="zh-CN"/>
        </w:rPr>
        <w:t>6.588</w:t>
      </w:r>
      <w:r>
        <w:rPr>
          <w:color w:val="000000" w:themeColor="text1"/>
          <w:highlight w:val="none"/>
        </w:rPr>
        <w:t>万元，基本预备费</w:t>
      </w:r>
      <w:r>
        <w:rPr>
          <w:rFonts w:hint="eastAsia"/>
          <w:color w:val="000000" w:themeColor="text1"/>
          <w:highlight w:val="none"/>
          <w:lang w:val="en-US" w:eastAsia="zh-CN"/>
        </w:rPr>
        <w:t>2.771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28.303</w:t>
      </w:r>
      <w:r>
        <w:rPr>
          <w:rFonts w:hint="eastAsia"/>
          <w:color w:val="000000" w:themeColor="text1"/>
          <w:highlight w:val="none"/>
        </w:rPr>
        <w:t>万元</w:t>
      </w:r>
      <w:r>
        <w:rPr>
          <w:color w:val="000000" w:themeColor="text1"/>
          <w:highlight w:val="none"/>
        </w:rPr>
        <w:t>。</w:t>
      </w:r>
    </w:p>
    <w:p>
      <w:pPr>
        <w:pStyle w:val="67"/>
        <w:rPr>
          <w:color w:val="000000" w:themeColor="text1"/>
          <w:highlight w:val="none"/>
        </w:rPr>
      </w:pPr>
      <w:r>
        <w:rPr>
          <w:rFonts w:hint="eastAsia"/>
          <w:color w:val="000000" w:themeColor="text1"/>
          <w:highlight w:val="none"/>
        </w:rPr>
        <w:t>表7-15  土地复垦估算投资总表</w:t>
      </w:r>
    </w:p>
    <w:tbl>
      <w:tblPr>
        <w:tblStyle w:val="31"/>
        <w:tblW w:w="4998" w:type="pct"/>
        <w:tblInd w:w="0" w:type="dxa"/>
        <w:shd w:val="clear" w:color="auto" w:fill="auto"/>
        <w:tblLayout w:type="autofit"/>
        <w:tblCellMar>
          <w:top w:w="0" w:type="dxa"/>
          <w:left w:w="0" w:type="dxa"/>
          <w:bottom w:w="0" w:type="dxa"/>
          <w:right w:w="0" w:type="dxa"/>
        </w:tblCellMar>
      </w:tblPr>
      <w:tblGrid>
        <w:gridCol w:w="733"/>
        <w:gridCol w:w="3766"/>
        <w:gridCol w:w="2041"/>
        <w:gridCol w:w="1786"/>
      </w:tblGrid>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序号</w:t>
            </w:r>
          </w:p>
        </w:tc>
        <w:tc>
          <w:tcPr>
            <w:tcW w:w="22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工程或费用名称</w:t>
            </w:r>
          </w:p>
        </w:tc>
        <w:tc>
          <w:tcPr>
            <w:tcW w:w="12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费用</w:t>
            </w:r>
          </w:p>
        </w:tc>
        <w:tc>
          <w:tcPr>
            <w:tcW w:w="10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rPr>
            </w:pPr>
            <w:r>
              <w:rPr>
                <w:rFonts w:hint="eastAsia"/>
                <w:color w:val="000000" w:themeColor="text1"/>
                <w:highlight w:val="none"/>
                <w:lang w:val="en-US" w:eastAsia="zh-CN"/>
              </w:rPr>
              <w:t>费率(%)</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一</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第一部分 工程措施施工及生化措施费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684468.77</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55.45</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二</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第二部分 设备购置费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三</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其他费用</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173204.60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14.03</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四</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第四部分 复垦监测与管护费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65880.00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5.34</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监测工程</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16800.00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1.36</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管护工程</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49080.00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3.98</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五</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预备费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310739.05</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25.18</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基本预备费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27706.60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2.24</w:t>
            </w:r>
          </w:p>
        </w:tc>
      </w:tr>
      <w:tr>
        <w:tblPrEx>
          <w:shd w:val="clear" w:color="auto" w:fill="auto"/>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价差预备费</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283032.45</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22.93</w:t>
            </w:r>
          </w:p>
        </w:tc>
      </w:tr>
      <w:tr>
        <w:tblPrEx>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风险金</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r>
      <w:tr>
        <w:tblPrEx>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六</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静态总投资</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951259.97</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77.07</w:t>
            </w:r>
          </w:p>
        </w:tc>
      </w:tr>
      <w:tr>
        <w:tblPrEx>
          <w:tblCellMar>
            <w:top w:w="0" w:type="dxa"/>
            <w:left w:w="0" w:type="dxa"/>
            <w:bottom w:w="0" w:type="dxa"/>
            <w:right w:w="0" w:type="dxa"/>
          </w:tblCellMar>
        </w:tblPrEx>
        <w:trPr>
          <w:trHeight w:val="340" w:hRule="atLeast"/>
        </w:trPr>
        <w:tc>
          <w:tcPr>
            <w:tcW w:w="4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七</w:t>
            </w:r>
          </w:p>
        </w:tc>
        <w:tc>
          <w:tcPr>
            <w:tcW w:w="3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动态总投资</w:t>
            </w:r>
          </w:p>
        </w:tc>
        <w:tc>
          <w:tcPr>
            <w:tcW w:w="20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1234292.42</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100.00</w:t>
            </w:r>
          </w:p>
        </w:tc>
      </w:tr>
    </w:tbl>
    <w:p>
      <w:pPr>
        <w:pStyle w:val="67"/>
        <w:rPr>
          <w:color w:val="000000" w:themeColor="text1"/>
          <w:highlight w:val="none"/>
        </w:rPr>
      </w:pPr>
    </w:p>
    <w:p>
      <w:pPr>
        <w:pStyle w:val="67"/>
        <w:rPr>
          <w:color w:val="000000" w:themeColor="text1"/>
          <w:highlight w:val="none"/>
        </w:rPr>
      </w:pPr>
      <w:r>
        <w:rPr>
          <w:rFonts w:hint="eastAsia"/>
          <w:color w:val="000000" w:themeColor="text1"/>
          <w:highlight w:val="none"/>
        </w:rPr>
        <w:t>表7-16  工程施工费估算表</w:t>
      </w:r>
    </w:p>
    <w:tbl>
      <w:tblPr>
        <w:tblStyle w:val="31"/>
        <w:tblW w:w="4998" w:type="pct"/>
        <w:tblInd w:w="0" w:type="dxa"/>
        <w:shd w:val="clear" w:color="auto" w:fill="auto"/>
        <w:tblLayout w:type="autofit"/>
        <w:tblCellMar>
          <w:top w:w="0" w:type="dxa"/>
          <w:left w:w="0" w:type="dxa"/>
          <w:bottom w:w="0" w:type="dxa"/>
          <w:right w:w="0" w:type="dxa"/>
        </w:tblCellMar>
      </w:tblPr>
      <w:tblGrid>
        <w:gridCol w:w="870"/>
        <w:gridCol w:w="2353"/>
        <w:gridCol w:w="1021"/>
        <w:gridCol w:w="1196"/>
        <w:gridCol w:w="1486"/>
        <w:gridCol w:w="1400"/>
      </w:tblGrid>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序号</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工程或费用名称</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计量单位</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工程量</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综合单价</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合计</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一</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土壤重构工程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329058.39</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(二)</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土壤剥覆工程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202389.29</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表土剥离</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m3</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24711</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2.54</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62765.94</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表土养护</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hm2</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0.58</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487.54</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282.77</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表土回覆</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m3</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24711</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2.08</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51398.88</w:t>
            </w:r>
          </w:p>
        </w:tc>
      </w:tr>
      <w:tr>
        <w:tblPrEx>
          <w:shd w:val="clear" w:color="auto" w:fill="auto"/>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表土挡墙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87941.70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浆砌石挡墙</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m3</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165</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532.98</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87941.70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(三)</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生物化学工程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126669.10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林地培肥（3年）</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hm2</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24.54</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5161.74</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126669.10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二</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植被重建工程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355410.38</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(一)</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林地种植</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308507.48</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马尾松种植</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株</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22052</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13.99</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308507.48</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(二)</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草地种植</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46902.90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蔷薇</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株</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6710</w:t>
            </w: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6.99</w:t>
            </w: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46902.90</w:t>
            </w:r>
          </w:p>
        </w:tc>
      </w:tr>
      <w:tr>
        <w:tblPrEx>
          <w:tblCellMar>
            <w:top w:w="0" w:type="dxa"/>
            <w:left w:w="0" w:type="dxa"/>
            <w:bottom w:w="0" w:type="dxa"/>
            <w:right w:w="0" w:type="dxa"/>
          </w:tblCellMar>
        </w:tblPrEx>
        <w:trPr>
          <w:trHeight w:val="340" w:hRule="atLeast"/>
        </w:trPr>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总计</w:t>
            </w:r>
          </w:p>
        </w:tc>
        <w:tc>
          <w:tcPr>
            <w:tcW w:w="23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w:t>
            </w:r>
          </w:p>
        </w:tc>
        <w:tc>
          <w:tcPr>
            <w:tcW w:w="10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p>
        </w:tc>
        <w:tc>
          <w:tcPr>
            <w:tcW w:w="14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color w:val="000000" w:themeColor="text1"/>
                <w:highlight w:val="none"/>
                <w:lang w:val="en-US" w:eastAsia="zh-CN"/>
              </w:rPr>
            </w:pPr>
            <w:r>
              <w:rPr>
                <w:rFonts w:hint="eastAsia"/>
                <w:color w:val="000000" w:themeColor="text1"/>
                <w:highlight w:val="none"/>
                <w:lang w:val="en-US" w:eastAsia="zh-CN"/>
              </w:rPr>
              <w:t>684468.77</w:t>
            </w:r>
          </w:p>
        </w:tc>
      </w:tr>
    </w:tbl>
    <w:p>
      <w:pPr>
        <w:pStyle w:val="67"/>
        <w:rPr>
          <w:color w:val="000000" w:themeColor="text1"/>
          <w:highlight w:val="none"/>
        </w:rPr>
      </w:pPr>
    </w:p>
    <w:p>
      <w:pPr>
        <w:pStyle w:val="67"/>
        <w:rPr>
          <w:color w:val="000000" w:themeColor="text1"/>
          <w:highlight w:val="none"/>
        </w:rPr>
      </w:pPr>
      <w:r>
        <w:rPr>
          <w:rFonts w:hint="eastAsia"/>
          <w:color w:val="000000" w:themeColor="text1"/>
          <w:highlight w:val="none"/>
        </w:rPr>
        <w:t>表7-17  其他费用预算表</w:t>
      </w:r>
    </w:p>
    <w:tbl>
      <w:tblPr>
        <w:tblStyle w:val="31"/>
        <w:tblW w:w="4998" w:type="pct"/>
        <w:tblInd w:w="0" w:type="dxa"/>
        <w:shd w:val="clear" w:color="auto" w:fill="auto"/>
        <w:tblLayout w:type="autofit"/>
        <w:tblCellMar>
          <w:top w:w="0" w:type="dxa"/>
          <w:left w:w="0" w:type="dxa"/>
          <w:bottom w:w="0" w:type="dxa"/>
          <w:right w:w="0" w:type="dxa"/>
        </w:tblCellMar>
      </w:tblPr>
      <w:tblGrid>
        <w:gridCol w:w="683"/>
        <w:gridCol w:w="3833"/>
        <w:gridCol w:w="1154"/>
        <w:gridCol w:w="1156"/>
        <w:gridCol w:w="1500"/>
      </w:tblGrid>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序号</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费用名称</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费基</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费率(%)</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金额</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前期工作费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3422.50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土地利用与生态现状调查费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土地复垦方案编制费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土地勘测费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1.65</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阶段性实施方案编制费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110.00</w:t>
            </w: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(5)</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科研试验费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(6)</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工程招标代理费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3422.50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工程监理费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120000.00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竣工验收费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26421.70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竣工验收复核费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4791.50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工程验收费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9583.00</w:t>
            </w:r>
          </w:p>
        </w:tc>
      </w:tr>
      <w:tr>
        <w:tblPrEx>
          <w:shd w:val="clear" w:color="auto" w:fill="auto"/>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决算编制与审计费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6845.00</w:t>
            </w:r>
          </w:p>
        </w:tc>
      </w:tr>
      <w:tr>
        <w:tblPrEx>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复垦后土地重估与登记费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4449.25</w:t>
            </w:r>
          </w:p>
        </w:tc>
      </w:tr>
      <w:tr>
        <w:tblPrEx>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(5)</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基本农田划分与标志设定费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752.95</w:t>
            </w:r>
          </w:p>
        </w:tc>
      </w:tr>
      <w:tr>
        <w:tblPrEx>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w:t>
            </w: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业主管理费</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23360.40</w:t>
            </w:r>
          </w:p>
        </w:tc>
      </w:tr>
      <w:tr>
        <w:tblPrEx>
          <w:tblCellMar>
            <w:top w:w="0" w:type="dxa"/>
            <w:left w:w="0" w:type="dxa"/>
            <w:bottom w:w="0" w:type="dxa"/>
            <w:right w:w="0" w:type="dxa"/>
          </w:tblCellMar>
        </w:tblPrEx>
        <w:trPr>
          <w:trHeight w:val="369"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38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总计</w:t>
            </w:r>
          </w:p>
        </w:tc>
        <w:tc>
          <w:tcPr>
            <w:tcW w:w="11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default"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73204.60</w:t>
            </w:r>
          </w:p>
        </w:tc>
      </w:tr>
    </w:tbl>
    <w:p>
      <w:pPr>
        <w:pStyle w:val="67"/>
        <w:rPr>
          <w:rFonts w:hint="eastAsia"/>
          <w:color w:val="000000" w:themeColor="text1"/>
          <w:highlight w:val="none"/>
        </w:rPr>
      </w:pPr>
    </w:p>
    <w:p>
      <w:pPr>
        <w:pStyle w:val="67"/>
        <w:rPr>
          <w:color w:val="000000" w:themeColor="text1"/>
          <w:highlight w:val="none"/>
        </w:rPr>
      </w:pPr>
      <w:r>
        <w:rPr>
          <w:rFonts w:hint="eastAsia"/>
          <w:color w:val="000000" w:themeColor="text1"/>
          <w:highlight w:val="none"/>
        </w:rPr>
        <w:t>表7-18  监测与管护费用估算表</w:t>
      </w:r>
    </w:p>
    <w:tbl>
      <w:tblPr>
        <w:tblStyle w:val="31"/>
        <w:tblW w:w="4998" w:type="pct"/>
        <w:tblInd w:w="0" w:type="dxa"/>
        <w:shd w:val="clear" w:color="auto" w:fill="auto"/>
        <w:tblLayout w:type="autofit"/>
        <w:tblCellMar>
          <w:top w:w="0" w:type="dxa"/>
          <w:left w:w="0" w:type="dxa"/>
          <w:bottom w:w="0" w:type="dxa"/>
          <w:right w:w="0" w:type="dxa"/>
        </w:tblCellMar>
      </w:tblPr>
      <w:tblGrid>
        <w:gridCol w:w="780"/>
        <w:gridCol w:w="1947"/>
        <w:gridCol w:w="876"/>
        <w:gridCol w:w="960"/>
        <w:gridCol w:w="1939"/>
        <w:gridCol w:w="1824"/>
      </w:tblGrid>
      <w:tr>
        <w:tblPrEx>
          <w:shd w:val="clear" w:color="auto" w:fill="auto"/>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序号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项目</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单位</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数量</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单价</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合价</w:t>
            </w:r>
          </w:p>
        </w:tc>
      </w:tr>
      <w:tr>
        <w:tblPrEx>
          <w:shd w:val="clear" w:color="auto" w:fill="auto"/>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监测工程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16800.00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16800.00</w:t>
            </w:r>
          </w:p>
        </w:tc>
      </w:tr>
      <w:tr>
        <w:tblPrEx>
          <w:shd w:val="clear" w:color="auto" w:fill="auto"/>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1.1</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土地损毁监测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点*次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1500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6000.00</w:t>
            </w:r>
          </w:p>
        </w:tc>
      </w:tr>
      <w:tr>
        <w:tblPrEx>
          <w:shd w:val="clear" w:color="auto" w:fill="auto"/>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1.2</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土壤质量监测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点*次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6</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1500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9000.00</w:t>
            </w:r>
          </w:p>
        </w:tc>
      </w:tr>
      <w:tr>
        <w:tblPrEx>
          <w:shd w:val="clear" w:color="auto" w:fill="auto"/>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1.3</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植被恢复监测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点*次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900.00</w:t>
            </w:r>
          </w:p>
        </w:tc>
      </w:tr>
      <w:tr>
        <w:tblPrEx>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1.4</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配套设施监测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点*次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300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900.00</w:t>
            </w:r>
          </w:p>
        </w:tc>
      </w:tr>
      <w:tr>
        <w:tblPrEx>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管护工程</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49080.00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49080.00</w:t>
            </w:r>
          </w:p>
        </w:tc>
      </w:tr>
      <w:tr>
        <w:tblPrEx>
          <w:tblCellMar>
            <w:top w:w="0" w:type="dxa"/>
            <w:left w:w="0" w:type="dxa"/>
            <w:bottom w:w="0" w:type="dxa"/>
            <w:right w:w="0" w:type="dxa"/>
          </w:tblCellMar>
        </w:tblPrEx>
        <w:trPr>
          <w:trHeight w:val="340" w:hRule="atLeast"/>
        </w:trPr>
        <w:tc>
          <w:tcPr>
            <w:tcW w:w="46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2.1</w:t>
            </w:r>
          </w:p>
        </w:tc>
        <w:tc>
          <w:tcPr>
            <w:tcW w:w="11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林草地管护（3a）</w:t>
            </w:r>
          </w:p>
        </w:tc>
        <w:tc>
          <w:tcPr>
            <w:tcW w:w="52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点*次</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24.54</w:t>
            </w:r>
          </w:p>
        </w:tc>
        <w:tc>
          <w:tcPr>
            <w:tcW w:w="11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2000</w:t>
            </w:r>
          </w:p>
        </w:tc>
        <w:tc>
          <w:tcPr>
            <w:tcW w:w="10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63"/>
              <w:rPr>
                <w:rFonts w:hint="eastAsia" w:ascii="Times New Roman" w:hAnsi="Times New Roman" w:cs="Times New Roman"/>
                <w:color w:val="000000" w:themeColor="text1"/>
                <w:highlight w:val="none"/>
                <w:lang w:val="en-US" w:eastAsia="zh-CN"/>
              </w:rPr>
            </w:pPr>
            <w:r>
              <w:rPr>
                <w:rFonts w:hint="eastAsia" w:ascii="Times New Roman" w:hAnsi="Times New Roman" w:cs="Times New Roman"/>
                <w:color w:val="000000" w:themeColor="text1"/>
                <w:highlight w:val="none"/>
                <w:lang w:val="en-US" w:eastAsia="zh-CN"/>
              </w:rPr>
              <w:t>49080.00</w:t>
            </w:r>
          </w:p>
        </w:tc>
      </w:tr>
    </w:tbl>
    <w:p>
      <w:pPr>
        <w:pStyle w:val="4"/>
        <w:spacing w:before="82" w:after="82"/>
        <w:rPr>
          <w:rFonts w:cs="Times New Roman"/>
          <w:color w:val="000000" w:themeColor="text1"/>
          <w:highlight w:val="none"/>
        </w:rPr>
      </w:pPr>
      <w:bookmarkStart w:id="270" w:name="_Toc17317"/>
      <w:r>
        <w:rPr>
          <w:color w:val="000000" w:themeColor="text1"/>
          <w:highlight w:val="none"/>
        </w:rPr>
        <w:t>7.4总费用汇总与年度安排</w:t>
      </w:r>
      <w:bookmarkEnd w:id="270"/>
    </w:p>
    <w:p>
      <w:pPr>
        <w:pStyle w:val="5"/>
        <w:spacing w:before="82" w:after="82"/>
        <w:rPr>
          <w:color w:val="000000" w:themeColor="text1"/>
          <w:highlight w:val="none"/>
        </w:rPr>
      </w:pPr>
      <w:bookmarkStart w:id="271" w:name="_Toc8559"/>
      <w:r>
        <w:rPr>
          <w:color w:val="000000" w:themeColor="text1"/>
          <w:highlight w:val="none"/>
        </w:rPr>
        <w:t>7.4.1总费用构成与汇总</w:t>
      </w:r>
      <w:bookmarkEnd w:id="271"/>
    </w:p>
    <w:p>
      <w:pPr>
        <w:rPr>
          <w:color w:val="000000" w:themeColor="text1"/>
          <w:highlight w:val="none"/>
        </w:rPr>
      </w:pPr>
      <w:r>
        <w:rPr>
          <w:color w:val="000000" w:themeColor="text1"/>
          <w:highlight w:val="none"/>
        </w:rPr>
        <w:t>本项目由地质环境治理工程和土地复垦工程两个预算组成，</w:t>
      </w:r>
      <w:r>
        <w:rPr>
          <w:rFonts w:hint="eastAsia"/>
          <w:color w:val="000000" w:themeColor="text1"/>
          <w:highlight w:val="none"/>
          <w:lang w:eastAsia="zh-CN"/>
        </w:rPr>
        <w:t>动态</w:t>
      </w:r>
      <w:r>
        <w:rPr>
          <w:color w:val="000000" w:themeColor="text1"/>
          <w:highlight w:val="none"/>
        </w:rPr>
        <w:t>总投资</w:t>
      </w:r>
      <w:r>
        <w:rPr>
          <w:rFonts w:hint="eastAsia"/>
          <w:color w:val="000000" w:themeColor="text1"/>
          <w:highlight w:val="none"/>
          <w:lang w:val="en-US" w:eastAsia="zh-CN"/>
        </w:rPr>
        <w:t>158.40</w:t>
      </w:r>
      <w:r>
        <w:rPr>
          <w:color w:val="000000" w:themeColor="text1"/>
          <w:highlight w:val="none"/>
        </w:rPr>
        <w:t>万元</w:t>
      </w:r>
      <w:r>
        <w:rPr>
          <w:rFonts w:hint="eastAsia"/>
          <w:color w:val="000000" w:themeColor="text1"/>
          <w:highlight w:val="none"/>
          <w:lang w:eastAsia="zh-CN"/>
        </w:rPr>
        <w:t>，静态总投资</w:t>
      </w:r>
      <w:r>
        <w:rPr>
          <w:color w:val="000000" w:themeColor="text1"/>
          <w:highlight w:val="none"/>
        </w:rPr>
        <w:t>为</w:t>
      </w:r>
      <w:r>
        <w:rPr>
          <w:rFonts w:hint="eastAsia"/>
          <w:color w:val="000000" w:themeColor="text1"/>
          <w:highlight w:val="none"/>
          <w:lang w:val="en-US" w:eastAsia="zh-CN"/>
        </w:rPr>
        <w:t>126.957</w:t>
      </w:r>
      <w:r>
        <w:rPr>
          <w:color w:val="000000" w:themeColor="text1"/>
          <w:highlight w:val="none"/>
        </w:rPr>
        <w:t>万元。其中矿山地质环境保护与治理、监测总投资估算</w:t>
      </w:r>
      <w:r>
        <w:rPr>
          <w:rFonts w:hint="eastAsia"/>
          <w:color w:val="000000" w:themeColor="text1"/>
          <w:highlight w:val="none"/>
          <w:lang w:eastAsia="zh-CN"/>
        </w:rPr>
        <w:t>动态总投资</w:t>
      </w:r>
      <w:r>
        <w:rPr>
          <w:color w:val="000000" w:themeColor="text1"/>
          <w:highlight w:val="none"/>
        </w:rPr>
        <w:t>为</w:t>
      </w:r>
      <w:r>
        <w:rPr>
          <w:rFonts w:hint="eastAsia"/>
          <w:color w:val="000000" w:themeColor="text1"/>
          <w:highlight w:val="none"/>
          <w:lang w:eastAsia="zh-CN"/>
        </w:rPr>
        <w:t>34.971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静态总投资</w:t>
      </w:r>
      <w:r>
        <w:rPr>
          <w:color w:val="000000" w:themeColor="text1"/>
          <w:highlight w:val="none"/>
        </w:rPr>
        <w:t>为</w:t>
      </w:r>
      <w:r>
        <w:rPr>
          <w:rFonts w:hint="eastAsia"/>
          <w:color w:val="000000" w:themeColor="text1"/>
          <w:highlight w:val="none"/>
          <w:lang w:val="en-US" w:eastAsia="zh-CN"/>
        </w:rPr>
        <w:t>31.831</w:t>
      </w:r>
      <w:r>
        <w:rPr>
          <w:color w:val="000000" w:themeColor="text1"/>
          <w:highlight w:val="none"/>
        </w:rPr>
        <w:t>万元</w:t>
      </w:r>
      <w:r>
        <w:rPr>
          <w:rFonts w:hint="eastAsia"/>
          <w:color w:val="000000" w:themeColor="text1"/>
          <w:highlight w:val="none"/>
          <w:lang w:eastAsia="zh-CN"/>
        </w:rPr>
        <w:t>；</w:t>
      </w:r>
      <w:r>
        <w:rPr>
          <w:color w:val="000000" w:themeColor="text1"/>
          <w:highlight w:val="none"/>
        </w:rPr>
        <w:t>其中</w:t>
      </w:r>
      <w:r>
        <w:rPr>
          <w:rFonts w:hint="eastAsia"/>
          <w:color w:val="000000" w:themeColor="text1"/>
          <w:kern w:val="0"/>
          <w:highlight w:val="none"/>
          <w:lang w:val="en-US" w:eastAsia="zh-CN"/>
        </w:rPr>
        <w:t>矿山</w:t>
      </w:r>
      <w:r>
        <w:rPr>
          <w:rFonts w:hint="eastAsia"/>
          <w:color w:val="000000" w:themeColor="text1"/>
          <w:highlight w:val="none"/>
          <w:lang w:eastAsia="zh-CN"/>
        </w:rPr>
        <w:t>主体建筑工程</w:t>
      </w:r>
      <w:r>
        <w:rPr>
          <w:rFonts w:hint="eastAsia"/>
          <w:color w:val="000000" w:themeColor="text1"/>
          <w:highlight w:val="none"/>
          <w:lang w:val="en-US" w:eastAsia="zh-CN"/>
        </w:rPr>
        <w:t>10.025万元，</w:t>
      </w:r>
      <w:r>
        <w:rPr>
          <w:rFonts w:hint="eastAsia"/>
          <w:color w:val="000000" w:themeColor="text1"/>
          <w:kern w:val="0"/>
          <w:highlight w:val="none"/>
          <w:lang w:val="en-US" w:eastAsia="zh-CN"/>
        </w:rPr>
        <w:t>地质环境监测工程费</w:t>
      </w:r>
      <w:r>
        <w:rPr>
          <w:color w:val="000000" w:themeColor="text1"/>
          <w:highlight w:val="none"/>
        </w:rPr>
        <w:t>用</w:t>
      </w:r>
      <w:r>
        <w:rPr>
          <w:rFonts w:hint="eastAsia"/>
          <w:color w:val="000000" w:themeColor="text1"/>
          <w:highlight w:val="none"/>
          <w:lang w:eastAsia="zh-CN"/>
        </w:rPr>
        <w:t>15.420</w:t>
      </w:r>
      <w:r>
        <w:rPr>
          <w:rFonts w:hint="eastAsia"/>
          <w:color w:val="000000" w:themeColor="text1"/>
          <w:highlight w:val="none"/>
        </w:rPr>
        <w:t>万元，独立费</w:t>
      </w:r>
      <w:r>
        <w:rPr>
          <w:rFonts w:hint="eastAsia"/>
          <w:color w:val="000000" w:themeColor="text1"/>
          <w:highlight w:val="none"/>
          <w:lang w:eastAsia="zh-CN"/>
        </w:rPr>
        <w:t>4.028</w:t>
      </w:r>
      <w:r>
        <w:rPr>
          <w:rFonts w:hint="eastAsia"/>
          <w:color w:val="000000" w:themeColor="text1"/>
          <w:highlight w:val="none"/>
        </w:rPr>
        <w:t>万元，基本预备费</w:t>
      </w:r>
      <w:r>
        <w:rPr>
          <w:rFonts w:hint="eastAsia"/>
          <w:color w:val="000000" w:themeColor="text1"/>
          <w:highlight w:val="none"/>
          <w:lang w:eastAsia="zh-CN"/>
        </w:rPr>
        <w:t>2.358</w:t>
      </w:r>
      <w:r>
        <w:rPr>
          <w:rFonts w:hint="eastAsia"/>
          <w:color w:val="000000" w:themeColor="text1"/>
          <w:highlight w:val="none"/>
        </w:rPr>
        <w:t>万元</w:t>
      </w:r>
      <w:r>
        <w:rPr>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3.14万元</w:t>
      </w:r>
      <w:r>
        <w:rPr>
          <w:color w:val="000000" w:themeColor="text1"/>
          <w:highlight w:val="none"/>
        </w:rPr>
        <w:t>；</w:t>
      </w:r>
      <w:r>
        <w:rPr>
          <w:rFonts w:hint="eastAsia"/>
          <w:color w:val="000000" w:themeColor="text1"/>
          <w:highlight w:val="none"/>
          <w:lang w:eastAsia="zh-CN"/>
        </w:rPr>
        <w:t>土地复垦动态</w:t>
      </w:r>
      <w:r>
        <w:rPr>
          <w:color w:val="000000" w:themeColor="text1"/>
          <w:highlight w:val="none"/>
        </w:rPr>
        <w:t>总投资</w:t>
      </w:r>
      <w:r>
        <w:rPr>
          <w:rFonts w:hint="eastAsia"/>
          <w:color w:val="000000" w:themeColor="text1"/>
          <w:highlight w:val="none"/>
          <w:lang w:val="en-US" w:eastAsia="zh-CN"/>
        </w:rPr>
        <w:t>123.429</w:t>
      </w:r>
      <w:r>
        <w:rPr>
          <w:color w:val="000000" w:themeColor="text1"/>
          <w:highlight w:val="none"/>
        </w:rPr>
        <w:t>万元，静态总投资</w:t>
      </w:r>
      <w:r>
        <w:rPr>
          <w:rFonts w:hint="eastAsia"/>
          <w:color w:val="000000" w:themeColor="text1"/>
          <w:highlight w:val="none"/>
          <w:lang w:val="en-US" w:eastAsia="zh-CN"/>
        </w:rPr>
        <w:t>95.126</w:t>
      </w:r>
      <w:r>
        <w:rPr>
          <w:color w:val="000000" w:themeColor="text1"/>
          <w:highlight w:val="none"/>
        </w:rPr>
        <w:t>万元，其中工程施工费</w:t>
      </w:r>
      <w:r>
        <w:rPr>
          <w:rFonts w:hint="eastAsia"/>
          <w:color w:val="000000" w:themeColor="text1"/>
          <w:highlight w:val="none"/>
          <w:lang w:val="en-US" w:eastAsia="zh-CN"/>
        </w:rPr>
        <w:t>68.447</w:t>
      </w:r>
      <w:r>
        <w:rPr>
          <w:color w:val="000000" w:themeColor="text1"/>
          <w:highlight w:val="none"/>
        </w:rPr>
        <w:t>万元，其它费用</w:t>
      </w:r>
      <w:r>
        <w:rPr>
          <w:rFonts w:hint="eastAsia"/>
          <w:color w:val="000000" w:themeColor="text1"/>
          <w:highlight w:val="none"/>
          <w:lang w:val="en-US" w:eastAsia="zh-CN"/>
        </w:rPr>
        <w:t>17.320</w:t>
      </w:r>
      <w:r>
        <w:rPr>
          <w:color w:val="000000" w:themeColor="text1"/>
          <w:highlight w:val="none"/>
        </w:rPr>
        <w:t>万元，监测与管护费</w:t>
      </w:r>
      <w:r>
        <w:rPr>
          <w:rFonts w:hint="eastAsia"/>
          <w:color w:val="000000" w:themeColor="text1"/>
          <w:highlight w:val="none"/>
          <w:lang w:val="en-US" w:eastAsia="zh-CN"/>
        </w:rPr>
        <w:t>6.588</w:t>
      </w:r>
      <w:r>
        <w:rPr>
          <w:color w:val="000000" w:themeColor="text1"/>
          <w:highlight w:val="none"/>
        </w:rPr>
        <w:t>万元，基本预备费</w:t>
      </w:r>
      <w:r>
        <w:rPr>
          <w:rFonts w:hint="eastAsia"/>
          <w:color w:val="000000" w:themeColor="text1"/>
          <w:highlight w:val="none"/>
          <w:lang w:val="en-US" w:eastAsia="zh-CN"/>
        </w:rPr>
        <w:t>2.771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28.303</w:t>
      </w:r>
      <w:r>
        <w:rPr>
          <w:rFonts w:hint="eastAsia"/>
          <w:color w:val="000000" w:themeColor="text1"/>
          <w:highlight w:val="none"/>
        </w:rPr>
        <w:t>万元；</w:t>
      </w:r>
      <w:r>
        <w:rPr>
          <w:rFonts w:hint="eastAsia" w:ascii="Times New Roman" w:hAnsi="Times New Roman" w:eastAsia="宋体" w:cs="Times New Roman"/>
          <w:color w:val="auto"/>
          <w:sz w:val="24"/>
          <w:szCs w:val="22"/>
          <w:lang w:val="en-US" w:eastAsia="zh-CN"/>
        </w:rPr>
        <w:t>按复垦责任范围面积</w:t>
      </w:r>
      <w:r>
        <w:rPr>
          <w:rFonts w:hint="eastAsia" w:cs="Times New Roman"/>
          <w:color w:val="auto"/>
          <w:sz w:val="24"/>
          <w:szCs w:val="22"/>
          <w:lang w:val="en-US" w:eastAsia="zh-CN"/>
        </w:rPr>
        <w:t>9.5224</w:t>
      </w:r>
      <w:r>
        <w:rPr>
          <w:rFonts w:hint="eastAsia" w:ascii="Times New Roman" w:hAnsi="Times New Roman" w:eastAsia="宋体" w:cs="Times New Roman"/>
          <w:color w:val="auto"/>
          <w:sz w:val="24"/>
          <w:szCs w:val="22"/>
          <w:lang w:val="en-US" w:eastAsia="zh-CN"/>
        </w:rPr>
        <w:t>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计算，单位动态投资为</w:t>
      </w:r>
      <w:r>
        <w:rPr>
          <w:rFonts w:hint="eastAsia" w:cs="Times New Roman"/>
          <w:color w:val="auto"/>
          <w:sz w:val="24"/>
          <w:szCs w:val="22"/>
          <w:lang w:val="en-US" w:eastAsia="zh-CN"/>
        </w:rPr>
        <w:t>12.962</w:t>
      </w:r>
      <w:r>
        <w:rPr>
          <w:rFonts w:hint="eastAsia" w:ascii="Times New Roman" w:hAnsi="Times New Roman" w:eastAsia="宋体" w:cs="Times New Roman"/>
          <w:color w:val="auto"/>
          <w:sz w:val="24"/>
          <w:szCs w:val="22"/>
          <w:lang w:val="en-US" w:eastAsia="zh-CN"/>
        </w:rPr>
        <w:t>万元/hm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w:t>
      </w:r>
      <w:r>
        <w:rPr>
          <w:rFonts w:hint="eastAsia" w:cs="Times New Roman"/>
          <w:color w:val="auto"/>
          <w:sz w:val="24"/>
          <w:szCs w:val="22"/>
          <w:lang w:val="en-US" w:eastAsia="zh-CN"/>
        </w:rPr>
        <w:t>8641</w:t>
      </w:r>
      <w:r>
        <w:rPr>
          <w:rFonts w:hint="eastAsia" w:ascii="Times New Roman" w:hAnsi="Times New Roman" w:eastAsia="宋体" w:cs="Times New Roman"/>
          <w:color w:val="auto"/>
          <w:sz w:val="24"/>
          <w:szCs w:val="22"/>
          <w:lang w:val="en-US" w:eastAsia="zh-CN"/>
        </w:rPr>
        <w:t>元/亩），单位静态投资为</w:t>
      </w:r>
      <w:r>
        <w:rPr>
          <w:rFonts w:hint="eastAsia" w:cs="Times New Roman"/>
          <w:color w:val="auto"/>
          <w:sz w:val="24"/>
          <w:szCs w:val="22"/>
          <w:lang w:val="en-US" w:eastAsia="zh-CN"/>
        </w:rPr>
        <w:t>9.990</w:t>
      </w:r>
      <w:r>
        <w:rPr>
          <w:rFonts w:hint="eastAsia" w:ascii="Times New Roman" w:hAnsi="Times New Roman" w:eastAsia="宋体" w:cs="Times New Roman"/>
          <w:color w:val="auto"/>
          <w:sz w:val="24"/>
          <w:szCs w:val="22"/>
          <w:lang w:val="en-US" w:eastAsia="zh-CN"/>
        </w:rPr>
        <w:t>万元/hm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w:t>
      </w:r>
      <w:r>
        <w:rPr>
          <w:rFonts w:hint="eastAsia" w:cs="Times New Roman"/>
          <w:color w:val="auto"/>
          <w:sz w:val="24"/>
          <w:szCs w:val="22"/>
          <w:lang w:val="en-US" w:eastAsia="zh-CN"/>
        </w:rPr>
        <w:t>6660</w:t>
      </w:r>
      <w:r>
        <w:rPr>
          <w:rFonts w:hint="eastAsia" w:ascii="Times New Roman" w:hAnsi="Times New Roman" w:eastAsia="宋体" w:cs="Times New Roman"/>
          <w:color w:val="auto"/>
          <w:sz w:val="24"/>
          <w:szCs w:val="22"/>
          <w:lang w:val="en-US" w:eastAsia="zh-CN"/>
        </w:rPr>
        <w:t>元/亩）。</w:t>
      </w:r>
      <w:r>
        <w:rPr>
          <w:color w:val="000000" w:themeColor="text1"/>
          <w:highlight w:val="none"/>
        </w:rPr>
        <w:t>总费用构成见表7-1</w:t>
      </w:r>
      <w:r>
        <w:rPr>
          <w:rFonts w:hint="eastAsia"/>
          <w:color w:val="000000" w:themeColor="text1"/>
          <w:highlight w:val="none"/>
        </w:rPr>
        <w:t>9</w:t>
      </w:r>
      <w:r>
        <w:rPr>
          <w:color w:val="000000" w:themeColor="text1"/>
          <w:highlight w:val="none"/>
        </w:rPr>
        <w:t>。</w:t>
      </w:r>
    </w:p>
    <w:p>
      <w:pPr>
        <w:pStyle w:val="67"/>
        <w:rPr>
          <w:color w:val="000000" w:themeColor="text1"/>
          <w:highlight w:val="none"/>
        </w:rPr>
      </w:pPr>
      <w:r>
        <w:rPr>
          <w:rFonts w:hint="eastAsia"/>
          <w:color w:val="000000" w:themeColor="text1"/>
          <w:highlight w:val="none"/>
        </w:rPr>
        <w:t>表7-19  工程费用汇总表</w:t>
      </w:r>
    </w:p>
    <w:tbl>
      <w:tblPr>
        <w:tblStyle w:val="31"/>
        <w:tblW w:w="84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6"/>
        <w:gridCol w:w="3972"/>
        <w:gridCol w:w="3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序号</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工程或费用名称</w:t>
            </w:r>
          </w:p>
        </w:tc>
        <w:tc>
          <w:tcPr>
            <w:tcW w:w="3309"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费用（万元）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color w:val="000000" w:themeColor="text1"/>
                <w:highlight w:val="none"/>
              </w:rPr>
              <w:t>矿山地质环境保护</w:t>
            </w:r>
            <w:r>
              <w:rPr>
                <w:rFonts w:hint="eastAsia"/>
                <w:color w:val="000000" w:themeColor="text1"/>
                <w:highlight w:val="none"/>
                <w:lang w:eastAsia="zh-CN"/>
              </w:rPr>
              <w:t>（动态）</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34.971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color w:val="000000" w:themeColor="text1"/>
                <w:highlight w:val="none"/>
              </w:rPr>
              <w:t>矿山地质环境保护</w:t>
            </w:r>
            <w:r>
              <w:rPr>
                <w:rFonts w:hint="eastAsia"/>
                <w:color w:val="000000" w:themeColor="text1"/>
                <w:highlight w:val="none"/>
                <w:lang w:eastAsia="zh-CN"/>
              </w:rPr>
              <w:t>（静态）</w:t>
            </w:r>
          </w:p>
        </w:tc>
        <w:tc>
          <w:tcPr>
            <w:tcW w:w="3309" w:type="dxa"/>
            <w:tcBorders>
              <w:top w:val="single" w:color="000000" w:sz="4" w:space="0"/>
              <w:left w:val="nil"/>
              <w:bottom w:val="single" w:color="000000" w:sz="4" w:space="0"/>
              <w:right w:val="single" w:color="000000" w:sz="4" w:space="0"/>
            </w:tcBorders>
            <w:vAlign w:val="center"/>
          </w:tcPr>
          <w:p>
            <w:pPr>
              <w:pStyle w:val="63"/>
              <w:ind w:firstLine="0" w:firstLineChars="0"/>
              <w:rPr>
                <w:rFonts w:hint="default"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lang w:val="en-US" w:eastAsia="zh-CN"/>
              </w:rPr>
              <w:t>31.831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一</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主体建筑工程</w:t>
            </w:r>
          </w:p>
        </w:tc>
        <w:tc>
          <w:tcPr>
            <w:tcW w:w="3309" w:type="dxa"/>
            <w:tcBorders>
              <w:top w:val="single" w:color="000000" w:sz="4" w:space="0"/>
              <w:left w:val="nil"/>
              <w:bottom w:val="single" w:color="000000" w:sz="4" w:space="0"/>
              <w:right w:val="single" w:color="000000"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二</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rFonts w:hint="eastAsia"/>
                <w:color w:val="000000" w:themeColor="text1"/>
                <w:highlight w:val="none"/>
              </w:rPr>
              <w:t>地质环境监测工程</w:t>
            </w:r>
          </w:p>
        </w:tc>
        <w:tc>
          <w:tcPr>
            <w:tcW w:w="3309" w:type="dxa"/>
            <w:tcBorders>
              <w:top w:val="single" w:color="000000" w:sz="4" w:space="0"/>
              <w:left w:val="nil"/>
              <w:bottom w:val="single" w:color="000000" w:sz="4" w:space="0"/>
              <w:right w:val="single" w:color="000000"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15.420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三</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施工临时工程</w:t>
            </w:r>
          </w:p>
        </w:tc>
        <w:tc>
          <w:tcPr>
            <w:tcW w:w="3309"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rFonts w:hint="eastAsia"/>
                <w:color w:val="000000" w:themeColor="text1"/>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四</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独立费用</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4.028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五</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基本预备费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2.358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六</w:t>
            </w:r>
          </w:p>
        </w:tc>
        <w:tc>
          <w:tcPr>
            <w:tcW w:w="3972"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价差预备费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color w:val="000000" w:themeColor="text1"/>
                <w:highlight w:val="none"/>
                <w:lang w:eastAsia="zh-CN"/>
              </w:rPr>
            </w:pPr>
            <w:r>
              <w:rPr>
                <w:rFonts w:hint="eastAsia"/>
                <w:color w:val="000000" w:themeColor="text1"/>
                <w:highlight w:val="none"/>
                <w:lang w:val="en-US" w:eastAsia="zh-CN"/>
              </w:rPr>
              <w:t>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color w:val="000000" w:themeColor="text1"/>
                <w:highlight w:val="none"/>
              </w:rPr>
              <w:t>土地复垦</w:t>
            </w:r>
            <w:r>
              <w:rPr>
                <w:rFonts w:hint="eastAsia"/>
                <w:color w:val="000000" w:themeColor="text1"/>
                <w:highlight w:val="none"/>
                <w:lang w:eastAsia="zh-CN"/>
              </w:rPr>
              <w:t>（动态）</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123.429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color w:val="000000" w:themeColor="text1"/>
                <w:highlight w:val="none"/>
              </w:rPr>
              <w:t>土地复垦</w:t>
            </w:r>
            <w:r>
              <w:rPr>
                <w:rFonts w:hint="eastAsia"/>
                <w:color w:val="000000" w:themeColor="text1"/>
                <w:highlight w:val="none"/>
                <w:lang w:eastAsia="zh-CN"/>
              </w:rPr>
              <w:t>（静态）</w:t>
            </w:r>
          </w:p>
        </w:tc>
        <w:tc>
          <w:tcPr>
            <w:tcW w:w="3309" w:type="dxa"/>
            <w:tcBorders>
              <w:top w:val="single" w:color="000000" w:sz="4" w:space="0"/>
              <w:left w:val="nil"/>
              <w:bottom w:val="single" w:color="000000" w:sz="4" w:space="0"/>
              <w:right w:val="single" w:color="000000"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rFonts w:hint="eastAsia" w:cs="Times New Roman"/>
                <w:color w:val="000000" w:themeColor="text1"/>
                <w:kern w:val="2"/>
                <w:sz w:val="21"/>
                <w:szCs w:val="20"/>
                <w:highlight w:val="none"/>
                <w:lang w:val="en-US" w:eastAsia="zh-CN" w:bidi="ar-SA"/>
              </w:rPr>
              <w:t>95.126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一</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工程施工费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68.447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二</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设备费</w:t>
            </w:r>
          </w:p>
        </w:tc>
        <w:tc>
          <w:tcPr>
            <w:tcW w:w="3309"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rFonts w:hint="eastAsia"/>
                <w:color w:val="000000" w:themeColor="text1"/>
                <w:highlight w:val="none"/>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三</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其他费用</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17.320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四</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监测与管护费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6.588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五</w:t>
            </w:r>
          </w:p>
        </w:tc>
        <w:tc>
          <w:tcPr>
            <w:tcW w:w="3972" w:type="dxa"/>
            <w:tcBorders>
              <w:top w:val="single" w:color="000000" w:sz="4" w:space="0"/>
              <w:left w:val="nil"/>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基本预备费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2.771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pStyle w:val="63"/>
              <w:rPr>
                <w:color w:val="000000" w:themeColor="text1"/>
                <w:highlight w:val="none"/>
              </w:rPr>
            </w:pPr>
            <w:r>
              <w:rPr>
                <w:color w:val="000000" w:themeColor="text1"/>
                <w:highlight w:val="none"/>
              </w:rPr>
              <w:t>六</w:t>
            </w:r>
          </w:p>
        </w:tc>
        <w:tc>
          <w:tcPr>
            <w:tcW w:w="3972"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价差预备费</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28.303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rPr>
                <w:rFonts w:hint="eastAsia" w:eastAsia="宋体"/>
                <w:b/>
                <w:bCs/>
                <w:color w:val="000000" w:themeColor="text1"/>
                <w:highlight w:val="none"/>
                <w:lang w:eastAsia="zh-CN"/>
              </w:rPr>
            </w:pPr>
            <w:r>
              <w:rPr>
                <w:b/>
                <w:bCs/>
                <w:color w:val="000000" w:themeColor="text1"/>
                <w:highlight w:val="none"/>
              </w:rPr>
              <w:t>项目总费用</w:t>
            </w:r>
            <w:r>
              <w:rPr>
                <w:rFonts w:hint="eastAsia"/>
                <w:b/>
                <w:bCs/>
                <w:color w:val="000000" w:themeColor="text1"/>
                <w:highlight w:val="none"/>
                <w:lang w:eastAsia="zh-CN"/>
              </w:rPr>
              <w:t>（动态）</w:t>
            </w:r>
          </w:p>
        </w:tc>
        <w:tc>
          <w:tcPr>
            <w:tcW w:w="3309" w:type="dxa"/>
            <w:tcBorders>
              <w:top w:val="single" w:color="000000" w:sz="4" w:space="0"/>
              <w:left w:val="nil"/>
              <w:bottom w:val="single" w:color="000000" w:sz="4" w:space="0"/>
              <w:right w:val="single" w:color="000000" w:sz="4" w:space="0"/>
            </w:tcBorders>
            <w:vAlign w:val="center"/>
          </w:tcPr>
          <w:p>
            <w:pPr>
              <w:pStyle w:val="63"/>
              <w:rPr>
                <w:rFonts w:hint="eastAsia" w:eastAsia="宋体"/>
                <w:b/>
                <w:bCs/>
                <w:color w:val="000000" w:themeColor="text1"/>
                <w:highlight w:val="none"/>
                <w:lang w:eastAsia="zh-CN"/>
              </w:rPr>
            </w:pPr>
            <w:r>
              <w:rPr>
                <w:rFonts w:hint="eastAsia"/>
                <w:b/>
                <w:bCs/>
                <w:color w:val="000000" w:themeColor="text1"/>
                <w:highlight w:val="none"/>
                <w:lang w:eastAsia="zh-CN"/>
              </w:rPr>
              <w:t>158.40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5148" w:type="dxa"/>
            <w:gridSpan w:val="2"/>
            <w:tcBorders>
              <w:top w:val="single" w:color="000000" w:sz="4" w:space="0"/>
              <w:left w:val="single" w:color="000000" w:sz="4" w:space="0"/>
              <w:bottom w:val="single" w:color="000000" w:sz="4" w:space="0"/>
              <w:right w:val="single" w:color="000000" w:sz="4" w:space="0"/>
            </w:tcBorders>
            <w:vAlign w:val="center"/>
          </w:tcPr>
          <w:p>
            <w:pPr>
              <w:pStyle w:val="63"/>
              <w:ind w:firstLine="0" w:firstLineChars="0"/>
              <w:rPr>
                <w:rFonts w:hint="eastAsia" w:ascii="Times New Roman" w:hAnsi="Times New Roman" w:eastAsia="宋体" w:cs="Times New Roman"/>
                <w:b/>
                <w:bCs/>
                <w:color w:val="000000" w:themeColor="text1"/>
                <w:kern w:val="2"/>
                <w:sz w:val="21"/>
                <w:szCs w:val="20"/>
                <w:highlight w:val="none"/>
                <w:lang w:val="en-US" w:eastAsia="zh-CN" w:bidi="ar-SA"/>
              </w:rPr>
            </w:pPr>
            <w:bookmarkStart w:id="272" w:name="_Toc16607"/>
            <w:r>
              <w:rPr>
                <w:b/>
                <w:bCs/>
                <w:color w:val="000000" w:themeColor="text1"/>
                <w:highlight w:val="none"/>
              </w:rPr>
              <w:t>项目总费用</w:t>
            </w:r>
            <w:r>
              <w:rPr>
                <w:rFonts w:hint="eastAsia"/>
                <w:b/>
                <w:bCs/>
                <w:color w:val="000000" w:themeColor="text1"/>
                <w:highlight w:val="none"/>
                <w:lang w:eastAsia="zh-CN"/>
              </w:rPr>
              <w:t>（静态）</w:t>
            </w:r>
          </w:p>
        </w:tc>
        <w:tc>
          <w:tcPr>
            <w:tcW w:w="3309" w:type="dxa"/>
            <w:tcBorders>
              <w:top w:val="single" w:color="000000" w:sz="4" w:space="0"/>
              <w:left w:val="nil"/>
              <w:bottom w:val="single" w:color="000000" w:sz="4" w:space="0"/>
              <w:right w:val="single" w:color="000000" w:sz="4" w:space="0"/>
            </w:tcBorders>
            <w:vAlign w:val="center"/>
          </w:tcPr>
          <w:p>
            <w:pPr>
              <w:pStyle w:val="63"/>
              <w:ind w:firstLine="0" w:firstLineChars="0"/>
              <w:rPr>
                <w:rFonts w:hint="eastAsia" w:ascii="Times New Roman" w:hAnsi="Times New Roman" w:eastAsia="宋体" w:cs="Times New Roman"/>
                <w:b/>
                <w:bCs/>
                <w:color w:val="000000" w:themeColor="text1"/>
                <w:kern w:val="2"/>
                <w:sz w:val="21"/>
                <w:szCs w:val="20"/>
                <w:highlight w:val="none"/>
                <w:lang w:val="en-US" w:eastAsia="zh-CN" w:bidi="ar-SA"/>
              </w:rPr>
            </w:pPr>
            <w:r>
              <w:rPr>
                <w:rFonts w:hint="eastAsia" w:cs="Times New Roman"/>
                <w:b/>
                <w:bCs/>
                <w:color w:val="000000" w:themeColor="text1"/>
                <w:kern w:val="2"/>
                <w:sz w:val="21"/>
                <w:szCs w:val="20"/>
                <w:highlight w:val="none"/>
                <w:lang w:val="en-US" w:eastAsia="zh-CN" w:bidi="ar-SA"/>
              </w:rPr>
              <w:t>126.957</w:t>
            </w:r>
          </w:p>
        </w:tc>
      </w:tr>
    </w:tbl>
    <w:p>
      <w:pPr>
        <w:pStyle w:val="5"/>
        <w:spacing w:before="82" w:after="82"/>
        <w:rPr>
          <w:rFonts w:cs="Times New Roman"/>
          <w:color w:val="000000" w:themeColor="text1"/>
          <w:highlight w:val="none"/>
        </w:rPr>
      </w:pPr>
      <w:r>
        <w:rPr>
          <w:color w:val="000000" w:themeColor="text1"/>
          <w:highlight w:val="none"/>
        </w:rPr>
        <w:t>7.4.2近期年度经费安排</w:t>
      </w:r>
      <w:bookmarkEnd w:id="272"/>
    </w:p>
    <w:p>
      <w:pPr>
        <w:rPr>
          <w:color w:val="000000" w:themeColor="text1"/>
          <w:highlight w:val="none"/>
        </w:rPr>
      </w:pPr>
      <w:r>
        <w:rPr>
          <w:color w:val="000000" w:themeColor="text1"/>
          <w:highlight w:val="none"/>
        </w:rPr>
        <w:t>1、矿山地质环境治理近期（202</w:t>
      </w:r>
      <w:r>
        <w:rPr>
          <w:rFonts w:hint="eastAsia"/>
          <w:color w:val="000000" w:themeColor="text1"/>
          <w:highlight w:val="none"/>
          <w:lang w:val="en-US" w:eastAsia="zh-CN"/>
        </w:rPr>
        <w:t>2.12</w:t>
      </w:r>
      <w:r>
        <w:rPr>
          <w:color w:val="000000" w:themeColor="text1"/>
          <w:highlight w:val="none"/>
        </w:rPr>
        <w:t>-202</w:t>
      </w:r>
      <w:r>
        <w:rPr>
          <w:rFonts w:hint="eastAsia"/>
          <w:color w:val="000000" w:themeColor="text1"/>
          <w:highlight w:val="none"/>
          <w:lang w:val="en-US" w:eastAsia="zh-CN"/>
        </w:rPr>
        <w:t>7.2</w:t>
      </w:r>
      <w:r>
        <w:rPr>
          <w:color w:val="000000" w:themeColor="text1"/>
          <w:highlight w:val="none"/>
        </w:rPr>
        <w:t>）年度经费安排</w:t>
      </w:r>
    </w:p>
    <w:p>
      <w:pPr>
        <w:rPr>
          <w:color w:val="000000" w:themeColor="text1"/>
          <w:highlight w:val="none"/>
        </w:rPr>
      </w:pPr>
      <w:r>
        <w:rPr>
          <w:color w:val="000000" w:themeColor="text1"/>
          <w:highlight w:val="none"/>
        </w:rPr>
        <w:t>根据近期（202</w:t>
      </w:r>
      <w:r>
        <w:rPr>
          <w:rFonts w:hint="eastAsia"/>
          <w:color w:val="000000" w:themeColor="text1"/>
          <w:highlight w:val="none"/>
          <w:lang w:val="en-US" w:eastAsia="zh-CN"/>
        </w:rPr>
        <w:t>2</w:t>
      </w:r>
      <w:r>
        <w:rPr>
          <w:color w:val="000000" w:themeColor="text1"/>
          <w:highlight w:val="none"/>
        </w:rPr>
        <w:t>-202</w:t>
      </w:r>
      <w:r>
        <w:rPr>
          <w:rFonts w:hint="eastAsia"/>
          <w:color w:val="000000" w:themeColor="text1"/>
          <w:highlight w:val="none"/>
          <w:lang w:val="en-US" w:eastAsia="zh-CN"/>
        </w:rPr>
        <w:t>7</w:t>
      </w:r>
      <w:r>
        <w:rPr>
          <w:color w:val="000000" w:themeColor="text1"/>
          <w:highlight w:val="none"/>
        </w:rPr>
        <w:t>）矿山地质环境保护与恢复治理设计工程量概算，矿山地质环境保护与恢复治理近期（202</w:t>
      </w:r>
      <w:r>
        <w:rPr>
          <w:rFonts w:hint="eastAsia"/>
          <w:color w:val="000000" w:themeColor="text1"/>
          <w:highlight w:val="none"/>
          <w:lang w:val="en-US" w:eastAsia="zh-CN"/>
        </w:rPr>
        <w:t>2</w:t>
      </w:r>
      <w:r>
        <w:rPr>
          <w:color w:val="000000" w:themeColor="text1"/>
          <w:highlight w:val="none"/>
        </w:rPr>
        <w:t>-202</w:t>
      </w:r>
      <w:r>
        <w:rPr>
          <w:rFonts w:hint="eastAsia"/>
          <w:color w:val="000000" w:themeColor="text1"/>
          <w:highlight w:val="none"/>
          <w:lang w:val="en-US" w:eastAsia="zh-CN"/>
        </w:rPr>
        <w:t>7</w:t>
      </w:r>
      <w:r>
        <w:rPr>
          <w:color w:val="000000" w:themeColor="text1"/>
          <w:highlight w:val="none"/>
        </w:rPr>
        <w:t>）总投资</w:t>
      </w:r>
      <w:r>
        <w:rPr>
          <w:rFonts w:hint="eastAsia"/>
          <w:color w:val="000000" w:themeColor="text1"/>
          <w:highlight w:val="none"/>
          <w:lang w:val="en-US" w:eastAsia="zh-CN"/>
        </w:rPr>
        <w:t>34.971</w:t>
      </w:r>
      <w:r>
        <w:rPr>
          <w:color w:val="000000" w:themeColor="text1"/>
          <w:highlight w:val="none"/>
        </w:rPr>
        <w:t>万元，投资概算及近期年度经费安排见表7-</w:t>
      </w:r>
      <w:r>
        <w:rPr>
          <w:rFonts w:hint="eastAsia"/>
          <w:color w:val="000000" w:themeColor="text1"/>
          <w:highlight w:val="none"/>
        </w:rPr>
        <w:t>20</w:t>
      </w:r>
      <w:r>
        <w:rPr>
          <w:color w:val="000000" w:themeColor="text1"/>
          <w:highlight w:val="none"/>
        </w:rPr>
        <w:t>。</w:t>
      </w:r>
    </w:p>
    <w:p>
      <w:pPr>
        <w:pStyle w:val="67"/>
        <w:rPr>
          <w:color w:val="000000" w:themeColor="text1"/>
          <w:highlight w:val="none"/>
        </w:rPr>
      </w:pPr>
      <w:r>
        <w:rPr>
          <w:rFonts w:hint="eastAsia"/>
          <w:color w:val="000000" w:themeColor="text1"/>
          <w:highlight w:val="none"/>
        </w:rPr>
        <w:t>表7-20  矿山地质环境保护与恢复治理工程近期投资估算及年度经费安排表</w:t>
      </w:r>
    </w:p>
    <w:tbl>
      <w:tblPr>
        <w:tblStyle w:val="31"/>
        <w:tblW w:w="51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96"/>
        <w:gridCol w:w="1143"/>
        <w:gridCol w:w="1408"/>
        <w:gridCol w:w="1408"/>
        <w:gridCol w:w="1408"/>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restar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序号</w:t>
            </w:r>
          </w:p>
        </w:tc>
        <w:tc>
          <w:tcPr>
            <w:tcW w:w="734" w:type="pct"/>
            <w:vMerge w:val="restar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工程或费用名称</w:t>
            </w:r>
          </w:p>
        </w:tc>
        <w:tc>
          <w:tcPr>
            <w:tcW w:w="647" w:type="pct"/>
            <w:vMerge w:val="restart"/>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总金额（万元）</w:t>
            </w:r>
          </w:p>
        </w:tc>
        <w:tc>
          <w:tcPr>
            <w:tcW w:w="3192" w:type="pct"/>
            <w:gridSpan w:val="4"/>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年度经费（万元）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vMerge w:val="continue"/>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734" w:type="pct"/>
            <w:vMerge w:val="continue"/>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647" w:type="pct"/>
            <w:vMerge w:val="continue"/>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p>
        </w:tc>
        <w:tc>
          <w:tcPr>
            <w:tcW w:w="797"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2022</w:t>
            </w:r>
            <w:r>
              <w:rPr>
                <w:rFonts w:hint="eastAsia"/>
                <w:color w:val="000000" w:themeColor="text1"/>
                <w:highlight w:val="none"/>
              </w:rPr>
              <w:t>-2023</w:t>
            </w:r>
          </w:p>
        </w:tc>
        <w:tc>
          <w:tcPr>
            <w:tcW w:w="797"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color w:val="000000" w:themeColor="text1"/>
                <w:highlight w:val="none"/>
              </w:rPr>
              <w:t>2023</w:t>
            </w:r>
            <w:r>
              <w:rPr>
                <w:rFonts w:hint="eastAsia"/>
                <w:color w:val="000000" w:themeColor="text1"/>
                <w:highlight w:val="none"/>
              </w:rPr>
              <w:t>-2024</w:t>
            </w:r>
          </w:p>
        </w:tc>
        <w:tc>
          <w:tcPr>
            <w:tcW w:w="797"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highlight w:val="none"/>
              </w:rPr>
            </w:pPr>
            <w:r>
              <w:rPr>
                <w:rFonts w:hint="eastAsia"/>
                <w:color w:val="000000" w:themeColor="text1"/>
                <w:highlight w:val="none"/>
              </w:rPr>
              <w:t>2024-2025</w:t>
            </w:r>
          </w:p>
        </w:tc>
        <w:tc>
          <w:tcPr>
            <w:tcW w:w="798"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rPr>
              <w:t>202</w:t>
            </w:r>
            <w:r>
              <w:rPr>
                <w:rFonts w:hint="eastAsia"/>
                <w:color w:val="000000" w:themeColor="text1"/>
                <w:highlight w:val="none"/>
                <w:lang w:val="en-US" w:eastAsia="zh-CN"/>
              </w:rPr>
              <w:t>5</w:t>
            </w:r>
            <w:r>
              <w:rPr>
                <w:rFonts w:hint="eastAsia"/>
                <w:color w:val="000000" w:themeColor="text1"/>
                <w:highlight w:val="none"/>
              </w:rPr>
              <w:t>-202</w:t>
            </w:r>
            <w:r>
              <w:rPr>
                <w:rFonts w:hint="eastAsia"/>
                <w:color w:val="000000" w:themeColor="text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rPr>
                <w:rFonts w:ascii="宋体" w:hAnsi="宋体" w:cs="宋体"/>
                <w:color w:val="000000" w:themeColor="text1"/>
                <w:highlight w:val="none"/>
              </w:rPr>
            </w:pPr>
            <w:r>
              <w:rPr>
                <w:rFonts w:hint="eastAsia"/>
                <w:color w:val="000000" w:themeColor="text1"/>
                <w:highlight w:val="none"/>
              </w:rPr>
              <w:t>一</w:t>
            </w:r>
          </w:p>
        </w:tc>
        <w:tc>
          <w:tcPr>
            <w:tcW w:w="734" w:type="pct"/>
            <w:tcBorders>
              <w:top w:val="single" w:color="auto" w:sz="4" w:space="0"/>
              <w:left w:val="nil"/>
              <w:bottom w:val="single" w:color="auto" w:sz="4" w:space="0"/>
              <w:right w:val="single" w:color="auto" w:sz="4" w:space="0"/>
            </w:tcBorders>
            <w:vAlign w:val="center"/>
          </w:tcPr>
          <w:p>
            <w:pPr>
              <w:pStyle w:val="63"/>
              <w:rPr>
                <w:rFonts w:hint="eastAsia" w:ascii="宋体" w:hAnsi="宋体" w:eastAsia="宋体" w:cs="宋体"/>
                <w:color w:val="000000" w:themeColor="text1"/>
                <w:highlight w:val="none"/>
                <w:lang w:eastAsia="zh-CN"/>
              </w:rPr>
            </w:pPr>
            <w:r>
              <w:rPr>
                <w:rFonts w:hint="eastAsia" w:ascii="宋体" w:hAnsi="宋体" w:cs="宋体"/>
                <w:color w:val="000000" w:themeColor="text1"/>
                <w:highlight w:val="none"/>
                <w:lang w:eastAsia="zh-CN"/>
              </w:rPr>
              <w:t>主体建筑工程</w:t>
            </w:r>
          </w:p>
        </w:tc>
        <w:tc>
          <w:tcPr>
            <w:tcW w:w="1143"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10.025</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3.04</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1.54</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2.31</w:t>
            </w:r>
          </w:p>
        </w:tc>
        <w:tc>
          <w:tcPr>
            <w:tcW w:w="1409"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ascii="宋体" w:hAnsi="宋体" w:eastAsia="宋体" w:cs="宋体"/>
                <w:color w:val="000000" w:themeColor="text1"/>
                <w:kern w:val="2"/>
                <w:sz w:val="21"/>
                <w:szCs w:val="20"/>
                <w:highlight w:val="none"/>
                <w:lang w:val="en-US" w:eastAsia="zh-CN" w:bidi="ar-SA"/>
              </w:rPr>
            </w:pPr>
            <w:r>
              <w:rPr>
                <w:rFonts w:hint="eastAsia"/>
                <w:color w:val="000000" w:themeColor="text1"/>
                <w:highlight w:val="none"/>
                <w:lang w:eastAsia="zh-CN"/>
              </w:rPr>
              <w:t>二</w:t>
            </w:r>
          </w:p>
        </w:tc>
        <w:tc>
          <w:tcPr>
            <w:tcW w:w="734" w:type="pct"/>
            <w:tcBorders>
              <w:top w:val="single" w:color="auto" w:sz="4" w:space="0"/>
              <w:left w:val="nil"/>
              <w:bottom w:val="single" w:color="auto" w:sz="4" w:space="0"/>
              <w:right w:val="single" w:color="auto" w:sz="4" w:space="0"/>
            </w:tcBorders>
            <w:vAlign w:val="center"/>
          </w:tcPr>
          <w:p>
            <w:pPr>
              <w:pStyle w:val="63"/>
              <w:ind w:firstLine="0" w:firstLineChars="0"/>
              <w:rPr>
                <w:rFonts w:hint="eastAsia" w:ascii="宋体" w:hAnsi="宋体" w:eastAsia="宋体" w:cs="宋体"/>
                <w:color w:val="000000" w:themeColor="text1"/>
                <w:kern w:val="2"/>
                <w:sz w:val="21"/>
                <w:szCs w:val="20"/>
                <w:highlight w:val="none"/>
                <w:lang w:val="en-US" w:eastAsia="zh-CN" w:bidi="ar-SA"/>
              </w:rPr>
            </w:pPr>
            <w:r>
              <w:rPr>
                <w:rFonts w:hint="eastAsia"/>
                <w:color w:val="000000" w:themeColor="text1"/>
                <w:highlight w:val="none"/>
              </w:rPr>
              <w:t>矿山地质灾害防治工程</w:t>
            </w:r>
            <w:r>
              <w:rPr>
                <w:rFonts w:hint="eastAsia"/>
                <w:color w:val="000000" w:themeColor="text1"/>
                <w:highlight w:val="none"/>
                <w:lang w:eastAsia="zh-CN"/>
              </w:rPr>
              <w:t>与</w:t>
            </w:r>
            <w:r>
              <w:rPr>
                <w:rFonts w:hint="eastAsia"/>
                <w:color w:val="000000" w:themeColor="text1"/>
                <w:highlight w:val="none"/>
              </w:rPr>
              <w:t>监测工程</w:t>
            </w:r>
          </w:p>
        </w:tc>
        <w:tc>
          <w:tcPr>
            <w:tcW w:w="1143"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15.42</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9.11</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2.11</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2.1</w:t>
            </w:r>
          </w:p>
        </w:tc>
        <w:tc>
          <w:tcPr>
            <w:tcW w:w="1409"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ascii="宋体" w:hAnsi="宋体" w:eastAsia="宋体" w:cs="宋体"/>
                <w:color w:val="000000" w:themeColor="text1"/>
                <w:kern w:val="2"/>
                <w:sz w:val="21"/>
                <w:szCs w:val="20"/>
                <w:highlight w:val="none"/>
                <w:lang w:val="en-US" w:eastAsia="zh-CN" w:bidi="ar-SA"/>
              </w:rPr>
            </w:pPr>
            <w:r>
              <w:rPr>
                <w:rFonts w:hint="eastAsia"/>
                <w:color w:val="000000" w:themeColor="text1"/>
                <w:highlight w:val="none"/>
                <w:lang w:eastAsia="zh-CN"/>
              </w:rPr>
              <w:t>三</w:t>
            </w:r>
          </w:p>
        </w:tc>
        <w:tc>
          <w:tcPr>
            <w:tcW w:w="734" w:type="pct"/>
            <w:tcBorders>
              <w:top w:val="single" w:color="auto" w:sz="4" w:space="0"/>
              <w:left w:val="nil"/>
              <w:bottom w:val="single" w:color="auto" w:sz="4" w:space="0"/>
              <w:right w:val="single" w:color="auto" w:sz="4" w:space="0"/>
            </w:tcBorders>
            <w:vAlign w:val="center"/>
          </w:tcPr>
          <w:p>
            <w:pPr>
              <w:pStyle w:val="63"/>
              <w:rPr>
                <w:rFonts w:ascii="宋体" w:hAnsi="宋体" w:cs="宋体"/>
                <w:color w:val="000000" w:themeColor="text1"/>
                <w:highlight w:val="none"/>
              </w:rPr>
            </w:pPr>
            <w:r>
              <w:rPr>
                <w:rFonts w:hint="eastAsia"/>
                <w:color w:val="000000" w:themeColor="text1"/>
                <w:highlight w:val="none"/>
              </w:rPr>
              <w:t>独立费用</w:t>
            </w:r>
          </w:p>
        </w:tc>
        <w:tc>
          <w:tcPr>
            <w:tcW w:w="1143"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4.028</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1.007</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1.007</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1.007</w:t>
            </w:r>
          </w:p>
        </w:tc>
        <w:tc>
          <w:tcPr>
            <w:tcW w:w="1409"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ind w:firstLine="0" w:firstLineChars="0"/>
              <w:rPr>
                <w:rFonts w:hint="eastAsia" w:ascii="Times New Roman" w:hAnsi="Times New Roman" w:eastAsia="宋体" w:cs="Times New Roman"/>
                <w:color w:val="000000" w:themeColor="text1"/>
                <w:kern w:val="2"/>
                <w:sz w:val="21"/>
                <w:szCs w:val="20"/>
                <w:highlight w:val="none"/>
                <w:lang w:val="en-US" w:eastAsia="zh-CN" w:bidi="ar-SA"/>
              </w:rPr>
            </w:pPr>
            <w:r>
              <w:rPr>
                <w:rFonts w:hint="eastAsia"/>
                <w:color w:val="000000" w:themeColor="text1"/>
                <w:highlight w:val="none"/>
                <w:lang w:eastAsia="zh-CN"/>
              </w:rPr>
              <w:t>四</w:t>
            </w:r>
          </w:p>
        </w:tc>
        <w:tc>
          <w:tcPr>
            <w:tcW w:w="734" w:type="pct"/>
            <w:tcBorders>
              <w:top w:val="single" w:color="auto" w:sz="4" w:space="0"/>
              <w:left w:val="nil"/>
              <w:bottom w:val="single" w:color="auto" w:sz="4" w:space="0"/>
              <w:right w:val="single" w:color="auto" w:sz="4" w:space="0"/>
            </w:tcBorders>
            <w:vAlign w:val="center"/>
          </w:tcPr>
          <w:p>
            <w:pPr>
              <w:pStyle w:val="63"/>
              <w:rPr>
                <w:rFonts w:ascii="宋体" w:hAnsi="宋体" w:cs="宋体"/>
                <w:color w:val="000000" w:themeColor="text1"/>
                <w:highlight w:val="none"/>
              </w:rPr>
            </w:pPr>
            <w:r>
              <w:rPr>
                <w:rFonts w:hint="eastAsia"/>
                <w:color w:val="000000" w:themeColor="text1"/>
                <w:highlight w:val="none"/>
              </w:rPr>
              <w:t>基本预备费</w:t>
            </w:r>
          </w:p>
        </w:tc>
        <w:tc>
          <w:tcPr>
            <w:tcW w:w="1143"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2.358</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1.288</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0.37</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0.36</w:t>
            </w:r>
          </w:p>
        </w:tc>
        <w:tc>
          <w:tcPr>
            <w:tcW w:w="1409"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rPr>
                <w:rFonts w:hint="eastAsia"/>
                <w:color w:val="000000" w:themeColor="text1"/>
                <w:highlight w:val="none"/>
                <w:lang w:eastAsia="zh-CN"/>
              </w:rPr>
            </w:pPr>
            <w:r>
              <w:rPr>
                <w:rFonts w:hint="eastAsia"/>
                <w:color w:val="000000" w:themeColor="text1"/>
                <w:highlight w:val="none"/>
                <w:lang w:eastAsia="zh-CN"/>
              </w:rPr>
              <w:t>五</w:t>
            </w:r>
          </w:p>
        </w:tc>
        <w:tc>
          <w:tcPr>
            <w:tcW w:w="734"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价差预备费</w:t>
            </w:r>
          </w:p>
        </w:tc>
        <w:tc>
          <w:tcPr>
            <w:tcW w:w="1143"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3.14</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0.785</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0.785</w:t>
            </w:r>
          </w:p>
        </w:tc>
        <w:tc>
          <w:tcPr>
            <w:tcW w:w="1408"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0.785</w:t>
            </w:r>
          </w:p>
        </w:tc>
        <w:tc>
          <w:tcPr>
            <w:tcW w:w="1409" w:type="dxa"/>
            <w:tcBorders>
              <w:top w:val="single" w:color="auto" w:sz="4" w:space="0"/>
              <w:left w:val="nil"/>
              <w:bottom w:val="single" w:color="auto" w:sz="4" w:space="0"/>
              <w:right w:val="single" w:color="auto" w:sz="4" w:space="0"/>
            </w:tcBorders>
            <w:vAlign w:val="center"/>
          </w:tcPr>
          <w:p>
            <w:pPr>
              <w:pStyle w:val="63"/>
              <w:rPr>
                <w:rFonts w:hint="default"/>
                <w:color w:val="000000" w:themeColor="text1"/>
                <w:highlight w:val="none"/>
                <w:lang w:val="en-US" w:eastAsia="zh-CN"/>
              </w:rPr>
            </w:pPr>
            <w:r>
              <w:rPr>
                <w:rFonts w:hint="default"/>
                <w:color w:val="000000" w:themeColor="text1"/>
                <w:highlight w:val="none"/>
                <w:lang w:val="en-US" w:eastAsia="zh-CN"/>
              </w:rPr>
              <w:t>0.785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p>
        </w:tc>
        <w:tc>
          <w:tcPr>
            <w:tcW w:w="734" w:type="pct"/>
            <w:tcBorders>
              <w:top w:val="single" w:color="auto" w:sz="4" w:space="0"/>
              <w:left w:val="nil"/>
              <w:bottom w:val="single" w:color="auto" w:sz="4" w:space="0"/>
              <w:right w:val="single" w:color="auto" w:sz="4" w:space="0"/>
            </w:tcBorders>
            <w:vAlign w:val="center"/>
          </w:tcPr>
          <w:p>
            <w:pPr>
              <w:pStyle w:val="63"/>
              <w:rPr>
                <w:rFonts w:ascii="宋体" w:hAnsi="宋体" w:cs="宋体"/>
                <w:color w:val="000000" w:themeColor="text1"/>
                <w:highlight w:val="none"/>
              </w:rPr>
            </w:pPr>
            <w:r>
              <w:rPr>
                <w:rFonts w:hint="eastAsia"/>
                <w:color w:val="000000" w:themeColor="text1"/>
                <w:highlight w:val="none"/>
              </w:rPr>
              <w:t>合计</w:t>
            </w:r>
          </w:p>
        </w:tc>
        <w:tc>
          <w:tcPr>
            <w:tcW w:w="1143"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eastAsia="zh-CN"/>
              </w:rPr>
            </w:pPr>
            <w:r>
              <w:rPr>
                <w:rFonts w:hint="default"/>
                <w:color w:val="000000" w:themeColor="text1"/>
                <w:highlight w:val="none"/>
                <w:lang w:val="en-US" w:eastAsia="zh-CN"/>
              </w:rPr>
              <w:t>34.971</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15.23</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5.812</w:t>
            </w:r>
          </w:p>
        </w:tc>
        <w:tc>
          <w:tcPr>
            <w:tcW w:w="1408"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6.562</w:t>
            </w:r>
          </w:p>
        </w:tc>
        <w:tc>
          <w:tcPr>
            <w:tcW w:w="1409" w:type="dxa"/>
            <w:tcBorders>
              <w:top w:val="single" w:color="auto" w:sz="4" w:space="0"/>
              <w:left w:val="nil"/>
              <w:bottom w:val="single" w:color="auto" w:sz="4" w:space="0"/>
              <w:right w:val="single" w:color="auto" w:sz="4" w:space="0"/>
            </w:tcBorders>
            <w:vAlign w:val="center"/>
          </w:tcPr>
          <w:p>
            <w:pPr>
              <w:pStyle w:val="63"/>
              <w:rPr>
                <w:rFonts w:hint="eastAsia"/>
                <w:color w:val="000000" w:themeColor="text1"/>
                <w:highlight w:val="none"/>
                <w:lang w:val="en-US" w:eastAsia="zh-CN"/>
              </w:rPr>
            </w:pPr>
            <w:r>
              <w:rPr>
                <w:rFonts w:hint="default"/>
                <w:color w:val="000000" w:themeColor="text1"/>
                <w:highlight w:val="none"/>
                <w:lang w:val="en-US" w:eastAsia="zh-CN"/>
              </w:rPr>
              <w:t>6.542</w:t>
            </w:r>
          </w:p>
        </w:tc>
      </w:tr>
    </w:tbl>
    <w:p>
      <w:pPr>
        <w:rPr>
          <w:color w:val="000000" w:themeColor="text1"/>
          <w:highlight w:val="none"/>
        </w:rPr>
      </w:pPr>
      <w:r>
        <w:rPr>
          <w:color w:val="000000" w:themeColor="text1"/>
          <w:highlight w:val="none"/>
        </w:rPr>
        <w:t>矿山近期各年的地质环境治理具体工程量如下：</w:t>
      </w:r>
    </w:p>
    <w:p>
      <w:pPr>
        <w:rPr>
          <w:color w:val="000000" w:themeColor="text1"/>
          <w:highlight w:val="none"/>
        </w:rPr>
      </w:pPr>
      <w:r>
        <w:rPr>
          <w:color w:val="000000" w:themeColor="text1"/>
          <w:highlight w:val="none"/>
        </w:rPr>
        <w:t>1</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2</w:t>
      </w:r>
      <w:r>
        <w:rPr>
          <w:rFonts w:ascii="宋体" w:hAnsi="宋体"/>
          <w:color w:val="000000" w:themeColor="text1"/>
          <w:highlight w:val="none"/>
        </w:rPr>
        <w:t>年</w:t>
      </w:r>
      <w:r>
        <w:rPr>
          <w:rFonts w:hint="eastAsia"/>
          <w:color w:val="000000" w:themeColor="text1"/>
          <w:highlight w:val="none"/>
          <w:lang w:val="en-US" w:eastAsia="zh-CN"/>
        </w:rPr>
        <w:t>12</w:t>
      </w:r>
      <w:r>
        <w:rPr>
          <w:rFonts w:ascii="宋体" w:hAnsi="宋体"/>
          <w:color w:val="000000" w:themeColor="text1"/>
          <w:highlight w:val="none"/>
        </w:rPr>
        <w:t>月～</w:t>
      </w:r>
      <w:r>
        <w:rPr>
          <w:color w:val="000000" w:themeColor="text1"/>
          <w:highlight w:val="none"/>
        </w:rPr>
        <w:t>202</w:t>
      </w:r>
      <w:r>
        <w:rPr>
          <w:rFonts w:hint="eastAsia"/>
          <w:color w:val="000000" w:themeColor="text1"/>
          <w:highlight w:val="none"/>
          <w:lang w:val="en-US" w:eastAsia="zh-CN"/>
        </w:rPr>
        <w:t>3</w:t>
      </w:r>
      <w:r>
        <w:rPr>
          <w:rFonts w:ascii="宋体" w:hAnsi="宋体"/>
          <w:color w:val="000000" w:themeColor="text1"/>
          <w:highlight w:val="none"/>
        </w:rPr>
        <w:t>年</w:t>
      </w:r>
      <w:r>
        <w:rPr>
          <w:rFonts w:hint="eastAsia"/>
          <w:color w:val="000000" w:themeColor="text1"/>
          <w:highlight w:val="none"/>
          <w:lang w:val="en-US" w:eastAsia="zh-CN"/>
        </w:rPr>
        <w:t>11</w:t>
      </w:r>
      <w:r>
        <w:rPr>
          <w:rFonts w:ascii="宋体" w:hAnsi="宋体"/>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r>
        <w:rPr>
          <w:rFonts w:hint="eastAsia"/>
          <w:color w:val="000000" w:themeColor="text1"/>
          <w:highlight w:val="none"/>
        </w:rPr>
        <w:t>，</w:t>
      </w:r>
      <w:r>
        <w:rPr>
          <w:color w:val="000000" w:themeColor="text1"/>
          <w:highlight w:val="none"/>
        </w:rPr>
        <w:t>完善雨量监测和GNSS监测系统。</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3</w:t>
      </w:r>
      <w:r>
        <w:rPr>
          <w:rFonts w:ascii="宋体" w:hAnsi="宋体"/>
          <w:color w:val="000000" w:themeColor="text1"/>
          <w:highlight w:val="none"/>
        </w:rPr>
        <w:t>年</w:t>
      </w:r>
      <w:r>
        <w:rPr>
          <w:rFonts w:hint="eastAsia"/>
          <w:color w:val="000000" w:themeColor="text1"/>
          <w:highlight w:val="none"/>
          <w:lang w:val="en-US" w:eastAsia="zh-CN"/>
        </w:rPr>
        <w:t>12</w:t>
      </w:r>
      <w:r>
        <w:rPr>
          <w:rFonts w:ascii="宋体" w:hAnsi="宋体"/>
          <w:color w:val="000000" w:themeColor="text1"/>
          <w:highlight w:val="none"/>
        </w:rPr>
        <w:t>月～</w:t>
      </w:r>
      <w:r>
        <w:rPr>
          <w:color w:val="000000" w:themeColor="text1"/>
          <w:highlight w:val="none"/>
        </w:rPr>
        <w:t>202</w:t>
      </w:r>
      <w:r>
        <w:rPr>
          <w:rFonts w:hint="eastAsia"/>
          <w:color w:val="000000" w:themeColor="text1"/>
          <w:highlight w:val="none"/>
          <w:lang w:val="en-US" w:eastAsia="zh-CN"/>
        </w:rPr>
        <w:t>4</w:t>
      </w:r>
      <w:r>
        <w:rPr>
          <w:rFonts w:ascii="宋体" w:hAnsi="宋体"/>
          <w:color w:val="000000" w:themeColor="text1"/>
          <w:highlight w:val="none"/>
        </w:rPr>
        <w:t>年</w:t>
      </w:r>
      <w:r>
        <w:rPr>
          <w:rFonts w:hint="eastAsia"/>
          <w:color w:val="000000" w:themeColor="text1"/>
          <w:highlight w:val="none"/>
          <w:lang w:val="en-US" w:eastAsia="zh-CN"/>
        </w:rPr>
        <w:t>11</w:t>
      </w:r>
      <w:r>
        <w:rPr>
          <w:rFonts w:ascii="宋体" w:hAnsi="宋体"/>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3</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4</w:t>
      </w:r>
      <w:r>
        <w:rPr>
          <w:rFonts w:ascii="宋体" w:hAnsi="宋体"/>
          <w:color w:val="000000" w:themeColor="text1"/>
          <w:highlight w:val="none"/>
        </w:rPr>
        <w:t>年</w:t>
      </w:r>
      <w:r>
        <w:rPr>
          <w:rFonts w:hint="eastAsia"/>
          <w:color w:val="000000" w:themeColor="text1"/>
          <w:highlight w:val="none"/>
          <w:lang w:val="en-US" w:eastAsia="zh-CN"/>
        </w:rPr>
        <w:t>12</w:t>
      </w:r>
      <w:r>
        <w:rPr>
          <w:rFonts w:ascii="宋体" w:hAnsi="宋体"/>
          <w:color w:val="000000" w:themeColor="text1"/>
          <w:highlight w:val="none"/>
        </w:rPr>
        <w:t>月～</w:t>
      </w:r>
      <w:r>
        <w:rPr>
          <w:color w:val="000000" w:themeColor="text1"/>
          <w:highlight w:val="none"/>
        </w:rPr>
        <w:t>202</w:t>
      </w:r>
      <w:r>
        <w:rPr>
          <w:rFonts w:hint="eastAsia"/>
          <w:color w:val="000000" w:themeColor="text1"/>
          <w:highlight w:val="none"/>
          <w:lang w:val="en-US" w:eastAsia="zh-CN"/>
        </w:rPr>
        <w:t>5</w:t>
      </w:r>
      <w:r>
        <w:rPr>
          <w:rFonts w:ascii="宋体" w:hAnsi="宋体"/>
          <w:color w:val="000000" w:themeColor="text1"/>
          <w:highlight w:val="none"/>
        </w:rPr>
        <w:t>年</w:t>
      </w:r>
      <w:r>
        <w:rPr>
          <w:rFonts w:hint="eastAsia"/>
          <w:color w:val="000000" w:themeColor="text1"/>
          <w:highlight w:val="none"/>
          <w:lang w:val="en-US" w:eastAsia="zh-CN"/>
        </w:rPr>
        <w:t>11</w:t>
      </w:r>
      <w:r>
        <w:rPr>
          <w:rFonts w:ascii="宋体" w:hAnsi="宋体"/>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lang w:val="en-US" w:eastAsia="zh-CN"/>
        </w:rPr>
        <w:t>16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4</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5</w:t>
      </w:r>
      <w:r>
        <w:rPr>
          <w:rFonts w:ascii="宋体" w:hAnsi="宋体"/>
          <w:color w:val="000000" w:themeColor="text1"/>
          <w:highlight w:val="none"/>
        </w:rPr>
        <w:t>年</w:t>
      </w:r>
      <w:r>
        <w:rPr>
          <w:rFonts w:hint="eastAsia"/>
          <w:color w:val="000000" w:themeColor="text1"/>
          <w:highlight w:val="none"/>
          <w:lang w:val="en-US" w:eastAsia="zh-CN"/>
        </w:rPr>
        <w:t>12</w:t>
      </w:r>
      <w:r>
        <w:rPr>
          <w:rFonts w:ascii="宋体" w:hAnsi="宋体"/>
          <w:color w:val="000000" w:themeColor="text1"/>
          <w:highlight w:val="none"/>
        </w:rPr>
        <w:t>月～</w:t>
      </w:r>
      <w:r>
        <w:rPr>
          <w:color w:val="000000" w:themeColor="text1"/>
          <w:highlight w:val="none"/>
        </w:rPr>
        <w:t>202</w:t>
      </w:r>
      <w:r>
        <w:rPr>
          <w:rFonts w:hint="eastAsia"/>
          <w:color w:val="000000" w:themeColor="text1"/>
          <w:highlight w:val="none"/>
          <w:lang w:val="en-US" w:eastAsia="zh-CN"/>
        </w:rPr>
        <w:t>7</w:t>
      </w:r>
      <w:r>
        <w:rPr>
          <w:rFonts w:ascii="宋体" w:hAnsi="宋体"/>
          <w:color w:val="000000" w:themeColor="text1"/>
          <w:highlight w:val="none"/>
        </w:rPr>
        <w:t>年</w:t>
      </w:r>
      <w:r>
        <w:rPr>
          <w:rFonts w:hint="eastAsia"/>
          <w:color w:val="000000" w:themeColor="text1"/>
          <w:highlight w:val="none"/>
          <w:lang w:val="en-US" w:eastAsia="zh-CN"/>
        </w:rPr>
        <w:t>2</w:t>
      </w:r>
      <w:r>
        <w:rPr>
          <w:rFonts w:ascii="宋体" w:hAnsi="宋体"/>
          <w:color w:val="000000" w:themeColor="text1"/>
          <w:highlight w:val="none"/>
        </w:rPr>
        <w:t>月</w:t>
      </w:r>
    </w:p>
    <w:p>
      <w:pPr>
        <w:rPr>
          <w:color w:val="000000" w:themeColor="text1"/>
          <w:highlight w:val="none"/>
        </w:rPr>
      </w:pPr>
      <w:r>
        <w:rPr>
          <w:color w:val="000000" w:themeColor="text1"/>
          <w:highlight w:val="none"/>
        </w:rPr>
        <w:t>（1）矿山地质环境保护</w:t>
      </w:r>
    </w:p>
    <w:p>
      <w:pPr>
        <w:rPr>
          <w:color w:val="000000" w:themeColor="text1"/>
          <w:highlight w:val="none"/>
        </w:rPr>
      </w:pPr>
      <w:r>
        <w:rPr>
          <w:color w:val="000000" w:themeColor="text1"/>
          <w:highlight w:val="none"/>
        </w:rPr>
        <w:t>矿山成立地质环境保护治理与恢复机构，专人负责矿山地质环境保护与土地复垦方案的实施，建立健全各项规章制度，配备人员及设备。</w:t>
      </w:r>
    </w:p>
    <w:p>
      <w:pPr>
        <w:rPr>
          <w:color w:val="000000" w:themeColor="text1"/>
          <w:highlight w:val="none"/>
        </w:rPr>
      </w:pPr>
      <w:r>
        <w:rPr>
          <w:color w:val="000000" w:themeColor="text1"/>
          <w:highlight w:val="none"/>
        </w:rPr>
        <w:t>建立监测系统，开展矿山地质环境监测工程。</w:t>
      </w:r>
    </w:p>
    <w:p>
      <w:pPr>
        <w:rPr>
          <w:color w:val="000000" w:themeColor="text1"/>
          <w:highlight w:val="none"/>
        </w:rPr>
      </w:pPr>
      <w:r>
        <w:rPr>
          <w:color w:val="000000" w:themeColor="text1"/>
          <w:highlight w:val="none"/>
        </w:rPr>
        <w:t>地表水水质监测</w:t>
      </w:r>
      <w:r>
        <w:rPr>
          <w:rFonts w:hint="eastAsia"/>
          <w:color w:val="000000" w:themeColor="text1"/>
          <w:highlight w:val="none"/>
        </w:rPr>
        <w:t>2</w:t>
      </w:r>
      <w:r>
        <w:rPr>
          <w:color w:val="000000" w:themeColor="text1"/>
          <w:highlight w:val="none"/>
        </w:rPr>
        <w:t>点·次；地下水水位监测</w:t>
      </w:r>
      <w:r>
        <w:rPr>
          <w:rFonts w:hint="eastAsia"/>
          <w:color w:val="000000" w:themeColor="text1"/>
          <w:highlight w:val="none"/>
        </w:rPr>
        <w:t>1</w:t>
      </w:r>
      <w:r>
        <w:rPr>
          <w:rFonts w:hint="eastAsia"/>
          <w:color w:val="000000" w:themeColor="text1"/>
          <w:highlight w:val="none"/>
          <w:lang w:val="en-US" w:eastAsia="zh-CN"/>
        </w:rPr>
        <w:t>6</w:t>
      </w:r>
      <w:r>
        <w:rPr>
          <w:color w:val="000000" w:themeColor="text1"/>
          <w:highlight w:val="none"/>
        </w:rPr>
        <w:t>点·次；地下水水质监测</w:t>
      </w:r>
      <w:r>
        <w:rPr>
          <w:rFonts w:hint="eastAsia"/>
          <w:color w:val="000000" w:themeColor="text1"/>
          <w:highlight w:val="none"/>
          <w:lang w:val="en-US" w:eastAsia="zh-CN"/>
        </w:rPr>
        <w:t>2</w:t>
      </w:r>
      <w:r>
        <w:rPr>
          <w:color w:val="000000" w:themeColor="text1"/>
          <w:highlight w:val="none"/>
        </w:rPr>
        <w:t>点次；水土污染监测2点·次。</w:t>
      </w:r>
    </w:p>
    <w:p>
      <w:pPr>
        <w:rPr>
          <w:color w:val="000000" w:themeColor="text1"/>
          <w:highlight w:val="none"/>
        </w:rPr>
      </w:pPr>
      <w:r>
        <w:rPr>
          <w:color w:val="000000" w:themeColor="text1"/>
          <w:highlight w:val="none"/>
        </w:rPr>
        <w:t>2、土地复垦费用安排</w:t>
      </w:r>
    </w:p>
    <w:p>
      <w:pPr>
        <w:rPr>
          <w:color w:val="000000" w:themeColor="text1"/>
          <w:highlight w:val="none"/>
        </w:rPr>
      </w:pPr>
      <w:r>
        <w:rPr>
          <w:color w:val="000000" w:themeColor="text1"/>
          <w:highlight w:val="none"/>
        </w:rPr>
        <w:t>根据第一阶段和近期年度土地复垦计划安排中计算的工程量，结合综合单价计算第一阶段和第一年度土地复垦费用。</w:t>
      </w:r>
    </w:p>
    <w:p>
      <w:pPr>
        <w:rPr>
          <w:color w:val="000000" w:themeColor="text1"/>
          <w:highlight w:val="none"/>
        </w:rPr>
      </w:pPr>
      <w:r>
        <w:rPr>
          <w:color w:val="000000" w:themeColor="text1"/>
          <w:highlight w:val="none"/>
        </w:rPr>
        <w:t>第一阶段（202</w:t>
      </w:r>
      <w:r>
        <w:rPr>
          <w:rFonts w:hint="eastAsia"/>
          <w:color w:val="000000" w:themeColor="text1"/>
          <w:highlight w:val="none"/>
          <w:lang w:val="en-US" w:eastAsia="zh-CN"/>
        </w:rPr>
        <w:t>2</w:t>
      </w:r>
      <w:r>
        <w:rPr>
          <w:color w:val="000000" w:themeColor="text1"/>
          <w:highlight w:val="none"/>
        </w:rPr>
        <w:t>~202</w:t>
      </w:r>
      <w:r>
        <w:rPr>
          <w:rFonts w:hint="eastAsia"/>
          <w:color w:val="000000" w:themeColor="text1"/>
          <w:highlight w:val="none"/>
          <w:lang w:val="en-US" w:eastAsia="zh-CN"/>
        </w:rPr>
        <w:t>7</w:t>
      </w:r>
      <w:r>
        <w:rPr>
          <w:color w:val="000000" w:themeColor="text1"/>
          <w:highlight w:val="none"/>
        </w:rPr>
        <w:t>年</w:t>
      </w:r>
      <w:r>
        <w:rPr>
          <w:rFonts w:hint="eastAsia"/>
          <w:color w:val="000000" w:themeColor="text1"/>
          <w:highlight w:val="none"/>
          <w:lang w:val="en-US" w:eastAsia="zh-CN"/>
        </w:rPr>
        <w:t>2月</w:t>
      </w:r>
      <w:r>
        <w:rPr>
          <w:color w:val="000000" w:themeColor="text1"/>
          <w:highlight w:val="none"/>
        </w:rPr>
        <w:t>）土地复垦费用共计</w:t>
      </w:r>
      <w:r>
        <w:rPr>
          <w:rFonts w:hint="eastAsia"/>
          <w:color w:val="000000" w:themeColor="text1"/>
          <w:kern w:val="0"/>
          <w:highlight w:val="none"/>
          <w:lang w:eastAsia="zh-CN"/>
        </w:rPr>
        <w:t>31.802</w:t>
      </w:r>
      <w:r>
        <w:rPr>
          <w:color w:val="000000" w:themeColor="text1"/>
          <w:highlight w:val="none"/>
        </w:rPr>
        <w:t>万元，工程施工费、监测和管护费，近期投资概算及年度经费安排见表7-</w:t>
      </w:r>
      <w:r>
        <w:rPr>
          <w:rFonts w:hint="eastAsia"/>
          <w:color w:val="000000" w:themeColor="text1"/>
          <w:highlight w:val="none"/>
        </w:rPr>
        <w:t>21</w:t>
      </w:r>
      <w:r>
        <w:rPr>
          <w:color w:val="000000" w:themeColor="text1"/>
          <w:highlight w:val="none"/>
        </w:rPr>
        <w:t>。</w:t>
      </w:r>
    </w:p>
    <w:p>
      <w:pPr>
        <w:pStyle w:val="67"/>
        <w:rPr>
          <w:rFonts w:hint="eastAsia"/>
          <w:color w:val="000000" w:themeColor="text1"/>
          <w:highlight w:val="none"/>
        </w:rPr>
      </w:pPr>
    </w:p>
    <w:p>
      <w:pPr>
        <w:pStyle w:val="67"/>
        <w:rPr>
          <w:color w:val="000000" w:themeColor="text1"/>
          <w:highlight w:val="none"/>
        </w:rPr>
      </w:pPr>
      <w:r>
        <w:rPr>
          <w:rFonts w:hint="eastAsia"/>
          <w:color w:val="000000" w:themeColor="text1"/>
          <w:highlight w:val="none"/>
        </w:rPr>
        <w:t>表7-21  土地复垦近期投资估算及年度经费安排表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083"/>
        <w:gridCol w:w="983"/>
        <w:gridCol w:w="1407"/>
        <w:gridCol w:w="1407"/>
        <w:gridCol w:w="1407"/>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vMerge w:val="restar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序号</w:t>
            </w:r>
          </w:p>
        </w:tc>
        <w:tc>
          <w:tcPr>
            <w:tcW w:w="635" w:type="pct"/>
            <w:vMerge w:val="restar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工程或费用名称</w:t>
            </w:r>
          </w:p>
        </w:tc>
        <w:tc>
          <w:tcPr>
            <w:tcW w:w="577" w:type="pct"/>
            <w:vMerge w:val="restart"/>
            <w:tcBorders>
              <w:top w:val="single" w:color="auto" w:sz="4" w:space="0"/>
              <w:left w:val="nil"/>
              <w:bottom w:val="single" w:color="auto" w:sz="4" w:space="0"/>
              <w:right w:val="single" w:color="auto" w:sz="4" w:space="0"/>
            </w:tcBorders>
            <w:vAlign w:val="center"/>
          </w:tcPr>
          <w:p>
            <w:pPr>
              <w:pStyle w:val="63"/>
              <w:rPr>
                <w:color w:val="000000" w:themeColor="text1"/>
                <w:kern w:val="0"/>
                <w:szCs w:val="21"/>
                <w:highlight w:val="none"/>
              </w:rPr>
            </w:pPr>
            <w:r>
              <w:rPr>
                <w:rFonts w:hint="eastAsia"/>
                <w:color w:val="000000" w:themeColor="text1"/>
                <w:kern w:val="0"/>
                <w:highlight w:val="none"/>
              </w:rPr>
              <w:t>总金额</w:t>
            </w:r>
          </w:p>
          <w:p>
            <w:pPr>
              <w:pStyle w:val="63"/>
              <w:rPr>
                <w:color w:val="000000" w:themeColor="text1"/>
                <w:kern w:val="0"/>
                <w:highlight w:val="none"/>
              </w:rPr>
            </w:pPr>
            <w:r>
              <w:rPr>
                <w:rFonts w:hint="eastAsia"/>
                <w:color w:val="000000" w:themeColor="text1"/>
                <w:kern w:val="0"/>
                <w:highlight w:val="none"/>
              </w:rPr>
              <w:t>（万元）</w:t>
            </w:r>
          </w:p>
        </w:tc>
        <w:tc>
          <w:tcPr>
            <w:tcW w:w="3307" w:type="pct"/>
            <w:gridSpan w:val="4"/>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年度经费（万元）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p>
        </w:tc>
        <w:tc>
          <w:tcPr>
            <w:tcW w:w="0" w:type="auto"/>
            <w:vMerge w:val="continue"/>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p>
        </w:tc>
        <w:tc>
          <w:tcPr>
            <w:tcW w:w="0" w:type="auto"/>
            <w:vMerge w:val="continue"/>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p>
        </w:tc>
        <w:tc>
          <w:tcPr>
            <w:tcW w:w="826"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kern w:val="0"/>
                <w:highlight w:val="none"/>
              </w:rPr>
            </w:pPr>
            <w:r>
              <w:rPr>
                <w:color w:val="000000" w:themeColor="text1"/>
                <w:kern w:val="0"/>
                <w:highlight w:val="none"/>
              </w:rPr>
              <w:t>2022-2023</w:t>
            </w:r>
          </w:p>
        </w:tc>
        <w:tc>
          <w:tcPr>
            <w:tcW w:w="826"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kern w:val="0"/>
                <w:highlight w:val="none"/>
              </w:rPr>
            </w:pPr>
            <w:r>
              <w:rPr>
                <w:color w:val="000000" w:themeColor="text1"/>
                <w:kern w:val="0"/>
                <w:highlight w:val="none"/>
              </w:rPr>
              <w:t>2023-2024</w:t>
            </w:r>
          </w:p>
        </w:tc>
        <w:tc>
          <w:tcPr>
            <w:tcW w:w="826" w:type="pct"/>
            <w:tcBorders>
              <w:top w:val="single" w:color="auto" w:sz="4" w:space="0"/>
              <w:left w:val="nil"/>
              <w:bottom w:val="single" w:color="auto" w:sz="4" w:space="0"/>
              <w:right w:val="single" w:color="auto" w:sz="4" w:space="0"/>
            </w:tcBorders>
            <w:vAlign w:val="center"/>
          </w:tcPr>
          <w:p>
            <w:pPr>
              <w:pStyle w:val="63"/>
              <w:ind w:firstLine="0" w:firstLineChars="0"/>
              <w:rPr>
                <w:color w:val="000000" w:themeColor="text1"/>
                <w:kern w:val="0"/>
                <w:highlight w:val="none"/>
              </w:rPr>
            </w:pPr>
            <w:r>
              <w:rPr>
                <w:color w:val="000000" w:themeColor="text1"/>
                <w:kern w:val="0"/>
                <w:highlight w:val="none"/>
              </w:rPr>
              <w:t>2024-2025</w:t>
            </w:r>
          </w:p>
        </w:tc>
        <w:tc>
          <w:tcPr>
            <w:tcW w:w="827"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kern w:val="0"/>
                <w:highlight w:val="none"/>
                <w:lang w:eastAsia="zh-CN"/>
              </w:rPr>
            </w:pPr>
            <w:r>
              <w:rPr>
                <w:color w:val="000000" w:themeColor="text1"/>
                <w:kern w:val="0"/>
                <w:highlight w:val="none"/>
              </w:rPr>
              <w:t>202</w:t>
            </w:r>
            <w:r>
              <w:rPr>
                <w:rFonts w:hint="eastAsia"/>
                <w:color w:val="000000" w:themeColor="text1"/>
                <w:kern w:val="0"/>
                <w:highlight w:val="none"/>
                <w:lang w:val="en-US" w:eastAsia="zh-CN"/>
              </w:rPr>
              <w:t>5</w:t>
            </w:r>
            <w:r>
              <w:rPr>
                <w:color w:val="000000" w:themeColor="text1"/>
                <w:kern w:val="0"/>
                <w:highlight w:val="none"/>
              </w:rPr>
              <w:t>-202</w:t>
            </w:r>
            <w:r>
              <w:rPr>
                <w:rFonts w:hint="eastAsia"/>
                <w:color w:val="000000" w:themeColor="text1"/>
                <w:kern w:val="0"/>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一</w:t>
            </w:r>
          </w:p>
        </w:tc>
        <w:tc>
          <w:tcPr>
            <w:tcW w:w="635" w:type="pc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工程施工费</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13.779</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13.779</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二</w:t>
            </w:r>
          </w:p>
        </w:tc>
        <w:tc>
          <w:tcPr>
            <w:tcW w:w="635" w:type="pc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设备费</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eastAsia"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三</w:t>
            </w:r>
          </w:p>
        </w:tc>
        <w:tc>
          <w:tcPr>
            <w:tcW w:w="635" w:type="pc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其他费用</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14.617</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14.617</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eastAsia"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eastAsia"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hint="eastAsia"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四</w:t>
            </w:r>
          </w:p>
        </w:tc>
        <w:tc>
          <w:tcPr>
            <w:tcW w:w="635" w:type="pc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监测与管护工程</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0.6</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0.15</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0.15</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0.15</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五</w:t>
            </w:r>
          </w:p>
        </w:tc>
        <w:tc>
          <w:tcPr>
            <w:tcW w:w="635" w:type="pct"/>
            <w:tcBorders>
              <w:top w:val="single" w:color="auto" w:sz="4" w:space="0"/>
              <w:left w:val="nil"/>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基本预备费</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1.006</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0.856</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0.05</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0.05</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9" w:type="pct"/>
            <w:tcBorders>
              <w:top w:val="single" w:color="auto" w:sz="4" w:space="0"/>
              <w:left w:val="single" w:color="auto" w:sz="4" w:space="0"/>
              <w:bottom w:val="single" w:color="auto" w:sz="4" w:space="0"/>
              <w:right w:val="single" w:color="auto" w:sz="4" w:space="0"/>
            </w:tcBorders>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eastAsia="zh-CN"/>
              </w:rPr>
              <w:t>六</w:t>
            </w:r>
          </w:p>
        </w:tc>
        <w:tc>
          <w:tcPr>
            <w:tcW w:w="635" w:type="pct"/>
            <w:tcBorders>
              <w:top w:val="single" w:color="auto" w:sz="4" w:space="0"/>
              <w:left w:val="nil"/>
              <w:bottom w:val="single" w:color="auto" w:sz="4" w:space="0"/>
              <w:right w:val="single" w:color="auto" w:sz="4" w:space="0"/>
            </w:tcBorders>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eastAsia="zh-CN"/>
              </w:rPr>
              <w:t>价差预备费</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1.8</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1.713</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0.019</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0.029</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hint="default" w:ascii="Times New Roman" w:hAnsi="Times New Roman" w:cs="Times New Roman"/>
                <w:color w:val="000000" w:themeColor="text1"/>
                <w:kern w:val="0"/>
                <w:highlight w:val="none"/>
                <w:lang w:val="en-US" w:eastAsia="zh-CN"/>
              </w:rPr>
            </w:pPr>
            <w:r>
              <w:rPr>
                <w:rFonts w:hint="default" w:ascii="Times New Roman" w:hAnsi="Times New Roman" w:cs="Times New Roman"/>
                <w:color w:val="000000" w:themeColor="text1"/>
                <w:kern w:val="0"/>
                <w:highlight w:val="none"/>
                <w:lang w:val="en-US" w:eastAsia="zh-CN"/>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5" w:type="pct"/>
            <w:gridSpan w:val="2"/>
            <w:tcBorders>
              <w:top w:val="single" w:color="auto" w:sz="4" w:space="0"/>
              <w:left w:val="single" w:color="auto" w:sz="4" w:space="0"/>
              <w:bottom w:val="single" w:color="auto" w:sz="4" w:space="0"/>
              <w:right w:val="single" w:color="auto" w:sz="4" w:space="0"/>
            </w:tcBorders>
            <w:vAlign w:val="center"/>
          </w:tcPr>
          <w:p>
            <w:pPr>
              <w:pStyle w:val="63"/>
              <w:rPr>
                <w:color w:val="000000" w:themeColor="text1"/>
                <w:kern w:val="0"/>
                <w:highlight w:val="none"/>
              </w:rPr>
            </w:pPr>
            <w:r>
              <w:rPr>
                <w:rFonts w:hint="eastAsia"/>
                <w:color w:val="000000" w:themeColor="text1"/>
                <w:kern w:val="0"/>
                <w:highlight w:val="none"/>
              </w:rPr>
              <w:t>合计</w:t>
            </w:r>
          </w:p>
        </w:tc>
        <w:tc>
          <w:tcPr>
            <w:tcW w:w="983"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31.802</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31.115</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0.219</w:t>
            </w:r>
          </w:p>
        </w:tc>
        <w:tc>
          <w:tcPr>
            <w:tcW w:w="1407"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0.229</w:t>
            </w:r>
          </w:p>
        </w:tc>
        <w:tc>
          <w:tcPr>
            <w:tcW w:w="1412" w:type="dxa"/>
            <w:tcBorders>
              <w:top w:val="single" w:color="auto" w:sz="4" w:space="0"/>
              <w:left w:val="nil"/>
              <w:bottom w:val="single" w:color="auto" w:sz="4" w:space="0"/>
              <w:right w:val="single" w:color="auto" w:sz="4" w:space="0"/>
            </w:tcBorders>
            <w:vAlign w:val="center"/>
          </w:tcPr>
          <w:p>
            <w:pPr>
              <w:pStyle w:val="63"/>
              <w:ind w:firstLine="0" w:firstLineChars="0"/>
              <w:rPr>
                <w:rFonts w:ascii="Times New Roman" w:hAnsi="Times New Roman" w:cs="Times New Roman"/>
                <w:color w:val="000000" w:themeColor="text1"/>
                <w:kern w:val="0"/>
                <w:highlight w:val="none"/>
              </w:rPr>
            </w:pPr>
            <w:r>
              <w:rPr>
                <w:rFonts w:hint="default" w:ascii="Times New Roman" w:hAnsi="Times New Roman" w:cs="Times New Roman"/>
                <w:color w:val="000000" w:themeColor="text1"/>
                <w:kern w:val="0"/>
                <w:highlight w:val="none"/>
                <w:lang w:val="en-US" w:eastAsia="zh-CN"/>
              </w:rPr>
              <w:t>0.239</w:t>
            </w:r>
          </w:p>
        </w:tc>
      </w:tr>
    </w:tbl>
    <w:p>
      <w:pPr>
        <w:rPr>
          <w:color w:val="000000" w:themeColor="text1"/>
          <w:highlight w:val="none"/>
        </w:rPr>
      </w:pPr>
      <w:r>
        <w:rPr>
          <w:color w:val="000000" w:themeColor="text1"/>
          <w:highlight w:val="none"/>
        </w:rPr>
        <w:t>矿山近期各年的土地复垦具体工程量如下：</w:t>
      </w:r>
    </w:p>
    <w:p>
      <w:pPr>
        <w:rPr>
          <w:rFonts w:hint="default"/>
          <w:color w:val="000000" w:themeColor="text1"/>
          <w:highlight w:val="none"/>
          <w:lang w:val="en-US" w:eastAsia="zh-CN"/>
        </w:rPr>
      </w:pPr>
      <w:r>
        <w:rPr>
          <w:rFonts w:ascii="宋体" w:hAnsi="宋体"/>
          <w:color w:val="000000" w:themeColor="text1"/>
          <w:highlight w:val="none"/>
        </w:rPr>
        <w:t>（</w:t>
      </w:r>
      <w:r>
        <w:rPr>
          <w:color w:val="000000" w:themeColor="text1"/>
          <w:highlight w:val="none"/>
        </w:rPr>
        <w:t>1</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2</w:t>
      </w:r>
      <w:r>
        <w:rPr>
          <w:rFonts w:ascii="宋体" w:hAnsi="宋体"/>
          <w:color w:val="000000" w:themeColor="text1"/>
          <w:highlight w:val="none"/>
        </w:rPr>
        <w:t>年</w:t>
      </w:r>
      <w:r>
        <w:rPr>
          <w:rFonts w:hint="eastAsia"/>
          <w:color w:val="000000" w:themeColor="text1"/>
          <w:highlight w:val="none"/>
          <w:lang w:val="en-US" w:eastAsia="zh-CN"/>
        </w:rPr>
        <w:t>-2023年</w:t>
      </w:r>
    </w:p>
    <w:p>
      <w:pPr>
        <w:rPr>
          <w:color w:val="000000" w:themeColor="text1"/>
          <w:highlight w:val="none"/>
        </w:rPr>
      </w:pPr>
      <w:r>
        <w:rPr>
          <w:color w:val="000000" w:themeColor="text1"/>
          <w:highlight w:val="none"/>
        </w:rPr>
        <w:t>建立监测系统，对损毁区开展土地损毁情况监测工程。主要包括土壤损毁情况监测1次。</w:t>
      </w:r>
    </w:p>
    <w:p>
      <w:pPr>
        <w:rPr>
          <w:color w:val="000000" w:themeColor="text1"/>
          <w:highlight w:val="none"/>
        </w:rPr>
      </w:pPr>
      <w:r>
        <w:rPr>
          <w:rFonts w:ascii="宋体" w:hAnsi="宋体"/>
          <w:color w:val="000000" w:themeColor="text1"/>
          <w:highlight w:val="none"/>
        </w:rPr>
        <w:t>（</w:t>
      </w:r>
      <w:r>
        <w:rPr>
          <w:color w:val="000000" w:themeColor="text1"/>
          <w:highlight w:val="none"/>
        </w:rPr>
        <w:t>2</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3</w:t>
      </w:r>
      <w:r>
        <w:rPr>
          <w:rFonts w:ascii="宋体" w:hAnsi="宋体"/>
          <w:color w:val="000000" w:themeColor="text1"/>
          <w:highlight w:val="none"/>
        </w:rPr>
        <w:t>年</w:t>
      </w:r>
      <w:r>
        <w:rPr>
          <w:rFonts w:hint="eastAsia"/>
          <w:color w:val="000000" w:themeColor="text1"/>
          <w:highlight w:val="none"/>
          <w:lang w:val="en-US" w:eastAsia="zh-CN"/>
        </w:rPr>
        <w:t>-2024年</w:t>
      </w:r>
    </w:p>
    <w:p>
      <w:pPr>
        <w:rPr>
          <w:color w:val="000000" w:themeColor="text1"/>
          <w:highlight w:val="none"/>
        </w:rPr>
      </w:pPr>
      <w:r>
        <w:rPr>
          <w:color w:val="000000" w:themeColor="text1"/>
          <w:highlight w:val="none"/>
        </w:rPr>
        <w:t>完善监测系统，持续对损毁区开展土地损毁情况监测工程。主要包括土壤损毁情况监测1次。</w:t>
      </w:r>
      <w:r>
        <w:rPr>
          <w:rFonts w:hint="eastAsia"/>
          <w:color w:val="000000" w:themeColor="text1"/>
          <w:highlight w:val="none"/>
        </w:rPr>
        <w:t>对已经开采完成的台阶及边坡进行复垦</w:t>
      </w:r>
      <w:r>
        <w:rPr>
          <w:rFonts w:hint="eastAsia"/>
          <w:color w:val="000000" w:themeColor="text1"/>
          <w:highlight w:val="none"/>
          <w:lang w:eastAsia="zh-CN"/>
        </w:rPr>
        <w:t>。</w:t>
      </w:r>
      <w:r>
        <w:rPr>
          <w:rFonts w:hint="eastAsia"/>
          <w:color w:val="000000" w:themeColor="text1"/>
          <w:highlight w:val="none"/>
        </w:rPr>
        <w:t>对复垦的林地进行土壤培肥，</w:t>
      </w:r>
      <w:r>
        <w:rPr>
          <w:rFonts w:hint="eastAsia"/>
          <w:color w:val="000000" w:themeColor="text1"/>
          <w:highlight w:val="none"/>
          <w:lang w:eastAsia="zh-CN"/>
        </w:rPr>
        <w:t>其他草地</w:t>
      </w:r>
      <w:r>
        <w:rPr>
          <w:rFonts w:hint="eastAsia"/>
          <w:color w:val="000000" w:themeColor="text1"/>
          <w:highlight w:val="none"/>
        </w:rPr>
        <w:t>因</w:t>
      </w:r>
      <w:r>
        <w:rPr>
          <w:rFonts w:hint="eastAsia"/>
          <w:color w:val="000000" w:themeColor="text1"/>
          <w:highlight w:val="none"/>
          <w:lang w:eastAsia="zh-CN"/>
        </w:rPr>
        <w:t>蔷薇</w:t>
      </w:r>
      <w:r>
        <w:rPr>
          <w:rFonts w:hint="eastAsia"/>
          <w:color w:val="000000" w:themeColor="text1"/>
          <w:highlight w:val="none"/>
        </w:rPr>
        <w:t>种植在台阶坡底位置，无需重复施肥。</w:t>
      </w:r>
    </w:p>
    <w:p>
      <w:pPr>
        <w:rPr>
          <w:color w:val="000000" w:themeColor="text1"/>
          <w:highlight w:val="none"/>
        </w:rPr>
      </w:pPr>
      <w:r>
        <w:rPr>
          <w:rFonts w:ascii="宋体" w:hAnsi="宋体"/>
          <w:color w:val="000000" w:themeColor="text1"/>
          <w:highlight w:val="none"/>
        </w:rPr>
        <w:t>（</w:t>
      </w:r>
      <w:r>
        <w:rPr>
          <w:color w:val="000000" w:themeColor="text1"/>
          <w:highlight w:val="none"/>
        </w:rPr>
        <w:t>3</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4</w:t>
      </w:r>
      <w:r>
        <w:rPr>
          <w:rFonts w:ascii="宋体" w:hAnsi="宋体"/>
          <w:color w:val="000000" w:themeColor="text1"/>
          <w:highlight w:val="none"/>
        </w:rPr>
        <w:t>年</w:t>
      </w:r>
      <w:r>
        <w:rPr>
          <w:rFonts w:hint="eastAsia"/>
          <w:color w:val="000000" w:themeColor="text1"/>
          <w:highlight w:val="none"/>
          <w:lang w:val="en-US" w:eastAsia="zh-CN"/>
        </w:rPr>
        <w:t>-2025年</w:t>
      </w:r>
    </w:p>
    <w:p>
      <w:pPr>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rPr>
        <w:t>对复垦的林地进行土壤培肥，</w:t>
      </w:r>
      <w:r>
        <w:rPr>
          <w:rFonts w:hint="eastAsia"/>
          <w:color w:val="000000" w:themeColor="text1"/>
          <w:highlight w:val="none"/>
          <w:lang w:eastAsia="zh-CN"/>
        </w:rPr>
        <w:t>其他草地</w:t>
      </w:r>
      <w:r>
        <w:rPr>
          <w:rFonts w:hint="eastAsia"/>
          <w:color w:val="000000" w:themeColor="text1"/>
          <w:highlight w:val="none"/>
        </w:rPr>
        <w:t>因</w:t>
      </w:r>
      <w:r>
        <w:rPr>
          <w:rFonts w:hint="eastAsia"/>
          <w:color w:val="000000" w:themeColor="text1"/>
          <w:highlight w:val="none"/>
          <w:lang w:eastAsia="zh-CN"/>
        </w:rPr>
        <w:t>蔷薇</w:t>
      </w:r>
      <w:r>
        <w:rPr>
          <w:rFonts w:hint="eastAsia"/>
          <w:color w:val="000000" w:themeColor="text1"/>
          <w:highlight w:val="none"/>
        </w:rPr>
        <w:t>种植在台阶坡底位置，无需重复施肥。</w:t>
      </w:r>
    </w:p>
    <w:p>
      <w:pPr>
        <w:rPr>
          <w:rFonts w:hint="default"/>
          <w:color w:val="000000" w:themeColor="text1"/>
          <w:highlight w:val="none"/>
          <w:lang w:val="en-US"/>
        </w:rPr>
      </w:pPr>
      <w:r>
        <w:rPr>
          <w:rFonts w:ascii="宋体" w:hAnsi="宋体"/>
          <w:color w:val="000000" w:themeColor="text1"/>
          <w:highlight w:val="none"/>
        </w:rPr>
        <w:t>（</w:t>
      </w:r>
      <w:r>
        <w:rPr>
          <w:color w:val="000000" w:themeColor="text1"/>
          <w:highlight w:val="none"/>
        </w:rPr>
        <w:t>4</w:t>
      </w:r>
      <w:r>
        <w:rPr>
          <w:rFonts w:ascii="宋体" w:hAnsi="宋体"/>
          <w:color w:val="000000" w:themeColor="text1"/>
          <w:highlight w:val="none"/>
        </w:rPr>
        <w:t>）</w:t>
      </w:r>
      <w:r>
        <w:rPr>
          <w:color w:val="000000" w:themeColor="text1"/>
          <w:highlight w:val="none"/>
        </w:rPr>
        <w:t>202</w:t>
      </w:r>
      <w:r>
        <w:rPr>
          <w:rFonts w:hint="eastAsia"/>
          <w:color w:val="000000" w:themeColor="text1"/>
          <w:highlight w:val="none"/>
          <w:lang w:val="en-US" w:eastAsia="zh-CN"/>
        </w:rPr>
        <w:t>5</w:t>
      </w:r>
      <w:r>
        <w:rPr>
          <w:rFonts w:ascii="宋体" w:hAnsi="宋体"/>
          <w:color w:val="000000" w:themeColor="text1"/>
          <w:highlight w:val="none"/>
        </w:rPr>
        <w:t>年</w:t>
      </w:r>
      <w:r>
        <w:rPr>
          <w:rFonts w:hint="eastAsia"/>
          <w:color w:val="000000" w:themeColor="text1"/>
          <w:highlight w:val="none"/>
          <w:lang w:val="en-US" w:eastAsia="zh-CN"/>
        </w:rPr>
        <w:t>-2027年2月</w:t>
      </w:r>
    </w:p>
    <w:p>
      <w:pPr>
        <w:rPr>
          <w:color w:val="000000" w:themeColor="text1"/>
          <w:highlight w:val="none"/>
        </w:rPr>
      </w:pPr>
      <w:r>
        <w:rPr>
          <w:color w:val="000000" w:themeColor="text1"/>
          <w:highlight w:val="none"/>
        </w:rPr>
        <w:t>建立监测系统，对损毁区开展土地损毁情况监测工程。主要包括土壤损毁情况监测1次。</w:t>
      </w:r>
      <w:r>
        <w:rPr>
          <w:rFonts w:hint="eastAsia"/>
          <w:color w:val="000000" w:themeColor="text1"/>
          <w:highlight w:val="none"/>
        </w:rPr>
        <w:t>对复垦的林地进行土壤培肥，</w:t>
      </w:r>
      <w:r>
        <w:rPr>
          <w:rFonts w:hint="eastAsia"/>
          <w:color w:val="000000" w:themeColor="text1"/>
          <w:highlight w:val="none"/>
          <w:lang w:eastAsia="zh-CN"/>
        </w:rPr>
        <w:t>其他草地</w:t>
      </w:r>
      <w:r>
        <w:rPr>
          <w:rFonts w:hint="eastAsia"/>
          <w:color w:val="000000" w:themeColor="text1"/>
          <w:highlight w:val="none"/>
        </w:rPr>
        <w:t>因</w:t>
      </w:r>
      <w:r>
        <w:rPr>
          <w:rFonts w:hint="eastAsia"/>
          <w:color w:val="000000" w:themeColor="text1"/>
          <w:highlight w:val="none"/>
          <w:lang w:eastAsia="zh-CN"/>
        </w:rPr>
        <w:t>蔷薇</w:t>
      </w:r>
      <w:r>
        <w:rPr>
          <w:rFonts w:hint="eastAsia"/>
          <w:color w:val="000000" w:themeColor="text1"/>
          <w:highlight w:val="none"/>
        </w:rPr>
        <w:t>种植在台阶坡底位置，无需重复施肥。</w:t>
      </w:r>
    </w:p>
    <w:p>
      <w:pPr>
        <w:rPr>
          <w:color w:val="000000" w:themeColor="text1"/>
          <w:highlight w:val="none"/>
        </w:rPr>
      </w:pPr>
      <w:r>
        <w:rPr>
          <w:color w:val="000000" w:themeColor="text1"/>
          <w:highlight w:val="none"/>
        </w:rPr>
        <w:t>3、土地复垦费用及矿山地质环境治理恢复基金的提存</w:t>
      </w:r>
    </w:p>
    <w:p>
      <w:pPr>
        <w:rPr>
          <w:color w:val="000000" w:themeColor="text1"/>
          <w:highlight w:val="none"/>
        </w:rPr>
      </w:pPr>
      <w:r>
        <w:rPr>
          <w:color w:val="000000" w:themeColor="text1"/>
          <w:highlight w:val="none"/>
        </w:rPr>
        <w:t>本矿山采矿许可证有效期截止</w:t>
      </w:r>
      <w:r>
        <w:rPr>
          <w:rFonts w:hint="eastAsia"/>
          <w:color w:val="000000" w:themeColor="text1"/>
          <w:highlight w:val="none"/>
        </w:rPr>
        <w:t>20</w:t>
      </w:r>
      <w:r>
        <w:rPr>
          <w:rFonts w:hint="eastAsia"/>
          <w:color w:val="000000" w:themeColor="text1"/>
          <w:highlight w:val="none"/>
          <w:lang w:val="en-US" w:eastAsia="zh-CN"/>
        </w:rPr>
        <w:t>24</w:t>
      </w:r>
      <w:r>
        <w:rPr>
          <w:color w:val="000000" w:themeColor="text1"/>
          <w:highlight w:val="none"/>
        </w:rPr>
        <w:t>年</w:t>
      </w:r>
      <w:r>
        <w:rPr>
          <w:rFonts w:hint="eastAsia"/>
          <w:color w:val="000000" w:themeColor="text1"/>
          <w:highlight w:val="none"/>
          <w:lang w:val="en-US" w:eastAsia="zh-CN"/>
        </w:rPr>
        <w:t>11</w:t>
      </w:r>
      <w:r>
        <w:rPr>
          <w:color w:val="000000" w:themeColor="text1"/>
          <w:highlight w:val="none"/>
        </w:rPr>
        <w:t>月，</w:t>
      </w:r>
      <w:r>
        <w:rPr>
          <w:rFonts w:hint="eastAsia"/>
          <w:color w:val="000000" w:themeColor="text1"/>
          <w:highlight w:val="none"/>
          <w:lang w:eastAsia="zh-CN"/>
        </w:rPr>
        <w:t>由于矿权范围变更，矿山剩余服务年限</w:t>
      </w:r>
      <w:r>
        <w:rPr>
          <w:rFonts w:hint="eastAsia"/>
          <w:color w:val="000000" w:themeColor="text1"/>
          <w:highlight w:val="none"/>
          <w:lang w:val="en-US" w:eastAsia="zh-CN"/>
        </w:rPr>
        <w:t>4.2年，</w:t>
      </w:r>
      <w:r>
        <w:rPr>
          <w:color w:val="000000" w:themeColor="text1"/>
          <w:highlight w:val="none"/>
        </w:rPr>
        <w:t>根据规定，土地复垦费用的提存应遵循提前预存、分阶段足额预存原则，并且在项目生产建设服务年限结束前1年预存完毕所有费用，故本矿山需要在20</w:t>
      </w:r>
      <w:r>
        <w:rPr>
          <w:rFonts w:hint="eastAsia"/>
          <w:color w:val="000000" w:themeColor="text1"/>
          <w:highlight w:val="none"/>
          <w:lang w:val="en-US" w:eastAsia="zh-CN"/>
        </w:rPr>
        <w:t>26</w:t>
      </w:r>
      <w:r>
        <w:rPr>
          <w:color w:val="000000" w:themeColor="text1"/>
          <w:highlight w:val="none"/>
        </w:rPr>
        <w:t>年</w:t>
      </w:r>
      <w:r>
        <w:rPr>
          <w:rFonts w:hint="eastAsia"/>
          <w:color w:val="000000" w:themeColor="text1"/>
          <w:highlight w:val="none"/>
          <w:lang w:val="en-US" w:eastAsia="zh-CN"/>
        </w:rPr>
        <w:t>12月</w:t>
      </w:r>
      <w:r>
        <w:rPr>
          <w:rFonts w:hint="eastAsia"/>
          <w:color w:val="000000" w:themeColor="text1"/>
          <w:highlight w:val="none"/>
          <w:lang w:eastAsia="zh-CN"/>
        </w:rPr>
        <w:t>前</w:t>
      </w:r>
      <w:r>
        <w:rPr>
          <w:color w:val="000000" w:themeColor="text1"/>
          <w:highlight w:val="none"/>
        </w:rPr>
        <w:t>提存完</w:t>
      </w:r>
      <w:r>
        <w:rPr>
          <w:rFonts w:hint="eastAsia"/>
          <w:color w:val="000000" w:themeColor="text1"/>
          <w:kern w:val="0"/>
          <w:highlight w:val="none"/>
          <w:lang w:eastAsia="zh-CN"/>
        </w:rPr>
        <w:t>123.429</w:t>
      </w:r>
      <w:r>
        <w:rPr>
          <w:color w:val="000000" w:themeColor="text1"/>
          <w:highlight w:val="none"/>
        </w:rPr>
        <w:t>万元。提存年限为</w:t>
      </w:r>
      <w:r>
        <w:rPr>
          <w:rFonts w:hint="eastAsia"/>
          <w:color w:val="000000" w:themeColor="text1"/>
          <w:highlight w:val="none"/>
          <w:lang w:val="en-US" w:eastAsia="zh-CN"/>
        </w:rPr>
        <w:t>4</w:t>
      </w:r>
      <w:r>
        <w:rPr>
          <w:color w:val="000000" w:themeColor="text1"/>
          <w:highlight w:val="none"/>
        </w:rPr>
        <w:t>年，</w:t>
      </w:r>
      <w:r>
        <w:rPr>
          <w:rFonts w:hint="eastAsia"/>
          <w:color w:val="000000" w:themeColor="text1"/>
          <w:highlight w:val="none"/>
          <w:lang w:eastAsia="zh-CN"/>
        </w:rPr>
        <w:t>因第一年土地复垦费用需</w:t>
      </w:r>
      <w:r>
        <w:rPr>
          <w:rFonts w:hint="eastAsia"/>
          <w:color w:val="000000" w:themeColor="text1"/>
          <w:highlight w:val="none"/>
          <w:lang w:val="en-US" w:eastAsia="zh-CN"/>
        </w:rPr>
        <w:t>31.115万元，</w:t>
      </w:r>
      <w:r>
        <w:rPr>
          <w:rFonts w:hint="eastAsia"/>
          <w:color w:val="000000" w:themeColor="text1"/>
          <w:highlight w:val="none"/>
          <w:lang w:eastAsia="zh-CN"/>
        </w:rPr>
        <w:t>第一年须提存总费用</w:t>
      </w:r>
      <w:r>
        <w:rPr>
          <w:rFonts w:hint="eastAsia"/>
          <w:color w:val="000000" w:themeColor="text1"/>
          <w:highlight w:val="none"/>
          <w:lang w:val="en-US" w:eastAsia="zh-CN"/>
        </w:rPr>
        <w:t>40%，第一年共计需提存49.3716万元，而后</w:t>
      </w:r>
      <w:r>
        <w:rPr>
          <w:color w:val="000000" w:themeColor="text1"/>
          <w:highlight w:val="none"/>
        </w:rPr>
        <w:t>每年按照</w:t>
      </w:r>
      <w:r>
        <w:rPr>
          <w:rFonts w:hint="eastAsia"/>
          <w:color w:val="000000" w:themeColor="text1"/>
          <w:highlight w:val="none"/>
          <w:lang w:val="en-US" w:eastAsia="zh-CN"/>
        </w:rPr>
        <w:t>20</w:t>
      </w:r>
      <w:r>
        <w:rPr>
          <w:color w:val="000000" w:themeColor="text1"/>
          <w:highlight w:val="none"/>
        </w:rPr>
        <w:t>%的比例进行提存，故</w:t>
      </w:r>
      <w:r>
        <w:rPr>
          <w:rFonts w:hint="eastAsia"/>
          <w:color w:val="000000" w:themeColor="text1"/>
          <w:highlight w:val="none"/>
        </w:rPr>
        <w:t>每年</w:t>
      </w:r>
      <w:r>
        <w:rPr>
          <w:color w:val="000000" w:themeColor="text1"/>
          <w:highlight w:val="none"/>
        </w:rPr>
        <w:t>分别提存</w:t>
      </w:r>
      <w:r>
        <w:rPr>
          <w:rFonts w:hint="eastAsia"/>
          <w:color w:val="000000" w:themeColor="text1"/>
          <w:highlight w:val="none"/>
          <w:lang w:eastAsia="zh-CN"/>
        </w:rPr>
        <w:t>24.6858</w:t>
      </w:r>
      <w:r>
        <w:rPr>
          <w:color w:val="000000" w:themeColor="text1"/>
          <w:highlight w:val="none"/>
        </w:rPr>
        <w:t>万元。</w:t>
      </w:r>
    </w:p>
    <w:p>
      <w:pPr>
        <w:pStyle w:val="67"/>
        <w:bidi w:val="0"/>
        <w:rPr>
          <w:rFonts w:hint="eastAsia"/>
          <w:lang w:eastAsia="zh-CN"/>
        </w:rPr>
      </w:pPr>
      <w:r>
        <w:rPr>
          <w:rFonts w:hint="eastAsia"/>
          <w:lang w:eastAsia="zh-CN"/>
        </w:rPr>
        <w:t>表</w:t>
      </w:r>
      <w:r>
        <w:rPr>
          <w:rFonts w:hint="eastAsia"/>
          <w:lang w:val="en-US" w:eastAsia="zh-CN"/>
        </w:rPr>
        <w:t xml:space="preserve">7-22  </w:t>
      </w:r>
      <w:r>
        <w:t>土地复垦费</w:t>
      </w:r>
      <w:r>
        <w:rPr>
          <w:rFonts w:hint="eastAsia"/>
          <w:lang w:eastAsia="zh-CN"/>
        </w:rPr>
        <w:t>基金的提存（单位：万元）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1703"/>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Merge w:val="restart"/>
            <w:vAlign w:val="center"/>
          </w:tcPr>
          <w:p>
            <w:pPr>
              <w:pStyle w:val="84"/>
              <w:bidi w:val="0"/>
              <w:jc w:val="center"/>
              <w:rPr>
                <w:rFonts w:hint="eastAsia"/>
                <w:lang w:eastAsia="zh-CN"/>
              </w:rPr>
            </w:pPr>
            <w:r>
              <w:rPr>
                <w:rFonts w:hint="eastAsia"/>
                <w:lang w:eastAsia="zh-CN"/>
              </w:rPr>
              <w:t>项目</w:t>
            </w:r>
          </w:p>
        </w:tc>
        <w:tc>
          <w:tcPr>
            <w:tcW w:w="6812" w:type="dxa"/>
            <w:gridSpan w:val="4"/>
            <w:vAlign w:val="center"/>
          </w:tcPr>
          <w:p>
            <w:pPr>
              <w:pStyle w:val="84"/>
              <w:bidi w:val="0"/>
              <w:jc w:val="center"/>
              <w:rPr>
                <w:rFonts w:hint="eastAsia"/>
                <w:lang w:eastAsia="zh-CN"/>
              </w:rPr>
            </w:pPr>
            <w:r>
              <w:rPr>
                <w:rFonts w:hint="eastAsia"/>
                <w:lang w:eastAsia="zh-CN"/>
              </w:rPr>
              <w:t>提存年度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Merge w:val="continue"/>
            <w:vAlign w:val="center"/>
          </w:tcPr>
          <w:p>
            <w:pPr>
              <w:pStyle w:val="84"/>
              <w:bidi w:val="0"/>
              <w:jc w:val="center"/>
              <w:rPr>
                <w:rFonts w:hint="eastAsia"/>
                <w:lang w:eastAsia="zh-CN"/>
              </w:rPr>
            </w:pPr>
          </w:p>
        </w:tc>
        <w:tc>
          <w:tcPr>
            <w:tcW w:w="1703" w:type="dxa"/>
            <w:vAlign w:val="center"/>
          </w:tcPr>
          <w:p>
            <w:pPr>
              <w:pStyle w:val="84"/>
              <w:bidi w:val="0"/>
              <w:jc w:val="center"/>
              <w:rPr>
                <w:rFonts w:hint="default"/>
                <w:lang w:val="en-US" w:eastAsia="zh-CN"/>
              </w:rPr>
            </w:pPr>
            <w:r>
              <w:rPr>
                <w:rFonts w:hint="eastAsia"/>
                <w:lang w:val="en-US" w:eastAsia="zh-CN"/>
              </w:rPr>
              <w:t>2023年</w:t>
            </w:r>
          </w:p>
        </w:tc>
        <w:tc>
          <w:tcPr>
            <w:tcW w:w="1703" w:type="dxa"/>
            <w:vAlign w:val="center"/>
          </w:tcPr>
          <w:p>
            <w:pPr>
              <w:pStyle w:val="84"/>
              <w:bidi w:val="0"/>
              <w:jc w:val="center"/>
              <w:rPr>
                <w:rFonts w:hint="eastAsia"/>
                <w:lang w:eastAsia="zh-CN"/>
              </w:rPr>
            </w:pPr>
            <w:r>
              <w:rPr>
                <w:rFonts w:hint="eastAsia"/>
                <w:lang w:val="en-US" w:eastAsia="zh-CN"/>
              </w:rPr>
              <w:t>2024年</w:t>
            </w:r>
          </w:p>
        </w:tc>
        <w:tc>
          <w:tcPr>
            <w:tcW w:w="1703" w:type="dxa"/>
            <w:vAlign w:val="center"/>
          </w:tcPr>
          <w:p>
            <w:pPr>
              <w:pStyle w:val="84"/>
              <w:bidi w:val="0"/>
              <w:jc w:val="center"/>
              <w:rPr>
                <w:rFonts w:hint="eastAsia"/>
                <w:lang w:eastAsia="zh-CN"/>
              </w:rPr>
            </w:pPr>
            <w:r>
              <w:rPr>
                <w:rFonts w:hint="eastAsia"/>
                <w:lang w:val="en-US" w:eastAsia="zh-CN"/>
              </w:rPr>
              <w:t>2025年</w:t>
            </w:r>
          </w:p>
        </w:tc>
        <w:tc>
          <w:tcPr>
            <w:tcW w:w="1703" w:type="dxa"/>
            <w:vAlign w:val="center"/>
          </w:tcPr>
          <w:p>
            <w:pPr>
              <w:pStyle w:val="84"/>
              <w:bidi w:val="0"/>
              <w:jc w:val="center"/>
              <w:rPr>
                <w:rFonts w:hint="eastAsia"/>
                <w:lang w:eastAsia="zh-CN"/>
              </w:rPr>
            </w:pPr>
            <w:r>
              <w:rPr>
                <w:rFonts w:hint="eastAsia"/>
                <w:lang w:val="en-US" w:eastAsia="zh-CN"/>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Align w:val="center"/>
          </w:tcPr>
          <w:p>
            <w:pPr>
              <w:pStyle w:val="84"/>
              <w:bidi w:val="0"/>
              <w:jc w:val="center"/>
              <w:rPr>
                <w:rFonts w:hint="default"/>
                <w:lang w:val="en-US" w:eastAsia="zh-CN"/>
              </w:rPr>
            </w:pPr>
            <w:r>
              <w:rPr>
                <w:rFonts w:hint="eastAsia"/>
                <w:lang w:eastAsia="zh-CN"/>
              </w:rPr>
              <w:t>费用占比（</w:t>
            </w:r>
            <w:r>
              <w:rPr>
                <w:rFonts w:hint="eastAsia"/>
                <w:lang w:val="en-US" w:eastAsia="zh-CN"/>
              </w:rPr>
              <w:t>%）</w:t>
            </w:r>
          </w:p>
        </w:tc>
        <w:tc>
          <w:tcPr>
            <w:tcW w:w="1703" w:type="dxa"/>
            <w:vAlign w:val="center"/>
          </w:tcPr>
          <w:p>
            <w:pPr>
              <w:pStyle w:val="84"/>
              <w:bidi w:val="0"/>
              <w:jc w:val="center"/>
              <w:rPr>
                <w:rFonts w:hint="default"/>
                <w:lang w:val="en-US" w:eastAsia="zh-CN"/>
              </w:rPr>
            </w:pPr>
            <w:r>
              <w:rPr>
                <w:rFonts w:hint="eastAsia"/>
                <w:lang w:val="en-US" w:eastAsia="zh-CN"/>
              </w:rPr>
              <w:t>40</w:t>
            </w:r>
          </w:p>
        </w:tc>
        <w:tc>
          <w:tcPr>
            <w:tcW w:w="1703" w:type="dxa"/>
            <w:vAlign w:val="center"/>
          </w:tcPr>
          <w:p>
            <w:pPr>
              <w:pStyle w:val="84"/>
              <w:bidi w:val="0"/>
              <w:jc w:val="center"/>
              <w:rPr>
                <w:rFonts w:hint="default"/>
                <w:lang w:val="en-US" w:eastAsia="zh-CN"/>
              </w:rPr>
            </w:pPr>
            <w:r>
              <w:rPr>
                <w:rFonts w:hint="eastAsia"/>
                <w:lang w:val="en-US" w:eastAsia="zh-CN"/>
              </w:rPr>
              <w:t>20</w:t>
            </w:r>
          </w:p>
        </w:tc>
        <w:tc>
          <w:tcPr>
            <w:tcW w:w="1703" w:type="dxa"/>
            <w:vAlign w:val="center"/>
          </w:tcPr>
          <w:p>
            <w:pPr>
              <w:pStyle w:val="84"/>
              <w:bidi w:val="0"/>
              <w:jc w:val="center"/>
              <w:rPr>
                <w:rFonts w:hint="default"/>
                <w:lang w:val="en-US" w:eastAsia="zh-CN"/>
              </w:rPr>
            </w:pPr>
            <w:r>
              <w:rPr>
                <w:rFonts w:hint="eastAsia"/>
                <w:lang w:val="en-US" w:eastAsia="zh-CN"/>
              </w:rPr>
              <w:t>20</w:t>
            </w:r>
          </w:p>
        </w:tc>
        <w:tc>
          <w:tcPr>
            <w:tcW w:w="1703" w:type="dxa"/>
            <w:vAlign w:val="center"/>
          </w:tcPr>
          <w:p>
            <w:pPr>
              <w:pStyle w:val="84"/>
              <w:bidi w:val="0"/>
              <w:jc w:val="center"/>
              <w:rPr>
                <w:rFonts w:hint="default"/>
                <w:lang w:val="en-US" w:eastAsia="zh-CN"/>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Align w:val="center"/>
          </w:tcPr>
          <w:p>
            <w:pPr>
              <w:pStyle w:val="84"/>
              <w:bidi w:val="0"/>
              <w:jc w:val="center"/>
              <w:rPr>
                <w:rFonts w:hint="eastAsia"/>
                <w:lang w:eastAsia="zh-CN"/>
              </w:rPr>
            </w:pPr>
            <w:r>
              <w:rPr>
                <w:rFonts w:hint="eastAsia"/>
                <w:lang w:eastAsia="zh-CN"/>
              </w:rPr>
              <w:t>提存费用</w:t>
            </w:r>
          </w:p>
        </w:tc>
        <w:tc>
          <w:tcPr>
            <w:tcW w:w="1703" w:type="dxa"/>
            <w:vAlign w:val="center"/>
          </w:tcPr>
          <w:p>
            <w:pPr>
              <w:pStyle w:val="84"/>
              <w:bidi w:val="0"/>
              <w:jc w:val="center"/>
              <w:rPr>
                <w:rFonts w:hint="default"/>
                <w:lang w:val="en-US" w:eastAsia="zh-CN"/>
              </w:rPr>
            </w:pPr>
            <w:r>
              <w:rPr>
                <w:rFonts w:hint="eastAsia"/>
                <w:color w:val="000000" w:themeColor="text1"/>
                <w:highlight w:val="none"/>
                <w:lang w:val="en-US" w:eastAsia="zh-CN"/>
              </w:rPr>
              <w:t>49.3716</w:t>
            </w:r>
          </w:p>
        </w:tc>
        <w:tc>
          <w:tcPr>
            <w:tcW w:w="1703" w:type="dxa"/>
            <w:vAlign w:val="center"/>
          </w:tcPr>
          <w:p>
            <w:pPr>
              <w:pStyle w:val="84"/>
              <w:bidi w:val="0"/>
              <w:jc w:val="center"/>
              <w:rPr>
                <w:rFonts w:hint="default"/>
                <w:lang w:val="en-US" w:eastAsia="zh-CN"/>
              </w:rPr>
            </w:pPr>
            <w:r>
              <w:rPr>
                <w:rFonts w:hint="eastAsia"/>
                <w:color w:val="000000" w:themeColor="text1"/>
                <w:highlight w:val="none"/>
                <w:lang w:val="en-US" w:eastAsia="zh-CN"/>
              </w:rPr>
              <w:t>24.6858</w:t>
            </w:r>
          </w:p>
        </w:tc>
        <w:tc>
          <w:tcPr>
            <w:tcW w:w="1703" w:type="dxa"/>
            <w:vAlign w:val="center"/>
          </w:tcPr>
          <w:p>
            <w:pPr>
              <w:pStyle w:val="84"/>
              <w:bidi w:val="0"/>
              <w:jc w:val="center"/>
              <w:rPr>
                <w:rFonts w:hint="eastAsia"/>
                <w:lang w:eastAsia="zh-CN"/>
              </w:rPr>
            </w:pPr>
            <w:r>
              <w:rPr>
                <w:rFonts w:hint="eastAsia"/>
                <w:color w:val="000000" w:themeColor="text1"/>
                <w:highlight w:val="none"/>
                <w:lang w:val="en-US" w:eastAsia="zh-CN"/>
              </w:rPr>
              <w:t>24.6858</w:t>
            </w:r>
          </w:p>
        </w:tc>
        <w:tc>
          <w:tcPr>
            <w:tcW w:w="1703" w:type="dxa"/>
            <w:vAlign w:val="center"/>
          </w:tcPr>
          <w:p>
            <w:pPr>
              <w:pStyle w:val="84"/>
              <w:bidi w:val="0"/>
              <w:jc w:val="center"/>
              <w:rPr>
                <w:rFonts w:hint="eastAsia"/>
                <w:lang w:eastAsia="zh-CN"/>
              </w:rPr>
            </w:pPr>
            <w:r>
              <w:rPr>
                <w:rFonts w:hint="eastAsia"/>
                <w:color w:val="000000" w:themeColor="text1"/>
                <w:highlight w:val="none"/>
                <w:lang w:val="en-US" w:eastAsia="zh-CN"/>
              </w:rPr>
              <w:t>24.6858</w:t>
            </w:r>
          </w:p>
        </w:tc>
      </w:tr>
    </w:tbl>
    <w:p>
      <w:pPr>
        <w:rPr>
          <w:rFonts w:hint="eastAsia"/>
          <w:color w:val="000000" w:themeColor="text1"/>
          <w:highlight w:val="none"/>
          <w:lang w:eastAsia="zh-CN"/>
        </w:rPr>
      </w:pPr>
      <w:r>
        <w:rPr>
          <w:color w:val="000000" w:themeColor="text1"/>
          <w:highlight w:val="none"/>
        </w:rPr>
        <w:t>矿山地质环境治理恢复基金的提存应按照满足实际需求的原则，将矿山地质环境恢复治理费用按照企业会计准则相关规定预计弃置费用，计入相关资产的入账成本，在预计开采年限内按照产量比例摊销，并计入生产成本。本矿山采矿许可证有效期截止</w:t>
      </w:r>
      <w:r>
        <w:rPr>
          <w:rFonts w:hint="eastAsia"/>
          <w:color w:val="000000" w:themeColor="text1"/>
          <w:highlight w:val="none"/>
        </w:rPr>
        <w:t>20</w:t>
      </w:r>
      <w:r>
        <w:rPr>
          <w:rFonts w:hint="eastAsia"/>
          <w:color w:val="000000" w:themeColor="text1"/>
          <w:highlight w:val="none"/>
          <w:lang w:val="en-US" w:eastAsia="zh-CN"/>
        </w:rPr>
        <w:t>24</w:t>
      </w:r>
      <w:r>
        <w:rPr>
          <w:color w:val="000000" w:themeColor="text1"/>
          <w:highlight w:val="none"/>
        </w:rPr>
        <w:t>年</w:t>
      </w:r>
      <w:r>
        <w:rPr>
          <w:rFonts w:hint="eastAsia"/>
          <w:color w:val="000000" w:themeColor="text1"/>
          <w:highlight w:val="none"/>
          <w:lang w:val="en-US" w:eastAsia="zh-CN"/>
        </w:rPr>
        <w:t>11</w:t>
      </w:r>
      <w:r>
        <w:rPr>
          <w:color w:val="000000" w:themeColor="text1"/>
          <w:highlight w:val="none"/>
        </w:rPr>
        <w:t>月，</w:t>
      </w:r>
      <w:r>
        <w:rPr>
          <w:rFonts w:hint="eastAsia"/>
          <w:color w:val="000000" w:themeColor="text1"/>
          <w:highlight w:val="none"/>
          <w:lang w:eastAsia="zh-CN"/>
        </w:rPr>
        <w:t>由于矿权范围变更，矿山剩余服务年限</w:t>
      </w:r>
      <w:r>
        <w:rPr>
          <w:rFonts w:hint="eastAsia"/>
          <w:color w:val="000000" w:themeColor="text1"/>
          <w:highlight w:val="none"/>
          <w:lang w:val="en-US" w:eastAsia="zh-CN"/>
        </w:rPr>
        <w:t>4.2年</w:t>
      </w:r>
      <w:r>
        <w:rPr>
          <w:color w:val="000000" w:themeColor="text1"/>
          <w:highlight w:val="none"/>
        </w:rPr>
        <w:t>，故本矿山需要在20</w:t>
      </w:r>
      <w:r>
        <w:rPr>
          <w:rFonts w:hint="eastAsia"/>
          <w:color w:val="000000" w:themeColor="text1"/>
          <w:highlight w:val="none"/>
          <w:lang w:val="en-US" w:eastAsia="zh-CN"/>
        </w:rPr>
        <w:t>26</w:t>
      </w:r>
      <w:r>
        <w:rPr>
          <w:color w:val="000000" w:themeColor="text1"/>
          <w:highlight w:val="none"/>
        </w:rPr>
        <w:t>年</w:t>
      </w:r>
      <w:r>
        <w:rPr>
          <w:rFonts w:hint="eastAsia"/>
          <w:color w:val="000000" w:themeColor="text1"/>
          <w:highlight w:val="none"/>
          <w:lang w:val="en-US" w:eastAsia="zh-CN"/>
        </w:rPr>
        <w:t>12月前</w:t>
      </w:r>
      <w:r>
        <w:rPr>
          <w:color w:val="000000" w:themeColor="text1"/>
          <w:highlight w:val="none"/>
        </w:rPr>
        <w:t>提存完</w:t>
      </w:r>
      <w:r>
        <w:rPr>
          <w:rFonts w:hint="eastAsia"/>
          <w:color w:val="000000" w:themeColor="text1"/>
          <w:kern w:val="0"/>
          <w:highlight w:val="none"/>
          <w:lang w:val="en-US" w:eastAsia="zh-CN"/>
        </w:rPr>
        <w:t>34.971</w:t>
      </w:r>
      <w:r>
        <w:rPr>
          <w:color w:val="000000" w:themeColor="text1"/>
          <w:highlight w:val="none"/>
        </w:rPr>
        <w:t>万元。提存年限为</w:t>
      </w:r>
      <w:r>
        <w:rPr>
          <w:rFonts w:hint="eastAsia"/>
          <w:color w:val="000000" w:themeColor="text1"/>
          <w:highlight w:val="none"/>
          <w:lang w:val="en-US" w:eastAsia="zh-CN"/>
        </w:rPr>
        <w:t>4</w:t>
      </w:r>
      <w:r>
        <w:rPr>
          <w:color w:val="000000" w:themeColor="text1"/>
          <w:highlight w:val="none"/>
        </w:rPr>
        <w:t>年，</w:t>
      </w:r>
      <w:r>
        <w:rPr>
          <w:rFonts w:hint="eastAsia"/>
          <w:color w:val="000000" w:themeColor="text1"/>
          <w:highlight w:val="none"/>
          <w:lang w:eastAsia="zh-CN"/>
        </w:rPr>
        <w:t>因第一年</w:t>
      </w:r>
      <w:r>
        <w:rPr>
          <w:color w:val="000000" w:themeColor="text1"/>
          <w:highlight w:val="none"/>
        </w:rPr>
        <w:t>矿山地质环境治理恢复</w:t>
      </w:r>
      <w:r>
        <w:rPr>
          <w:rFonts w:hint="eastAsia"/>
          <w:color w:val="000000" w:themeColor="text1"/>
          <w:highlight w:val="none"/>
          <w:lang w:eastAsia="zh-CN"/>
        </w:rPr>
        <w:t>费用需</w:t>
      </w:r>
      <w:r>
        <w:rPr>
          <w:rFonts w:hint="eastAsia"/>
          <w:color w:val="000000" w:themeColor="text1"/>
          <w:highlight w:val="none"/>
          <w:lang w:val="en-US" w:eastAsia="zh-CN"/>
        </w:rPr>
        <w:t>15.128万元，</w:t>
      </w:r>
      <w:r>
        <w:rPr>
          <w:rFonts w:hint="eastAsia"/>
          <w:color w:val="000000" w:themeColor="text1"/>
          <w:highlight w:val="none"/>
          <w:lang w:eastAsia="zh-CN"/>
        </w:rPr>
        <w:t>第一年须提存总费用</w:t>
      </w:r>
      <w:r>
        <w:rPr>
          <w:rFonts w:hint="eastAsia"/>
          <w:color w:val="000000" w:themeColor="text1"/>
          <w:highlight w:val="none"/>
          <w:lang w:val="en-US" w:eastAsia="zh-CN"/>
        </w:rPr>
        <w:t>50%，第一年共计需提存17.4855万元，而后</w:t>
      </w:r>
      <w:r>
        <w:rPr>
          <w:color w:val="000000" w:themeColor="text1"/>
          <w:highlight w:val="none"/>
        </w:rPr>
        <w:t>每年按照</w:t>
      </w:r>
      <w:r>
        <w:rPr>
          <w:rFonts w:hint="eastAsia"/>
          <w:color w:val="000000" w:themeColor="text1"/>
          <w:highlight w:val="none"/>
          <w:lang w:val="en-US" w:eastAsia="zh-CN"/>
        </w:rPr>
        <w:t>16.67</w:t>
      </w:r>
      <w:r>
        <w:rPr>
          <w:color w:val="000000" w:themeColor="text1"/>
          <w:highlight w:val="none"/>
        </w:rPr>
        <w:t>%的比例进行提存，故</w:t>
      </w:r>
      <w:r>
        <w:rPr>
          <w:rFonts w:hint="eastAsia"/>
          <w:color w:val="000000" w:themeColor="text1"/>
          <w:highlight w:val="none"/>
        </w:rPr>
        <w:t>每</w:t>
      </w:r>
      <w:r>
        <w:rPr>
          <w:color w:val="000000" w:themeColor="text1"/>
          <w:highlight w:val="none"/>
        </w:rPr>
        <w:t>年分别提存</w:t>
      </w:r>
      <w:r>
        <w:rPr>
          <w:rFonts w:hint="eastAsia"/>
          <w:color w:val="000000" w:themeColor="text1"/>
          <w:highlight w:val="none"/>
          <w:lang w:val="en-US" w:eastAsia="zh-CN"/>
        </w:rPr>
        <w:t>5.8285</w:t>
      </w:r>
      <w:r>
        <w:rPr>
          <w:color w:val="000000" w:themeColor="text1"/>
          <w:highlight w:val="none"/>
        </w:rPr>
        <w:t>万元</w:t>
      </w:r>
      <w:r>
        <w:rPr>
          <w:rFonts w:hint="eastAsia"/>
          <w:color w:val="000000" w:themeColor="text1"/>
          <w:highlight w:val="none"/>
          <w:lang w:eastAsia="zh-CN"/>
        </w:rPr>
        <w:t>。</w:t>
      </w:r>
      <w:bookmarkStart w:id="306" w:name="_GoBack"/>
      <w:bookmarkEnd w:id="306"/>
    </w:p>
    <w:p>
      <w:pPr>
        <w:pStyle w:val="67"/>
        <w:bidi w:val="0"/>
        <w:rPr>
          <w:rFonts w:hint="eastAsia"/>
          <w:lang w:eastAsia="zh-CN"/>
        </w:rPr>
      </w:pPr>
      <w:r>
        <w:rPr>
          <w:rFonts w:hint="eastAsia"/>
          <w:lang w:eastAsia="zh-CN"/>
        </w:rPr>
        <w:t>表</w:t>
      </w:r>
      <w:r>
        <w:rPr>
          <w:rFonts w:hint="eastAsia"/>
          <w:lang w:val="en-US" w:eastAsia="zh-CN"/>
        </w:rPr>
        <w:t xml:space="preserve">7-23  </w:t>
      </w:r>
      <w:r>
        <w:rPr>
          <w:color w:val="000000" w:themeColor="text1"/>
          <w:highlight w:val="none"/>
        </w:rPr>
        <w:t>地质环境治理恢复</w:t>
      </w:r>
      <w:r>
        <w:t>费</w:t>
      </w:r>
      <w:r>
        <w:rPr>
          <w:rFonts w:hint="eastAsia"/>
          <w:lang w:eastAsia="zh-CN"/>
        </w:rPr>
        <w:t>基金的提存（单位：万元）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1703"/>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Merge w:val="restart"/>
            <w:vAlign w:val="center"/>
          </w:tcPr>
          <w:p>
            <w:pPr>
              <w:pStyle w:val="84"/>
              <w:bidi w:val="0"/>
              <w:jc w:val="center"/>
              <w:rPr>
                <w:rFonts w:hint="eastAsia"/>
                <w:lang w:eastAsia="zh-CN"/>
              </w:rPr>
            </w:pPr>
            <w:r>
              <w:rPr>
                <w:rFonts w:hint="eastAsia"/>
                <w:lang w:eastAsia="zh-CN"/>
              </w:rPr>
              <w:t>项目</w:t>
            </w:r>
          </w:p>
        </w:tc>
        <w:tc>
          <w:tcPr>
            <w:tcW w:w="6812" w:type="dxa"/>
            <w:gridSpan w:val="4"/>
            <w:vAlign w:val="center"/>
          </w:tcPr>
          <w:p>
            <w:pPr>
              <w:pStyle w:val="84"/>
              <w:bidi w:val="0"/>
              <w:jc w:val="center"/>
              <w:rPr>
                <w:rFonts w:hint="eastAsia"/>
                <w:lang w:eastAsia="zh-CN"/>
              </w:rPr>
            </w:pPr>
            <w:r>
              <w:rPr>
                <w:rFonts w:hint="eastAsia"/>
                <w:lang w:eastAsia="zh-CN"/>
              </w:rPr>
              <w:t>提存年度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Merge w:val="continue"/>
            <w:vAlign w:val="center"/>
          </w:tcPr>
          <w:p>
            <w:pPr>
              <w:pStyle w:val="84"/>
              <w:bidi w:val="0"/>
              <w:jc w:val="center"/>
              <w:rPr>
                <w:rFonts w:hint="eastAsia"/>
                <w:lang w:eastAsia="zh-CN"/>
              </w:rPr>
            </w:pPr>
          </w:p>
        </w:tc>
        <w:tc>
          <w:tcPr>
            <w:tcW w:w="1703" w:type="dxa"/>
            <w:vAlign w:val="center"/>
          </w:tcPr>
          <w:p>
            <w:pPr>
              <w:pStyle w:val="84"/>
              <w:bidi w:val="0"/>
              <w:jc w:val="center"/>
              <w:rPr>
                <w:rFonts w:hint="default"/>
                <w:lang w:val="en-US" w:eastAsia="zh-CN"/>
              </w:rPr>
            </w:pPr>
            <w:r>
              <w:rPr>
                <w:rFonts w:hint="eastAsia"/>
                <w:lang w:val="en-US" w:eastAsia="zh-CN"/>
              </w:rPr>
              <w:t>2023年</w:t>
            </w:r>
          </w:p>
        </w:tc>
        <w:tc>
          <w:tcPr>
            <w:tcW w:w="1703" w:type="dxa"/>
            <w:vAlign w:val="center"/>
          </w:tcPr>
          <w:p>
            <w:pPr>
              <w:pStyle w:val="84"/>
              <w:bidi w:val="0"/>
              <w:jc w:val="center"/>
              <w:rPr>
                <w:rFonts w:hint="eastAsia"/>
                <w:lang w:eastAsia="zh-CN"/>
              </w:rPr>
            </w:pPr>
            <w:r>
              <w:rPr>
                <w:rFonts w:hint="eastAsia"/>
                <w:lang w:val="en-US" w:eastAsia="zh-CN"/>
              </w:rPr>
              <w:t>2024年</w:t>
            </w:r>
          </w:p>
        </w:tc>
        <w:tc>
          <w:tcPr>
            <w:tcW w:w="1703" w:type="dxa"/>
            <w:vAlign w:val="center"/>
          </w:tcPr>
          <w:p>
            <w:pPr>
              <w:pStyle w:val="84"/>
              <w:bidi w:val="0"/>
              <w:jc w:val="center"/>
              <w:rPr>
                <w:rFonts w:hint="eastAsia"/>
                <w:lang w:eastAsia="zh-CN"/>
              </w:rPr>
            </w:pPr>
            <w:r>
              <w:rPr>
                <w:rFonts w:hint="eastAsia"/>
                <w:lang w:val="en-US" w:eastAsia="zh-CN"/>
              </w:rPr>
              <w:t>2025年</w:t>
            </w:r>
          </w:p>
        </w:tc>
        <w:tc>
          <w:tcPr>
            <w:tcW w:w="1703" w:type="dxa"/>
            <w:vAlign w:val="center"/>
          </w:tcPr>
          <w:p>
            <w:pPr>
              <w:pStyle w:val="84"/>
              <w:bidi w:val="0"/>
              <w:jc w:val="center"/>
              <w:rPr>
                <w:rFonts w:hint="eastAsia"/>
                <w:lang w:eastAsia="zh-CN"/>
              </w:rPr>
            </w:pPr>
            <w:r>
              <w:rPr>
                <w:rFonts w:hint="eastAsia"/>
                <w:lang w:val="en-US" w:eastAsia="zh-CN"/>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Align w:val="center"/>
          </w:tcPr>
          <w:p>
            <w:pPr>
              <w:pStyle w:val="84"/>
              <w:bidi w:val="0"/>
              <w:jc w:val="center"/>
              <w:rPr>
                <w:rFonts w:hint="default"/>
                <w:lang w:val="en-US" w:eastAsia="zh-CN"/>
              </w:rPr>
            </w:pPr>
            <w:r>
              <w:rPr>
                <w:rFonts w:hint="eastAsia"/>
                <w:lang w:eastAsia="zh-CN"/>
              </w:rPr>
              <w:t>费用占比（</w:t>
            </w:r>
            <w:r>
              <w:rPr>
                <w:rFonts w:hint="eastAsia"/>
                <w:lang w:val="en-US" w:eastAsia="zh-CN"/>
              </w:rPr>
              <w:t>%）</w:t>
            </w:r>
          </w:p>
        </w:tc>
        <w:tc>
          <w:tcPr>
            <w:tcW w:w="1703" w:type="dxa"/>
            <w:vAlign w:val="center"/>
          </w:tcPr>
          <w:p>
            <w:pPr>
              <w:pStyle w:val="84"/>
              <w:bidi w:val="0"/>
              <w:jc w:val="center"/>
              <w:rPr>
                <w:rFonts w:hint="default"/>
                <w:lang w:val="en-US" w:eastAsia="zh-CN"/>
              </w:rPr>
            </w:pPr>
            <w:r>
              <w:rPr>
                <w:rFonts w:hint="eastAsia"/>
                <w:lang w:val="en-US" w:eastAsia="zh-CN"/>
              </w:rPr>
              <w:t>50</w:t>
            </w:r>
          </w:p>
        </w:tc>
        <w:tc>
          <w:tcPr>
            <w:tcW w:w="1703" w:type="dxa"/>
            <w:vAlign w:val="center"/>
          </w:tcPr>
          <w:p>
            <w:pPr>
              <w:pStyle w:val="84"/>
              <w:bidi w:val="0"/>
              <w:jc w:val="center"/>
              <w:rPr>
                <w:rFonts w:hint="default"/>
                <w:lang w:val="en-US" w:eastAsia="zh-CN"/>
              </w:rPr>
            </w:pPr>
            <w:r>
              <w:rPr>
                <w:rFonts w:hint="eastAsia"/>
                <w:lang w:val="en-US" w:eastAsia="zh-CN"/>
              </w:rPr>
              <w:t>16.67</w:t>
            </w:r>
          </w:p>
        </w:tc>
        <w:tc>
          <w:tcPr>
            <w:tcW w:w="1703" w:type="dxa"/>
            <w:vAlign w:val="center"/>
          </w:tcPr>
          <w:p>
            <w:pPr>
              <w:pStyle w:val="84"/>
              <w:bidi w:val="0"/>
              <w:jc w:val="center"/>
              <w:rPr>
                <w:rFonts w:hint="default"/>
                <w:lang w:val="en-US" w:eastAsia="zh-CN"/>
              </w:rPr>
            </w:pPr>
            <w:r>
              <w:rPr>
                <w:rFonts w:hint="eastAsia"/>
                <w:lang w:val="en-US" w:eastAsia="zh-CN"/>
              </w:rPr>
              <w:t>16.67</w:t>
            </w:r>
          </w:p>
        </w:tc>
        <w:tc>
          <w:tcPr>
            <w:tcW w:w="1703" w:type="dxa"/>
            <w:vAlign w:val="center"/>
          </w:tcPr>
          <w:p>
            <w:pPr>
              <w:pStyle w:val="84"/>
              <w:bidi w:val="0"/>
              <w:jc w:val="center"/>
              <w:rPr>
                <w:rFonts w:hint="default"/>
                <w:lang w:val="en-US" w:eastAsia="zh-CN"/>
              </w:rPr>
            </w:pPr>
            <w:r>
              <w:rPr>
                <w:rFonts w:hint="eastAsia"/>
                <w:lang w:val="en-US" w:eastAsia="zh-CN"/>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3" w:type="dxa"/>
            <w:vAlign w:val="center"/>
          </w:tcPr>
          <w:p>
            <w:pPr>
              <w:pStyle w:val="84"/>
              <w:bidi w:val="0"/>
              <w:jc w:val="center"/>
              <w:rPr>
                <w:rFonts w:hint="eastAsia"/>
                <w:lang w:eastAsia="zh-CN"/>
              </w:rPr>
            </w:pPr>
            <w:r>
              <w:rPr>
                <w:rFonts w:hint="eastAsia"/>
                <w:lang w:eastAsia="zh-CN"/>
              </w:rPr>
              <w:t>提存费用</w:t>
            </w:r>
          </w:p>
        </w:tc>
        <w:tc>
          <w:tcPr>
            <w:tcW w:w="1703" w:type="dxa"/>
            <w:vAlign w:val="center"/>
          </w:tcPr>
          <w:p>
            <w:pPr>
              <w:pStyle w:val="84"/>
              <w:bidi w:val="0"/>
              <w:jc w:val="center"/>
              <w:rPr>
                <w:rFonts w:hint="default"/>
                <w:lang w:val="en-US" w:eastAsia="zh-CN"/>
              </w:rPr>
            </w:pPr>
            <w:r>
              <w:rPr>
                <w:rFonts w:hint="eastAsia"/>
                <w:color w:val="000000" w:themeColor="text1"/>
                <w:highlight w:val="none"/>
                <w:lang w:val="en-US" w:eastAsia="zh-CN"/>
              </w:rPr>
              <w:t>17.4855</w:t>
            </w:r>
          </w:p>
        </w:tc>
        <w:tc>
          <w:tcPr>
            <w:tcW w:w="1703" w:type="dxa"/>
            <w:vAlign w:val="center"/>
          </w:tcPr>
          <w:p>
            <w:pPr>
              <w:pStyle w:val="84"/>
              <w:bidi w:val="0"/>
              <w:jc w:val="center"/>
              <w:rPr>
                <w:rFonts w:hint="default"/>
                <w:lang w:val="en-US" w:eastAsia="zh-CN"/>
              </w:rPr>
            </w:pPr>
            <w:r>
              <w:rPr>
                <w:rFonts w:hint="eastAsia"/>
                <w:lang w:val="en-US" w:eastAsia="zh-CN"/>
              </w:rPr>
              <w:t>5.8285</w:t>
            </w:r>
          </w:p>
        </w:tc>
        <w:tc>
          <w:tcPr>
            <w:tcW w:w="1703" w:type="dxa"/>
            <w:vAlign w:val="center"/>
          </w:tcPr>
          <w:p>
            <w:pPr>
              <w:pStyle w:val="84"/>
              <w:bidi w:val="0"/>
              <w:jc w:val="center"/>
              <w:rPr>
                <w:rFonts w:hint="eastAsia"/>
                <w:lang w:val="en-US" w:eastAsia="zh-CN"/>
              </w:rPr>
            </w:pPr>
            <w:r>
              <w:rPr>
                <w:rFonts w:hint="eastAsia"/>
                <w:lang w:val="en-US" w:eastAsia="zh-CN"/>
              </w:rPr>
              <w:t>5.8285</w:t>
            </w:r>
          </w:p>
        </w:tc>
        <w:tc>
          <w:tcPr>
            <w:tcW w:w="1703" w:type="dxa"/>
            <w:vAlign w:val="center"/>
          </w:tcPr>
          <w:p>
            <w:pPr>
              <w:pStyle w:val="84"/>
              <w:bidi w:val="0"/>
              <w:jc w:val="center"/>
              <w:rPr>
                <w:rFonts w:hint="eastAsia"/>
                <w:lang w:val="en-US" w:eastAsia="zh-CN"/>
              </w:rPr>
            </w:pPr>
            <w:r>
              <w:rPr>
                <w:rFonts w:hint="eastAsia"/>
                <w:lang w:val="en-US" w:eastAsia="zh-CN"/>
              </w:rPr>
              <w:t>5.8285</w:t>
            </w:r>
          </w:p>
        </w:tc>
      </w:tr>
    </w:tbl>
    <w:p>
      <w:pPr>
        <w:rPr>
          <w:color w:val="000000" w:themeColor="text1"/>
          <w:highlight w:val="none"/>
        </w:rPr>
      </w:pPr>
    </w:p>
    <w:p>
      <w:pPr>
        <w:rPr>
          <w:color w:val="000000" w:themeColor="text1"/>
          <w:kern w:val="44"/>
          <w:highlight w:val="none"/>
        </w:rPr>
      </w:pPr>
    </w:p>
    <w:p>
      <w:pPr>
        <w:pStyle w:val="2"/>
        <w:rPr>
          <w:highlight w:val="none"/>
        </w:rPr>
        <w:sectPr>
          <w:pgSz w:w="11905" w:h="16838"/>
          <w:pgMar w:top="1440" w:right="1803" w:bottom="1440" w:left="1803" w:header="624" w:footer="624" w:gutter="0"/>
          <w:cols w:space="720" w:num="1"/>
          <w:docGrid w:type="linesAndChars" w:linePitch="331" w:charSpace="0"/>
        </w:sectPr>
      </w:pPr>
    </w:p>
    <w:p>
      <w:pPr>
        <w:pStyle w:val="3"/>
        <w:rPr>
          <w:color w:val="000000" w:themeColor="text1"/>
          <w:highlight w:val="none"/>
        </w:rPr>
      </w:pPr>
      <w:bookmarkStart w:id="273" w:name="_Toc30038"/>
      <w:r>
        <w:rPr>
          <w:color w:val="000000" w:themeColor="text1"/>
          <w:highlight w:val="none"/>
        </w:rPr>
        <w:t>第八章保障措施与效益分析</w:t>
      </w:r>
      <w:bookmarkEnd w:id="273"/>
    </w:p>
    <w:p>
      <w:pPr>
        <w:pStyle w:val="4"/>
        <w:spacing w:before="82" w:after="82"/>
        <w:rPr>
          <w:color w:val="000000" w:themeColor="text1"/>
          <w:highlight w:val="none"/>
        </w:rPr>
      </w:pPr>
      <w:bookmarkStart w:id="274" w:name="_Toc10250"/>
      <w:r>
        <w:rPr>
          <w:color w:val="000000" w:themeColor="text1"/>
          <w:highlight w:val="none"/>
        </w:rPr>
        <w:t>8.1</w:t>
      </w:r>
      <w:r>
        <w:rPr>
          <w:rFonts w:ascii="宋体" w:hAnsi="宋体"/>
          <w:color w:val="000000" w:themeColor="text1"/>
          <w:highlight w:val="none"/>
        </w:rPr>
        <w:t>组织保障</w:t>
      </w:r>
      <w:bookmarkEnd w:id="274"/>
    </w:p>
    <w:p>
      <w:pPr>
        <w:pStyle w:val="5"/>
        <w:spacing w:before="82" w:after="82"/>
        <w:rPr>
          <w:color w:val="000000" w:themeColor="text1"/>
          <w:highlight w:val="none"/>
        </w:rPr>
      </w:pPr>
      <w:bookmarkStart w:id="275" w:name="_Toc18002"/>
      <w:r>
        <w:rPr>
          <w:color w:val="000000" w:themeColor="text1"/>
          <w:highlight w:val="none"/>
        </w:rPr>
        <w:t>8.1.1</w:t>
      </w:r>
      <w:r>
        <w:rPr>
          <w:rFonts w:ascii="宋体" w:hAnsi="宋体"/>
          <w:color w:val="000000" w:themeColor="text1"/>
          <w:highlight w:val="none"/>
        </w:rPr>
        <w:t>管理保障措施</w:t>
      </w:r>
      <w:bookmarkEnd w:id="275"/>
    </w:p>
    <w:p>
      <w:pPr>
        <w:rPr>
          <w:color w:val="000000" w:themeColor="text1"/>
          <w:highlight w:val="none"/>
        </w:rPr>
      </w:pPr>
      <w:r>
        <w:rPr>
          <w:color w:val="000000" w:themeColor="text1"/>
          <w:highlight w:val="none"/>
        </w:rPr>
        <w:t>为保证方案顺利实施、损毁土地得到有效控制、项目区及周边生态环境良性发展，确保方案提出的各项措施的实施和落实，方案采取义务人自行治理和复垦的方式，成立项目领导小组，负责工程建设中的工程管理和实施工作，按照实施方案的工程措施、进度安排、技术标准等，严格要求施工单位，保质保量地完成各项措施。</w:t>
      </w:r>
    </w:p>
    <w:p>
      <w:pPr>
        <w:rPr>
          <w:color w:val="000000" w:themeColor="text1"/>
          <w:highlight w:val="none"/>
        </w:rPr>
      </w:pPr>
      <w:r>
        <w:rPr>
          <w:color w:val="000000" w:themeColor="text1"/>
          <w:highlight w:val="none"/>
        </w:rPr>
        <w:t>该项目由矿方成立</w:t>
      </w:r>
      <w:r>
        <w:rPr>
          <w:rFonts w:hint="eastAsia"/>
          <w:color w:val="000000" w:themeColor="text1"/>
          <w:highlight w:val="none"/>
          <w:lang w:eastAsia="zh-CN"/>
        </w:rPr>
        <w:t>三江镇战旗石灰石矿</w:t>
      </w:r>
      <w:r>
        <w:rPr>
          <w:color w:val="000000" w:themeColor="text1"/>
          <w:highlight w:val="none"/>
        </w:rPr>
        <w:t>矿山地质环境保护与土地复垦工作领导小组，统一协调和领导矿山地质环境保护与土地复垦工作，领导小组负责人由</w:t>
      </w:r>
      <w:r>
        <w:rPr>
          <w:rFonts w:hint="eastAsia"/>
          <w:color w:val="000000" w:themeColor="text1"/>
          <w:highlight w:val="none"/>
          <w:lang w:eastAsia="zh-CN"/>
        </w:rPr>
        <w:t>三江镇战旗石灰石矿</w:t>
      </w:r>
      <w:r>
        <w:rPr>
          <w:color w:val="000000" w:themeColor="text1"/>
          <w:highlight w:val="none"/>
        </w:rPr>
        <w:t>副总级分管领导担任，下设办公室，配备专职人员2人，负责项目工程设计招标、资金和物资使用、项目组织协调等日常管理工作。</w:t>
      </w:r>
    </w:p>
    <w:p>
      <w:pPr>
        <w:rPr>
          <w:color w:val="000000" w:themeColor="text1"/>
          <w:highlight w:val="none"/>
        </w:rPr>
      </w:pPr>
      <w:r>
        <w:rPr>
          <w:color w:val="000000" w:themeColor="text1"/>
          <w:highlight w:val="none"/>
        </w:rPr>
        <w:t>具体职责如下：</w:t>
      </w:r>
    </w:p>
    <w:p>
      <w:pPr>
        <w:rPr>
          <w:color w:val="000000" w:themeColor="text1"/>
          <w:highlight w:val="none"/>
        </w:rPr>
      </w:pPr>
      <w:r>
        <w:rPr>
          <w:color w:val="000000" w:themeColor="text1"/>
          <w:highlight w:val="none"/>
        </w:rPr>
        <w:t>（1）贯彻执行国家和地方政府、自然资源局有关的方针政策，</w:t>
      </w:r>
      <w:r>
        <w:rPr>
          <w:rFonts w:hint="eastAsia"/>
          <w:color w:val="000000" w:themeColor="text1"/>
          <w:highlight w:val="none"/>
        </w:rPr>
        <w:t>制定</w:t>
      </w:r>
      <w:r>
        <w:rPr>
          <w:rFonts w:hint="eastAsia"/>
          <w:color w:val="000000" w:themeColor="text1"/>
          <w:highlight w:val="none"/>
          <w:lang w:eastAsia="zh-CN"/>
        </w:rPr>
        <w:t>三江镇战旗石灰石矿</w:t>
      </w:r>
      <w:r>
        <w:rPr>
          <w:color w:val="000000" w:themeColor="text1"/>
          <w:highlight w:val="none"/>
        </w:rPr>
        <w:t>矿山地质环境保护与土地复垦工作管理规章制度。</w:t>
      </w:r>
    </w:p>
    <w:p>
      <w:pPr>
        <w:rPr>
          <w:color w:val="000000" w:themeColor="text1"/>
          <w:highlight w:val="none"/>
        </w:rPr>
      </w:pPr>
      <w:r>
        <w:rPr>
          <w:color w:val="000000" w:themeColor="text1"/>
          <w:highlight w:val="none"/>
        </w:rPr>
        <w:t>（2）加强有关法律、法规及条例的学习和宣传力度，组织有关工作人员进行环保、复垦知识的技术培训，做到人人自觉树立起矿山复垦意识，人人参与的行动中来。</w:t>
      </w:r>
    </w:p>
    <w:p>
      <w:pPr>
        <w:rPr>
          <w:color w:val="000000" w:themeColor="text1"/>
          <w:highlight w:val="none"/>
        </w:rPr>
      </w:pPr>
      <w:r>
        <w:rPr>
          <w:color w:val="000000" w:themeColor="text1"/>
          <w:highlight w:val="none"/>
        </w:rPr>
        <w:t>（3）协调矿山地质环境保护与土地复垦工作与矿山生产的关系，确保矿山地质环境保护与土地复垦资金按计划计提、预存，保证工程正常施工。</w:t>
      </w:r>
    </w:p>
    <w:p>
      <w:pPr>
        <w:rPr>
          <w:color w:val="000000" w:themeColor="text1"/>
          <w:highlight w:val="none"/>
        </w:rPr>
      </w:pPr>
      <w:r>
        <w:rPr>
          <w:color w:val="000000" w:themeColor="text1"/>
          <w:highlight w:val="none"/>
        </w:rPr>
        <w:t>（4）定期深入工程现场进行检查，掌握矿山地质环境破坏情况、土地损毁情况及矿山地质环境保护与土地复垦措施落实情况。</w:t>
      </w:r>
    </w:p>
    <w:p>
      <w:pPr>
        <w:rPr>
          <w:color w:val="000000" w:themeColor="text1"/>
          <w:highlight w:val="none"/>
        </w:rPr>
      </w:pPr>
      <w:r>
        <w:rPr>
          <w:color w:val="000000" w:themeColor="text1"/>
          <w:highlight w:val="none"/>
        </w:rPr>
        <w:t>（5）定期向主管领导汇报复垦工程进度，每年向地方国土资源主管部门报告矿山地质环境破坏情况、土地损毁情况及矿山地质环境保护与土地复垦情况，配合地方自然资源局对矿山地质环境保护与土地复垦工作的监督检查。</w:t>
      </w:r>
    </w:p>
    <w:p>
      <w:pPr>
        <w:rPr>
          <w:color w:val="000000" w:themeColor="text1"/>
          <w:highlight w:val="none"/>
        </w:rPr>
      </w:pPr>
      <w:r>
        <w:rPr>
          <w:color w:val="000000" w:themeColor="text1"/>
          <w:highlight w:val="none"/>
        </w:rPr>
        <w:t>（6）同企业公共关系科协作，负责当地村民的动员及相关问题的处理。</w:t>
      </w:r>
    </w:p>
    <w:p>
      <w:pPr>
        <w:rPr>
          <w:color w:val="000000" w:themeColor="text1"/>
          <w:highlight w:val="none"/>
        </w:rPr>
      </w:pPr>
      <w:r>
        <w:rPr>
          <w:color w:val="000000" w:themeColor="text1"/>
          <w:highlight w:val="none"/>
        </w:rPr>
        <w:t>（7）严格按照建设工程招投标制度选择和确定施工队伍，并对施工队伍的资质、人员的素质乃至项目经理、工程师的经历、能力进行必要的严格的考核，同时，督促施工单位加强规章制度建设和业务学习培训，防止质量事故、安全事故的发生。</w:t>
      </w:r>
    </w:p>
    <w:p>
      <w:pPr>
        <w:rPr>
          <w:color w:val="000000" w:themeColor="text1"/>
          <w:highlight w:val="none"/>
        </w:rPr>
      </w:pPr>
      <w:r>
        <w:rPr>
          <w:color w:val="000000" w:themeColor="text1"/>
          <w:highlight w:val="none"/>
        </w:rPr>
        <w:t>（8）在矿山生产和矿山地质环境保护与土地复垦施工过程中，定期或不定期地对在建或已建的矿山地质环境保护与土地复垦工程进行监测，</w:t>
      </w:r>
      <w:r>
        <w:rPr>
          <w:rFonts w:hint="eastAsia"/>
          <w:color w:val="000000" w:themeColor="text1"/>
          <w:highlight w:val="none"/>
          <w:lang w:eastAsia="zh-CN"/>
        </w:rPr>
        <w:t>碎石</w:t>
      </w:r>
      <w:r>
        <w:rPr>
          <w:color w:val="000000" w:themeColor="text1"/>
          <w:highlight w:val="none"/>
        </w:rPr>
        <w:t>掌握其施工情况，并进行日常维护养护，建立、健全各项的档案、资料，主动积累、分析及整编矿山地质环境保护与土地复垦资料，为工程的验收提供相关资料。</w:t>
      </w:r>
    </w:p>
    <w:p>
      <w:pPr>
        <w:pStyle w:val="5"/>
        <w:spacing w:before="82" w:after="82"/>
        <w:rPr>
          <w:color w:val="000000" w:themeColor="text1"/>
          <w:highlight w:val="none"/>
        </w:rPr>
      </w:pPr>
      <w:bookmarkStart w:id="276" w:name="_Toc5187"/>
      <w:r>
        <w:rPr>
          <w:color w:val="000000" w:themeColor="text1"/>
          <w:highlight w:val="none"/>
        </w:rPr>
        <w:t>8.1.2</w:t>
      </w:r>
      <w:r>
        <w:rPr>
          <w:rFonts w:ascii="宋体" w:hAnsi="宋体"/>
          <w:color w:val="000000" w:themeColor="text1"/>
          <w:highlight w:val="none"/>
        </w:rPr>
        <w:t>政策措施保障</w:t>
      </w:r>
      <w:bookmarkEnd w:id="276"/>
    </w:p>
    <w:p>
      <w:pPr>
        <w:rPr>
          <w:color w:val="000000" w:themeColor="text1"/>
          <w:highlight w:val="none"/>
        </w:rPr>
      </w:pPr>
      <w:r>
        <w:rPr>
          <w:color w:val="000000" w:themeColor="text1"/>
          <w:highlight w:val="none"/>
        </w:rPr>
        <w:t>建议当地政府充分应用相关的法律法规制定有利于矿山地质环境保护与土地复垦的优惠政策，鼓励和调动矿山企业各方面的积极性，做好矿山地质环境保护与土地复垦的宣传发动工作。既使矿山企业充分认识到矿山地质环境保护与土地复垦在经济建设中所处的地位和作用，增强紧迫感和责任感，取得广大干部和群众的理解支持，又使当地村民和基层组织积极主动参与，给矿山企业以热情周到的配合服务，使他们感觉到当地干部群众的温暖和各级政府的有力支持。</w:t>
      </w:r>
    </w:p>
    <w:p>
      <w:pPr>
        <w:rPr>
          <w:color w:val="000000" w:themeColor="text1"/>
          <w:highlight w:val="none"/>
        </w:rPr>
      </w:pPr>
      <w:r>
        <w:rPr>
          <w:color w:val="000000" w:themeColor="text1"/>
          <w:highlight w:val="none"/>
        </w:rPr>
        <w:t>根据国家的有关政策制定矿山地质环境保护与土地复垦的奖惩制度。当地政府、职能部门领导、企业管理者制定任期岗位目标责任制，把矿山地质环境保护与土地复垦目标任务落实责任人，签订目标责任书，与效益挂钩，实行奖罚制度，切实抓好复垦工作。</w:t>
      </w:r>
    </w:p>
    <w:p>
      <w:pPr>
        <w:rPr>
          <w:color w:val="000000" w:themeColor="text1"/>
          <w:highlight w:val="none"/>
        </w:rPr>
      </w:pPr>
      <w:r>
        <w:rPr>
          <w:rFonts w:hint="eastAsia"/>
          <w:color w:val="000000" w:themeColor="text1"/>
          <w:highlight w:val="none"/>
        </w:rPr>
        <w:t>按照“谁损毁、谁复垦”的原</w:t>
      </w:r>
      <w:r>
        <w:rPr>
          <w:color w:val="000000" w:themeColor="text1"/>
          <w:highlight w:val="none"/>
        </w:rPr>
        <w:t>则，进行项目区矿山地质环境保护与土地复垦工作。对不履行相关义务的，按照国家相关法律法规给以经济措施处理。</w:t>
      </w:r>
    </w:p>
    <w:p>
      <w:pPr>
        <w:pStyle w:val="4"/>
        <w:spacing w:before="82" w:after="82"/>
        <w:rPr>
          <w:color w:val="000000" w:themeColor="text1"/>
          <w:highlight w:val="none"/>
        </w:rPr>
      </w:pPr>
      <w:bookmarkStart w:id="277" w:name="_Toc3140"/>
      <w:r>
        <w:rPr>
          <w:color w:val="000000" w:themeColor="text1"/>
          <w:highlight w:val="none"/>
        </w:rPr>
        <w:t>8.2</w:t>
      </w:r>
      <w:r>
        <w:rPr>
          <w:rFonts w:ascii="宋体" w:hAnsi="宋体"/>
          <w:color w:val="000000" w:themeColor="text1"/>
          <w:highlight w:val="none"/>
        </w:rPr>
        <w:t>技术保障</w:t>
      </w:r>
      <w:bookmarkEnd w:id="277"/>
    </w:p>
    <w:p>
      <w:pPr>
        <w:pStyle w:val="5"/>
        <w:spacing w:before="82" w:after="82"/>
        <w:rPr>
          <w:color w:val="000000" w:themeColor="text1"/>
          <w:highlight w:val="none"/>
        </w:rPr>
      </w:pPr>
      <w:bookmarkStart w:id="278" w:name="_Toc10803"/>
      <w:r>
        <w:rPr>
          <w:color w:val="000000" w:themeColor="text1"/>
          <w:highlight w:val="none"/>
        </w:rPr>
        <w:t>8.2.1</w:t>
      </w:r>
      <w:r>
        <w:rPr>
          <w:rFonts w:ascii="宋体" w:hAnsi="宋体"/>
          <w:color w:val="000000" w:themeColor="text1"/>
          <w:highlight w:val="none"/>
        </w:rPr>
        <w:t>技术指导</w:t>
      </w:r>
      <w:bookmarkEnd w:id="278"/>
    </w:p>
    <w:p>
      <w:pPr>
        <w:rPr>
          <w:color w:val="000000" w:themeColor="text1"/>
          <w:highlight w:val="none"/>
        </w:rPr>
      </w:pPr>
      <w:r>
        <w:rPr>
          <w:color w:val="000000" w:themeColor="text1"/>
          <w:highlight w:val="none"/>
        </w:rPr>
        <w:t>在本方案实施阶段，对各种复垦措施进行专项技术施工设计，邀请相关专家担任技术顾问，设计人员进入现场进行指导。设立矿山地质环境保护与土地复垦项目技术指导小组，具体负责矿山地质环境保护与土地复垦工程的技术指导、监督和检查，并对项目实行目标管理，确保规划设计目标的实现</w:t>
      </w:r>
      <w:r>
        <w:rPr>
          <w:rFonts w:hint="eastAsia"/>
          <w:color w:val="000000" w:themeColor="text1"/>
          <w:highlight w:val="none"/>
        </w:rPr>
        <w:t>，</w:t>
      </w:r>
      <w:r>
        <w:rPr>
          <w:color w:val="000000" w:themeColor="text1"/>
          <w:highlight w:val="none"/>
        </w:rPr>
        <w:t>使矿山地质环境保护与土地复垦工程和措施严格受控于质量保证体系。</w:t>
      </w:r>
    </w:p>
    <w:p>
      <w:pPr>
        <w:rPr>
          <w:color w:val="000000" w:themeColor="text1"/>
          <w:highlight w:val="none"/>
        </w:rPr>
      </w:pPr>
      <w:r>
        <w:rPr>
          <w:color w:val="000000" w:themeColor="text1"/>
          <w:highlight w:val="none"/>
        </w:rPr>
        <w:t>复垦实施中，根据本方案的总体框架，与相关技术单位合作，编制阶段性实施计划，及时总结阶段性复垦实践经验，修订本方案。加强与相关技术单位的合作，加强对国内外具有先进复垦技术项目区的学习研究，及时吸取经验，修订矿山地质环境保护与土地复垦措施。</w:t>
      </w:r>
    </w:p>
    <w:p>
      <w:pPr>
        <w:rPr>
          <w:color w:val="000000" w:themeColor="text1"/>
          <w:highlight w:val="none"/>
        </w:rPr>
      </w:pPr>
      <w:r>
        <w:rPr>
          <w:color w:val="000000" w:themeColor="text1"/>
          <w:highlight w:val="none"/>
        </w:rPr>
        <w:t>严格按照建设工程招投标制度选择和确定施工队伍，要求施工队伍具有施工总承包三级以上资质。</w:t>
      </w:r>
    </w:p>
    <w:p>
      <w:pPr>
        <w:rPr>
          <w:color w:val="000000" w:themeColor="text1"/>
          <w:highlight w:val="none"/>
        </w:rPr>
      </w:pPr>
      <w:r>
        <w:rPr>
          <w:color w:val="000000" w:themeColor="text1"/>
          <w:highlight w:val="none"/>
        </w:rPr>
        <w:t>建设中尽量采用先进的施工手段和合理的施工工序。由技术指导小组负责对施工单位技术指导人员进行专业培训，使其熟悉矿山地质环境保护与土地复垦工程的质量标准和施工技术。技术指导人员负责在施工中严把质量关，确保各项工程按设计要求达到高标准、高质量，按期完成。</w:t>
      </w:r>
    </w:p>
    <w:p>
      <w:pPr>
        <w:rPr>
          <w:color w:val="000000" w:themeColor="text1"/>
          <w:highlight w:val="none"/>
        </w:rPr>
      </w:pPr>
      <w:r>
        <w:rPr>
          <w:color w:val="000000" w:themeColor="text1"/>
          <w:highlight w:val="none"/>
        </w:rPr>
        <w:t>加强矿山地质环境保护与土地复垦培训工作，提高矿山地质环境保护与土地复垦的管理能力，在矿山地质环境保护与土地复垦方案实施后，要加强其后期的管理抚育工作，充分体现矿山地质环境保护与土地复垦后的生态效益、经济效益和社会效益。</w:t>
      </w:r>
    </w:p>
    <w:p>
      <w:pPr>
        <w:pStyle w:val="5"/>
        <w:spacing w:before="82" w:after="82"/>
        <w:rPr>
          <w:color w:val="000000" w:themeColor="text1"/>
          <w:highlight w:val="none"/>
        </w:rPr>
      </w:pPr>
      <w:bookmarkStart w:id="279" w:name="_Toc31804"/>
      <w:r>
        <w:rPr>
          <w:color w:val="000000" w:themeColor="text1"/>
          <w:highlight w:val="none"/>
        </w:rPr>
        <w:t>8.2.2</w:t>
      </w:r>
      <w:r>
        <w:rPr>
          <w:rFonts w:ascii="宋体" w:hAnsi="宋体"/>
          <w:color w:val="000000" w:themeColor="text1"/>
          <w:highlight w:val="none"/>
        </w:rPr>
        <w:t>技术监督</w:t>
      </w:r>
      <w:bookmarkEnd w:id="279"/>
    </w:p>
    <w:p>
      <w:pPr>
        <w:rPr>
          <w:color w:val="000000" w:themeColor="text1"/>
          <w:highlight w:val="none"/>
        </w:rPr>
      </w:pPr>
      <w:r>
        <w:rPr>
          <w:color w:val="000000" w:themeColor="text1"/>
          <w:highlight w:val="none"/>
        </w:rPr>
        <w:t>在本方案工程设计及实施阶段，建立技术监督制，重点监督义务人实施表土剥离及保护、不将有毒有害物用作回填或者充填材料、不将重金属及其它有毒有害物污染的土地用作种植食用农作物等。</w:t>
      </w:r>
    </w:p>
    <w:p>
      <w:pPr>
        <w:rPr>
          <w:color w:val="000000" w:themeColor="text1"/>
          <w:highlight w:val="none"/>
        </w:rPr>
      </w:pPr>
      <w:r>
        <w:rPr>
          <w:color w:val="000000" w:themeColor="text1"/>
          <w:highlight w:val="none"/>
        </w:rPr>
        <w:t>（1）监督人员：通过认真筛选，选拔具有较高理论和专业技术水平，具有矿山地质环境保护与土地复垦工程设计、施工能力，具有较强责任感和职业道德感的监督人员进行监督工作。同时邀请部分公众参与监督。</w:t>
      </w:r>
    </w:p>
    <w:p>
      <w:pPr>
        <w:rPr>
          <w:color w:val="000000" w:themeColor="text1"/>
          <w:highlight w:val="none"/>
        </w:rPr>
      </w:pPr>
      <w:r>
        <w:rPr>
          <w:color w:val="000000" w:themeColor="text1"/>
          <w:highlight w:val="none"/>
        </w:rPr>
        <w:t>（2）监督协调人员：为保证施工进度和施工质量，矿区建设管理部门和地方土地行政部门各出1～2名技术人员负责土地工程施工现场的监理协调及技术监督工作，同时协助当地行政主管部门进行监督检查和验收工作，以确保工程按期保质保量完成。</w:t>
      </w:r>
    </w:p>
    <w:p>
      <w:pPr>
        <w:pStyle w:val="5"/>
        <w:spacing w:before="82" w:after="82"/>
        <w:rPr>
          <w:color w:val="000000" w:themeColor="text1"/>
          <w:highlight w:val="none"/>
        </w:rPr>
      </w:pPr>
      <w:bookmarkStart w:id="280" w:name="_Toc2450"/>
      <w:r>
        <w:rPr>
          <w:color w:val="000000" w:themeColor="text1"/>
          <w:highlight w:val="none"/>
        </w:rPr>
        <w:t>8.2.3完善管理规章制度</w:t>
      </w:r>
      <w:bookmarkEnd w:id="280"/>
    </w:p>
    <w:p>
      <w:pPr>
        <w:rPr>
          <w:color w:val="000000" w:themeColor="text1"/>
          <w:highlight w:val="none"/>
        </w:rPr>
      </w:pPr>
      <w:r>
        <w:rPr>
          <w:color w:val="000000" w:themeColor="text1"/>
          <w:highlight w:val="none"/>
        </w:rPr>
        <w:t>为保证方案的实施，建立健全技术档案与管理制度，实现复垦工作的科学性和系统性。档案建立与管理制度保持项目资料的全面性、系统性、科学性、时间性和齐全性和资料的准确性。各年度或工程每个阶段结束后，将所有资料及时归档，不能任其堆放和失落。设置专人，进行专人专管制度和资料借阅的登记制度，以便资料的查找和使用。</w:t>
      </w:r>
    </w:p>
    <w:p>
      <w:pPr>
        <w:rPr>
          <w:color w:val="000000" w:themeColor="text1"/>
          <w:highlight w:val="none"/>
        </w:rPr>
      </w:pPr>
      <w:r>
        <w:rPr>
          <w:color w:val="000000" w:themeColor="text1"/>
          <w:highlight w:val="none"/>
        </w:rPr>
        <w:t>矿区矿山地质环境保护与土地复垦管理应与地方管理相结合，互通信息、互相衔接，保证矿山地质环境保护与土地复垦设施质量，提高经济、社会和环境效益。做到工程有设计、质量有保证、竣工有验收、实施有监理、有定期监测的防治体制。</w:t>
      </w:r>
    </w:p>
    <w:p>
      <w:pPr>
        <w:pStyle w:val="4"/>
        <w:spacing w:before="82" w:after="82"/>
        <w:rPr>
          <w:color w:val="000000" w:themeColor="text1"/>
          <w:highlight w:val="none"/>
        </w:rPr>
      </w:pPr>
      <w:bookmarkStart w:id="281" w:name="_Toc622"/>
      <w:r>
        <w:rPr>
          <w:color w:val="000000" w:themeColor="text1"/>
          <w:highlight w:val="none"/>
        </w:rPr>
        <w:t>8.3</w:t>
      </w:r>
      <w:r>
        <w:rPr>
          <w:rFonts w:ascii="宋体" w:hAnsi="宋体"/>
          <w:color w:val="000000" w:themeColor="text1"/>
          <w:highlight w:val="none"/>
        </w:rPr>
        <w:t>资金保障</w:t>
      </w:r>
      <w:bookmarkEnd w:id="281"/>
    </w:p>
    <w:p>
      <w:pPr>
        <w:rPr>
          <w:color w:val="000000" w:themeColor="text1"/>
          <w:highlight w:val="none"/>
        </w:rPr>
      </w:pPr>
      <w:r>
        <w:rPr>
          <w:color w:val="000000" w:themeColor="text1"/>
          <w:highlight w:val="none"/>
        </w:rPr>
        <w:t>资金落实是矿山地质环境保护与土地复垦工作成败的关键。做好</w:t>
      </w:r>
      <w:r>
        <w:rPr>
          <w:rFonts w:hint="eastAsia"/>
          <w:color w:val="000000" w:themeColor="text1"/>
          <w:highlight w:val="none"/>
        </w:rPr>
        <w:t>矿山</w:t>
      </w:r>
      <w:r>
        <w:rPr>
          <w:color w:val="000000" w:themeColor="text1"/>
          <w:highlight w:val="none"/>
        </w:rPr>
        <w:t>地质环境保护与土地复垦工作，必须制定出切实可行的资金保障措施，本方案将从资金的来源、存放、管理、使用、审计等环节落实资金保障措施。</w:t>
      </w:r>
    </w:p>
    <w:p>
      <w:pPr>
        <w:pStyle w:val="5"/>
        <w:spacing w:before="82" w:after="82"/>
        <w:rPr>
          <w:color w:val="000000" w:themeColor="text1"/>
          <w:highlight w:val="none"/>
        </w:rPr>
      </w:pPr>
      <w:bookmarkStart w:id="282" w:name="_Toc29618"/>
      <w:r>
        <w:rPr>
          <w:rFonts w:hint="eastAsia"/>
          <w:color w:val="000000" w:themeColor="text1"/>
          <w:highlight w:val="none"/>
        </w:rPr>
        <w:t xml:space="preserve">8.3.1 </w:t>
      </w:r>
      <w:r>
        <w:rPr>
          <w:rFonts w:hint="eastAsia" w:ascii="宋体" w:hAnsi="宋体"/>
          <w:color w:val="000000" w:themeColor="text1"/>
          <w:highlight w:val="none"/>
        </w:rPr>
        <w:t>资金来源</w:t>
      </w:r>
      <w:bookmarkEnd w:id="282"/>
    </w:p>
    <w:p>
      <w:pPr>
        <w:rPr>
          <w:color w:val="000000" w:themeColor="text1"/>
          <w:highlight w:val="none"/>
        </w:rPr>
      </w:pPr>
      <w:r>
        <w:rPr>
          <w:rFonts w:hint="eastAsia"/>
          <w:color w:val="000000" w:themeColor="text1"/>
          <w:highlight w:val="none"/>
        </w:rPr>
        <w:t>1、矿山地质环境治理恢复资金来源</w:t>
      </w:r>
    </w:p>
    <w:p>
      <w:pPr>
        <w:rPr>
          <w:color w:val="000000" w:themeColor="text1"/>
          <w:highlight w:val="none"/>
        </w:rPr>
      </w:pPr>
      <w:r>
        <w:rPr>
          <w:rFonts w:hint="eastAsia"/>
          <w:color w:val="000000" w:themeColor="text1"/>
          <w:highlight w:val="none"/>
        </w:rPr>
        <w:t>据川自然资发〔2021〕27号文《四川省在建与生产矿山生态修复管理办法》的相关条文规定，新建、在建矿山、生产矿山企业按照满足实际需求的原则，根据其矿山地质环境保护及土地复垦方案，采矿权人应遵循满足需求、专账核算、企业所有、自主使用、滚动支取的原则，按照《方案》确定的费用计提基金，基金计入企业成本，专项用于矿山生态修复工作。同时，矿山企业需于202</w:t>
      </w:r>
      <w:r>
        <w:rPr>
          <w:rFonts w:hint="eastAsia"/>
          <w:color w:val="000000" w:themeColor="text1"/>
          <w:highlight w:val="none"/>
          <w:lang w:val="en-US" w:eastAsia="zh-CN"/>
        </w:rPr>
        <w:t>2</w:t>
      </w:r>
      <w:r>
        <w:rPr>
          <w:rFonts w:hint="eastAsia"/>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月30日前在银行账户中设立基金账户，单独反映基金提取使用情况。</w:t>
      </w:r>
    </w:p>
    <w:p>
      <w:pPr>
        <w:rPr>
          <w:color w:val="000000" w:themeColor="text1"/>
          <w:highlight w:val="none"/>
        </w:rPr>
      </w:pPr>
      <w:r>
        <w:rPr>
          <w:rFonts w:hint="eastAsia"/>
          <w:color w:val="000000" w:themeColor="text1"/>
          <w:highlight w:val="none"/>
        </w:rPr>
        <w:t>2、矿山土地复垦资来源</w:t>
      </w:r>
    </w:p>
    <w:p>
      <w:pPr>
        <w:rPr>
          <w:rFonts w:hint="eastAsia"/>
          <w:color w:val="000000" w:themeColor="text1"/>
          <w:highlight w:val="none"/>
        </w:rPr>
      </w:pPr>
      <w:r>
        <w:rPr>
          <w:rFonts w:hint="eastAsia"/>
          <w:color w:val="000000" w:themeColor="text1"/>
          <w:highlight w:val="none"/>
        </w:rPr>
        <w:t>国土资发〔2006〕225号文规定：“土地复垦费要列入生产成本或建设项目总投资并足额预算”。同时我国《土地复垦条例》第三条指出：生产建设活动损坏的土地，按照“谁损毁，谁复垦”的原则，由生产建设单位或者个人（土地复垦义务人）负责复垦。</w:t>
      </w:r>
    </w:p>
    <w:p>
      <w:pPr>
        <w:rPr>
          <w:color w:val="000000" w:themeColor="text1"/>
          <w:highlight w:val="none"/>
        </w:rPr>
      </w:pPr>
      <w:r>
        <w:rPr>
          <w:rFonts w:hint="eastAsia"/>
          <w:color w:val="000000" w:themeColor="text1"/>
          <w:highlight w:val="none"/>
        </w:rPr>
        <w:t>据川自然资发〔2021〕27号文《四川省在建与生产矿山生态修复管理办法》的相关条文规定，新建、在建矿山、生产矿山企业按照满足实际需求的原则，根据其矿山地质环境保护及土地复垦方案，采矿权人应遵循满足需求、专账核算、企业所有、自主使用、滚动支取的原则，按照《方案》确定的费用计提基金，基金计入企业成本，专项用于矿山生态修复工作。同时，矿山企业需于202</w:t>
      </w:r>
      <w:r>
        <w:rPr>
          <w:rFonts w:hint="eastAsia"/>
          <w:color w:val="000000" w:themeColor="text1"/>
          <w:highlight w:val="none"/>
          <w:lang w:val="en-US" w:eastAsia="zh-CN"/>
        </w:rPr>
        <w:t>1</w:t>
      </w:r>
      <w:r>
        <w:rPr>
          <w:rFonts w:hint="eastAsia"/>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月30日前在银行账户中设立基金账户，单独反映基金提取使用情况。</w:t>
      </w:r>
    </w:p>
    <w:p>
      <w:pPr>
        <w:rPr>
          <w:color w:val="000000" w:themeColor="text1"/>
          <w:highlight w:val="none"/>
        </w:rPr>
      </w:pPr>
      <w:r>
        <w:rPr>
          <w:rFonts w:hint="eastAsia"/>
          <w:color w:val="000000" w:themeColor="text1"/>
          <w:highlight w:val="none"/>
        </w:rPr>
        <w:t>自然资源局有权依法对本项目土地复垦进行监督管理，并和指定的银行以及矿山企业签订土地复垦费用监管协议（三方），以监督矿山企业落实矿山土地复垦费用，履行土地复垦义务。</w:t>
      </w:r>
    </w:p>
    <w:p>
      <w:pPr>
        <w:pStyle w:val="5"/>
        <w:spacing w:before="82" w:after="82"/>
        <w:rPr>
          <w:color w:val="000000" w:themeColor="text1"/>
          <w:highlight w:val="none"/>
        </w:rPr>
      </w:pPr>
      <w:bookmarkStart w:id="283" w:name="_Toc4362"/>
      <w:r>
        <w:rPr>
          <w:rFonts w:hint="eastAsia"/>
          <w:color w:val="000000" w:themeColor="text1"/>
          <w:highlight w:val="none"/>
        </w:rPr>
        <w:t xml:space="preserve">8.3.2 </w:t>
      </w:r>
      <w:r>
        <w:rPr>
          <w:rFonts w:hint="eastAsia" w:ascii="宋体" w:hAnsi="宋体"/>
          <w:color w:val="000000" w:themeColor="text1"/>
          <w:highlight w:val="none"/>
        </w:rPr>
        <w:t>提计和储存</w:t>
      </w:r>
      <w:bookmarkEnd w:id="283"/>
    </w:p>
    <w:p>
      <w:pPr>
        <w:rPr>
          <w:color w:val="000000" w:themeColor="text1"/>
          <w:highlight w:val="none"/>
        </w:rPr>
      </w:pPr>
      <w:r>
        <w:rPr>
          <w:rFonts w:hint="eastAsia"/>
          <w:color w:val="000000" w:themeColor="text1"/>
          <w:highlight w:val="none"/>
        </w:rPr>
        <w:t>1、矿山地质环境治理恢复资金提计与储存</w:t>
      </w:r>
    </w:p>
    <w:p>
      <w:pPr>
        <w:rPr>
          <w:rFonts w:hint="eastAsia"/>
          <w:color w:val="000000" w:themeColor="text1"/>
          <w:highlight w:val="none"/>
        </w:rPr>
      </w:pPr>
      <w:r>
        <w:rPr>
          <w:rFonts w:hint="eastAsia"/>
          <w:color w:val="000000" w:themeColor="text1"/>
          <w:highlight w:val="none"/>
        </w:rPr>
        <w:t>根据规定，矿山企业应设立矿山地质环境治理恢复基金账户，采矿权人应遵循满足需求、专账核算、企业所有、自主使用、滚动支取的原则，按照《方案》确定的费用计提基金，基金计入企业成本，专项用于矿山生态修复工作。存入基金账户，第一次计提数额不得少于总投资额的20%，余额按年度分摊。矿山关闭前一年完成全部基金计提。</w:t>
      </w:r>
    </w:p>
    <w:p>
      <w:pPr>
        <w:rPr>
          <w:color w:val="000000" w:themeColor="text1"/>
          <w:highlight w:val="none"/>
        </w:rPr>
      </w:pPr>
      <w:r>
        <w:rPr>
          <w:rFonts w:hint="eastAsia"/>
          <w:color w:val="000000" w:themeColor="text1"/>
          <w:highlight w:val="none"/>
        </w:rPr>
        <w:t>2、矿山土地复垦资金提计与储存</w:t>
      </w:r>
    </w:p>
    <w:p>
      <w:pPr>
        <w:rPr>
          <w:color w:val="000000" w:themeColor="text1"/>
          <w:highlight w:val="none"/>
        </w:rPr>
      </w:pPr>
      <w:r>
        <w:rPr>
          <w:rFonts w:hint="eastAsia"/>
          <w:color w:val="000000" w:themeColor="text1"/>
          <w:highlight w:val="none"/>
        </w:rPr>
        <w:t>矿山企业应依据批复的矿山地质环境保护与土地复垦方案及阶段实施计划中确定的费用预存计划，分</w:t>
      </w:r>
      <w:r>
        <w:rPr>
          <w:rFonts w:hint="eastAsia"/>
          <w:color w:val="000000" w:themeColor="text1"/>
          <w:highlight w:val="none"/>
          <w:lang w:val="en-US" w:eastAsia="zh-CN"/>
        </w:rPr>
        <w:t>4</w:t>
      </w:r>
      <w:r>
        <w:rPr>
          <w:rFonts w:hint="eastAsia"/>
          <w:color w:val="000000" w:themeColor="text1"/>
          <w:highlight w:val="none"/>
        </w:rPr>
        <w:t>期将土地复垦费用存入共管账户，并在每个预存计划开始后的10个工作日内存入</w:t>
      </w:r>
      <w:r>
        <w:rPr>
          <w:rFonts w:hint="eastAsia"/>
          <w:color w:val="000000" w:themeColor="text1"/>
          <w:highlight w:val="none"/>
          <w:lang w:eastAsia="zh-CN"/>
        </w:rPr>
        <w:t>，</w:t>
      </w:r>
      <w:r>
        <w:rPr>
          <w:rFonts w:hint="eastAsia"/>
          <w:color w:val="000000" w:themeColor="text1"/>
          <w:highlight w:val="none"/>
        </w:rPr>
        <w:t>存入基金账户，第一次计提数额不得少于总投资额的20%，余额按年度分摊。矿山关闭前一年完成全部基金计提。</w:t>
      </w:r>
    </w:p>
    <w:p>
      <w:pPr>
        <w:pStyle w:val="5"/>
        <w:spacing w:before="82" w:after="82"/>
        <w:rPr>
          <w:color w:val="000000" w:themeColor="text1"/>
          <w:highlight w:val="none"/>
        </w:rPr>
      </w:pPr>
      <w:bookmarkStart w:id="284" w:name="_Toc6024"/>
      <w:r>
        <w:rPr>
          <w:rFonts w:hint="eastAsia"/>
          <w:color w:val="000000" w:themeColor="text1"/>
          <w:highlight w:val="none"/>
        </w:rPr>
        <w:t xml:space="preserve">8.3.3 </w:t>
      </w:r>
      <w:r>
        <w:rPr>
          <w:rFonts w:hint="eastAsia" w:ascii="宋体" w:hAnsi="宋体"/>
          <w:color w:val="000000" w:themeColor="text1"/>
          <w:highlight w:val="none"/>
        </w:rPr>
        <w:t>管理</w:t>
      </w:r>
      <w:bookmarkEnd w:id="284"/>
    </w:p>
    <w:p>
      <w:pPr>
        <w:rPr>
          <w:color w:val="000000" w:themeColor="text1"/>
          <w:highlight w:val="none"/>
        </w:rPr>
      </w:pPr>
      <w:r>
        <w:rPr>
          <w:rFonts w:hint="eastAsia"/>
          <w:color w:val="000000" w:themeColor="text1"/>
          <w:highlight w:val="none"/>
        </w:rPr>
        <w:t>1、矿山地质环境治理恢复资金的管理</w:t>
      </w:r>
    </w:p>
    <w:p>
      <w:pPr>
        <w:rPr>
          <w:color w:val="000000" w:themeColor="text1"/>
          <w:highlight w:val="none"/>
        </w:rPr>
      </w:pPr>
      <w:r>
        <w:rPr>
          <w:rFonts w:hint="eastAsia"/>
          <w:color w:val="000000" w:themeColor="text1"/>
          <w:highlight w:val="none"/>
        </w:rPr>
        <w:t>矿山企业按照资金计提安排自主对矿山地质环境治理恢复资金进行管理与使用，基金应根据矿山地质环境保护与土地复垦方案的工程治理方案、进度计划专项用于因矿产资源勘查开采活动造成的地面塌陷、地裂缝、崩塌、滑坡、地形地貌破坏、地下水含水层破坏、地表植被损毁预防和修复治理以及矿山地质环境监测等方面（不含土地复垦）。矿山企业的基金提取、使用以及矿山地质环境保护与土地复垦方案的执行情况须列入矿权人勘查开采信息公示系统。</w:t>
      </w:r>
    </w:p>
    <w:p>
      <w:pPr>
        <w:rPr>
          <w:color w:val="000000" w:themeColor="text1"/>
          <w:highlight w:val="none"/>
        </w:rPr>
      </w:pPr>
      <w:r>
        <w:rPr>
          <w:rFonts w:hint="eastAsia"/>
          <w:color w:val="000000" w:themeColor="text1"/>
          <w:highlight w:val="none"/>
        </w:rPr>
        <w:t>2、矿山土地复垦资金的管理</w:t>
      </w:r>
    </w:p>
    <w:p>
      <w:pPr>
        <w:rPr>
          <w:color w:val="000000" w:themeColor="text1"/>
          <w:highlight w:val="none"/>
        </w:rPr>
      </w:pPr>
      <w:r>
        <w:rPr>
          <w:rFonts w:hint="eastAsia"/>
          <w:color w:val="000000" w:themeColor="text1"/>
          <w:highlight w:val="none"/>
        </w:rPr>
        <w:t>矿山企业按照资金计提安排提取费用存入专用共管账户，委托自然资源局和其指定的银行共同参与管理共管账户，并签订土地复垦费用监管协议（三方）。</w:t>
      </w:r>
    </w:p>
    <w:p>
      <w:pPr>
        <w:pStyle w:val="5"/>
        <w:spacing w:before="82" w:after="82"/>
        <w:rPr>
          <w:color w:val="000000" w:themeColor="text1"/>
          <w:highlight w:val="none"/>
        </w:rPr>
      </w:pPr>
      <w:bookmarkStart w:id="285" w:name="_Toc4782"/>
      <w:r>
        <w:rPr>
          <w:rFonts w:hint="eastAsia"/>
          <w:color w:val="000000" w:themeColor="text1"/>
          <w:highlight w:val="none"/>
        </w:rPr>
        <w:t xml:space="preserve">8.3.4 </w:t>
      </w:r>
      <w:r>
        <w:rPr>
          <w:rFonts w:hint="eastAsia" w:ascii="宋体" w:hAnsi="宋体"/>
          <w:color w:val="000000" w:themeColor="text1"/>
          <w:highlight w:val="none"/>
        </w:rPr>
        <w:t>使用</w:t>
      </w:r>
      <w:bookmarkEnd w:id="285"/>
    </w:p>
    <w:p>
      <w:pPr>
        <w:rPr>
          <w:color w:val="000000" w:themeColor="text1"/>
          <w:highlight w:val="none"/>
        </w:rPr>
      </w:pPr>
      <w:r>
        <w:rPr>
          <w:rFonts w:hint="eastAsia"/>
          <w:color w:val="000000" w:themeColor="text1"/>
          <w:highlight w:val="none"/>
        </w:rPr>
        <w:t>1、严格项目招标制度、提高资金使用的透明度。矿山地质环境保护与土地复垦工程严格按照《工程招投标办法》的规定，依据公开、公平、公正的原则实施招投标制度。</w:t>
      </w:r>
    </w:p>
    <w:p>
      <w:pPr>
        <w:rPr>
          <w:color w:val="000000" w:themeColor="text1"/>
          <w:highlight w:val="none"/>
        </w:rPr>
      </w:pPr>
      <w:r>
        <w:rPr>
          <w:rFonts w:hint="eastAsia"/>
          <w:color w:val="000000" w:themeColor="text1"/>
          <w:highlight w:val="none"/>
        </w:rPr>
        <w:t>2、遏制项目资金的粗放利用行为。矿山地质环境保护与土地复垦工作切实关系着人民生命财产安全，每一分复垦资金都应落实在矿山地质环境保护与土地复垦项目中，杜绝项目资金的粗放利用现象。在复垦资金的使用中，将事中监督与事后检查制度同步实施，使复垦资金充分发挥效益。</w:t>
      </w:r>
    </w:p>
    <w:p>
      <w:pPr>
        <w:rPr>
          <w:color w:val="000000" w:themeColor="text1"/>
          <w:highlight w:val="none"/>
        </w:rPr>
      </w:pPr>
      <w:r>
        <w:rPr>
          <w:rFonts w:hint="eastAsia"/>
          <w:color w:val="000000" w:themeColor="text1"/>
          <w:highlight w:val="none"/>
        </w:rPr>
        <w:t>3、杜绝改变项目资金用途现象。基金应用于《方案》确定的因矿产资源勘查开采活动造成的矿区地面塌陷、地裂缝、崩塌、滑坡、泥石流、地形地貌景观破坏、地下含水层破坏、地表植被损毁的预防和治理、土地复垦、矿山开采影响范围定界、监测管护等生态修复工作，不得挤占和挪用。</w:t>
      </w:r>
    </w:p>
    <w:p>
      <w:pPr>
        <w:rPr>
          <w:rFonts w:hint="eastAsia"/>
          <w:color w:val="000000" w:themeColor="text1"/>
          <w:highlight w:val="none"/>
        </w:rPr>
      </w:pPr>
      <w:r>
        <w:rPr>
          <w:rFonts w:hint="eastAsia"/>
          <w:color w:val="000000" w:themeColor="text1"/>
          <w:highlight w:val="none"/>
        </w:rPr>
        <w:t>4、严格资金拨付制度。采矿权人应当按照《方案》确定的生态修复计划和基金使用计划，向所在地县级自然资源主管部门申请，县级自然资源主管部门应当在七日内出具基金支取通知书。</w:t>
      </w:r>
    </w:p>
    <w:p>
      <w:pPr>
        <w:rPr>
          <w:color w:val="000000" w:themeColor="text1"/>
          <w:highlight w:val="none"/>
        </w:rPr>
      </w:pPr>
      <w:r>
        <w:rPr>
          <w:rFonts w:hint="eastAsia"/>
          <w:color w:val="000000" w:themeColor="text1"/>
          <w:highlight w:val="none"/>
        </w:rPr>
        <w:t>采矿权人凭基金支取通知书，从基金账户中支取资金，专项用于矿山生态修复工作。采矿权人每年应对基金进行核算，如有不足，予以补足；如有结余，结转后续年度继续使用。</w:t>
      </w:r>
    </w:p>
    <w:p>
      <w:pPr>
        <w:rPr>
          <w:color w:val="000000" w:themeColor="text1"/>
          <w:highlight w:val="none"/>
        </w:rPr>
      </w:pPr>
      <w:r>
        <w:rPr>
          <w:rFonts w:hint="eastAsia"/>
          <w:color w:val="000000" w:themeColor="text1"/>
          <w:highlight w:val="none"/>
        </w:rPr>
        <w:t>5、实施工程质量保障制度。工程完工后，经甲方、监理验收合格后，甲方向乙方支付至合同总价的75％；工程结算后，支付至工程结算总价的95%，其余5%的质量保证金，待质量保期满三年后支付。</w:t>
      </w:r>
    </w:p>
    <w:p>
      <w:pPr>
        <w:pStyle w:val="5"/>
        <w:spacing w:before="82" w:after="82"/>
        <w:rPr>
          <w:color w:val="000000" w:themeColor="text1"/>
          <w:highlight w:val="none"/>
        </w:rPr>
      </w:pPr>
      <w:bookmarkStart w:id="286" w:name="_Toc14024"/>
      <w:r>
        <w:rPr>
          <w:rFonts w:hint="eastAsia"/>
          <w:color w:val="000000" w:themeColor="text1"/>
          <w:highlight w:val="none"/>
        </w:rPr>
        <w:t xml:space="preserve">8.3.5 </w:t>
      </w:r>
      <w:r>
        <w:rPr>
          <w:rFonts w:hint="eastAsia" w:ascii="宋体" w:hAnsi="宋体"/>
          <w:color w:val="000000" w:themeColor="text1"/>
          <w:highlight w:val="none"/>
        </w:rPr>
        <w:t>审计</w:t>
      </w:r>
      <w:bookmarkEnd w:id="286"/>
    </w:p>
    <w:p>
      <w:pPr>
        <w:rPr>
          <w:color w:val="000000" w:themeColor="text1"/>
          <w:highlight w:val="none"/>
        </w:rPr>
      </w:pPr>
      <w:r>
        <w:rPr>
          <w:rFonts w:hint="eastAsia"/>
          <w:color w:val="000000" w:themeColor="text1"/>
          <w:highlight w:val="none"/>
        </w:rPr>
        <w:t>保证建设资金及时足额到位，保障矿山地质环境保护与土地复垦工作顺利进行。实施竣工验收时，建设单位应就投资估算调整情况、分年度安排投资、资金到位情况和经费支出情况写出总结报主管部门和监督部门审计审查备案。若投资规模不够，不能按设计方案进行矿山地质环境保护与土地复垦工作，主管部门和监督机构应当督促业主单位按原计划追加投资。主要审查内容：</w:t>
      </w:r>
    </w:p>
    <w:p>
      <w:pPr>
        <w:rPr>
          <w:rFonts w:hint="eastAsia"/>
          <w:color w:val="000000" w:themeColor="text1"/>
          <w:highlight w:val="none"/>
        </w:rPr>
      </w:pPr>
      <w:r>
        <w:rPr>
          <w:rFonts w:hint="eastAsia"/>
          <w:color w:val="000000" w:themeColor="text1"/>
          <w:highlight w:val="none"/>
        </w:rPr>
        <w:t>1、审查资金的计提、转划、管理情况。采矿权人每年应对基金进行核算，如有不足，予以补足；如有结余，结转后续年度继续使用。</w:t>
      </w:r>
    </w:p>
    <w:p>
      <w:pPr>
        <w:rPr>
          <w:color w:val="000000" w:themeColor="text1"/>
          <w:highlight w:val="none"/>
        </w:rPr>
      </w:pPr>
      <w:r>
        <w:rPr>
          <w:rFonts w:hint="eastAsia"/>
          <w:color w:val="000000" w:themeColor="text1"/>
          <w:highlight w:val="none"/>
        </w:rPr>
        <w:t>2、审核招投标的真实性：公开、公平、公正确定施工单位是确保工程质量的关键所在，在项目招标中，重点审查招标程序是否规范到位、招标方式和组织形式是否合法，杜绝招标工作出现走过场、暗箱操作的行为。</w:t>
      </w:r>
    </w:p>
    <w:p>
      <w:pPr>
        <w:rPr>
          <w:color w:val="000000" w:themeColor="text1"/>
          <w:highlight w:val="none"/>
        </w:rPr>
      </w:pPr>
      <w:r>
        <w:rPr>
          <w:rFonts w:hint="eastAsia"/>
          <w:color w:val="000000" w:themeColor="text1"/>
          <w:highlight w:val="none"/>
        </w:rPr>
        <w:t>3、审核项目资金流向、使用效益，审核预算、决算编制，资金的流程。检查业主或施工单位是否存在虚假决算，或虚列支出，搞虚假工程骗取资金行为，或有关部门滞留项目资金行为。</w:t>
      </w:r>
    </w:p>
    <w:p>
      <w:pPr>
        <w:rPr>
          <w:color w:val="000000" w:themeColor="text1"/>
          <w:highlight w:val="none"/>
        </w:rPr>
      </w:pPr>
      <w:r>
        <w:rPr>
          <w:rFonts w:hint="eastAsia"/>
          <w:color w:val="000000" w:themeColor="text1"/>
          <w:highlight w:val="none"/>
        </w:rPr>
        <w:t>4、实施责任追究制度。在项目的审计中，如出现滥用、挪用资金的行为，追究当事人、相关责任人的责任，给予相应的行政、经济、刑事处罚。</w:t>
      </w:r>
    </w:p>
    <w:p>
      <w:pPr>
        <w:rPr>
          <w:color w:val="000000" w:themeColor="text1"/>
          <w:highlight w:val="none"/>
        </w:rPr>
      </w:pPr>
      <w:r>
        <w:rPr>
          <w:rFonts w:hint="eastAsia"/>
          <w:color w:val="000000" w:themeColor="text1"/>
          <w:highlight w:val="none"/>
        </w:rPr>
        <w:t>自然资源局将加强对</w:t>
      </w:r>
      <w:r>
        <w:rPr>
          <w:rFonts w:hint="eastAsia"/>
          <w:color w:val="000000" w:themeColor="text1"/>
          <w:highlight w:val="none"/>
          <w:lang w:eastAsia="zh-CN"/>
        </w:rPr>
        <w:t>三江镇战旗石灰石矿</w:t>
      </w:r>
      <w:r>
        <w:rPr>
          <w:rFonts w:hint="eastAsia"/>
          <w:color w:val="000000" w:themeColor="text1"/>
          <w:highlight w:val="none"/>
        </w:rPr>
        <w:t>专项资金的审计，确保以下几点：</w:t>
      </w:r>
    </w:p>
    <w:p>
      <w:pPr>
        <w:rPr>
          <w:color w:val="000000" w:themeColor="text1"/>
          <w:highlight w:val="none"/>
        </w:rPr>
      </w:pPr>
      <w:r>
        <w:rPr>
          <w:rFonts w:hint="eastAsia"/>
          <w:color w:val="000000" w:themeColor="text1"/>
          <w:highlight w:val="none"/>
        </w:rPr>
        <w:t>——确定资金的内部控制制度存在、有效并一贯被执行；</w:t>
      </w:r>
    </w:p>
    <w:p>
      <w:pPr>
        <w:rPr>
          <w:color w:val="000000" w:themeColor="text1"/>
          <w:highlight w:val="none"/>
        </w:rPr>
      </w:pPr>
      <w:r>
        <w:rPr>
          <w:rFonts w:hint="eastAsia"/>
          <w:color w:val="000000" w:themeColor="text1"/>
          <w:highlight w:val="none"/>
        </w:rPr>
        <w:t>——确定会计报表所列金额真实；</w:t>
      </w:r>
    </w:p>
    <w:p>
      <w:pPr>
        <w:rPr>
          <w:color w:val="000000" w:themeColor="text1"/>
          <w:highlight w:val="none"/>
        </w:rPr>
      </w:pPr>
      <w:r>
        <w:rPr>
          <w:rFonts w:hint="eastAsia"/>
          <w:color w:val="000000" w:themeColor="text1"/>
          <w:highlight w:val="none"/>
        </w:rPr>
        <w:t>——确定资金的会计记录正确无误，金额正确，计量无误，明细帐和总帐一致，是否有被贪污或挪用现象；</w:t>
      </w:r>
    </w:p>
    <w:p>
      <w:pPr>
        <w:rPr>
          <w:color w:val="000000" w:themeColor="text1"/>
          <w:highlight w:val="none"/>
        </w:rPr>
      </w:pPr>
      <w:r>
        <w:rPr>
          <w:rFonts w:hint="eastAsia"/>
          <w:color w:val="000000" w:themeColor="text1"/>
          <w:highlight w:val="none"/>
        </w:rPr>
        <w:t>——确定资金的收支真实，货币计价正确；</w:t>
      </w:r>
    </w:p>
    <w:p>
      <w:pPr>
        <w:rPr>
          <w:color w:val="000000" w:themeColor="text1"/>
          <w:highlight w:val="none"/>
        </w:rPr>
      </w:pPr>
      <w:r>
        <w:rPr>
          <w:rFonts w:hint="eastAsia"/>
          <w:color w:val="000000" w:themeColor="text1"/>
          <w:highlight w:val="none"/>
        </w:rPr>
        <w:t>——确定资金在会计报表上的揭露恰当。</w:t>
      </w:r>
    </w:p>
    <w:p>
      <w:pPr>
        <w:pStyle w:val="4"/>
        <w:spacing w:before="82" w:after="82"/>
        <w:rPr>
          <w:color w:val="000000" w:themeColor="text1"/>
          <w:highlight w:val="none"/>
        </w:rPr>
      </w:pPr>
      <w:bookmarkStart w:id="287" w:name="_Toc1416"/>
      <w:r>
        <w:rPr>
          <w:color w:val="000000" w:themeColor="text1"/>
          <w:highlight w:val="none"/>
        </w:rPr>
        <w:t>8.4</w:t>
      </w:r>
      <w:r>
        <w:rPr>
          <w:rFonts w:ascii="宋体" w:hAnsi="宋体"/>
          <w:color w:val="000000" w:themeColor="text1"/>
          <w:highlight w:val="none"/>
        </w:rPr>
        <w:t>监管保障</w:t>
      </w:r>
      <w:bookmarkEnd w:id="287"/>
    </w:p>
    <w:p>
      <w:pPr>
        <w:rPr>
          <w:color w:val="000000" w:themeColor="text1"/>
          <w:highlight w:val="none"/>
        </w:rPr>
      </w:pPr>
      <w:r>
        <w:rPr>
          <w:color w:val="000000" w:themeColor="text1"/>
          <w:highlight w:val="none"/>
        </w:rPr>
        <w:t>公司将按照批准后的矿山地质环境保护与土地复垦方案进行复垦，不能对方案擅自变更，若有重大变更的，向国土资源主管部门申请。公司矿山地质环境保护与土地复垦部将加强土地复垦施工管理，严格按照方案要求自查，并主动与国土资源主管部门取得联系，加强与国土资源主管部门合作，自觉接受国土资源主管部门的监督管理。</w:t>
      </w:r>
    </w:p>
    <w:p>
      <w:pPr>
        <w:rPr>
          <w:color w:val="000000" w:themeColor="text1"/>
          <w:highlight w:val="none"/>
        </w:rPr>
      </w:pPr>
      <w:r>
        <w:rPr>
          <w:color w:val="000000" w:themeColor="text1"/>
          <w:highlight w:val="none"/>
        </w:rPr>
        <w:t>为保障国土资源主管部门矿山地质环境保护与土地复垦实施监管工作，公司根据土地复垦方案编制每年12月31日前向当地县级以上国土资源主管部门报告当年的土地损毁情况以及土地复垦工程实施情况，包括下列内容：</w:t>
      </w:r>
    </w:p>
    <w:p>
      <w:pPr>
        <w:rPr>
          <w:color w:val="000000" w:themeColor="text1"/>
          <w:highlight w:val="none"/>
        </w:rPr>
      </w:pPr>
      <w:r>
        <w:rPr>
          <w:color w:val="000000" w:themeColor="text1"/>
          <w:highlight w:val="none"/>
        </w:rPr>
        <w:t>（1）年度地质灾害发生情况；土地损毁情况，包括土地损毁类型、地类、位置、权属、面积、程度等；</w:t>
      </w:r>
    </w:p>
    <w:p>
      <w:pPr>
        <w:rPr>
          <w:color w:val="000000" w:themeColor="text1"/>
          <w:highlight w:val="none"/>
        </w:rPr>
      </w:pPr>
      <w:r>
        <w:rPr>
          <w:color w:val="000000" w:themeColor="text1"/>
          <w:highlight w:val="none"/>
        </w:rPr>
        <w:t>（2）年度地质环境保护与土地复垦费用预存、使用和管理等情况；</w:t>
      </w:r>
    </w:p>
    <w:p>
      <w:pPr>
        <w:rPr>
          <w:color w:val="000000" w:themeColor="text1"/>
          <w:highlight w:val="none"/>
        </w:rPr>
      </w:pPr>
      <w:r>
        <w:rPr>
          <w:color w:val="000000" w:themeColor="text1"/>
          <w:highlight w:val="none"/>
        </w:rPr>
        <w:t>（3）年度地质环境保护与土地复垦实施情况，包括复垦地类、位置、面积、权属、主要复垦措施、工程量等；</w:t>
      </w:r>
    </w:p>
    <w:p>
      <w:pPr>
        <w:rPr>
          <w:color w:val="000000" w:themeColor="text1"/>
          <w:highlight w:val="none"/>
        </w:rPr>
      </w:pPr>
      <w:r>
        <w:rPr>
          <w:color w:val="000000" w:themeColor="text1"/>
          <w:highlight w:val="none"/>
        </w:rPr>
        <w:t>（4）国土资源主管部门规定的其他年度报告内容。</w:t>
      </w:r>
    </w:p>
    <w:p>
      <w:pPr>
        <w:rPr>
          <w:color w:val="000000" w:themeColor="text1"/>
          <w:highlight w:val="none"/>
        </w:rPr>
      </w:pPr>
      <w:r>
        <w:rPr>
          <w:color w:val="000000" w:themeColor="text1"/>
          <w:highlight w:val="none"/>
        </w:rPr>
        <w:t>公司需接受自然资源局对地质环境保护与复垦实施情况的监督检查，接受社会对地质环境保护与土地复垦实施情况的监督。国土资源主管部门在监督中发现公司不履行地质环境保护与复垦义务的，按照法律法规和政策文件的规定，自觉接受国土资源主管部门及有关部门处罚。</w:t>
      </w:r>
    </w:p>
    <w:p>
      <w:pPr>
        <w:pStyle w:val="4"/>
        <w:spacing w:before="82" w:after="82"/>
        <w:rPr>
          <w:color w:val="000000" w:themeColor="text1"/>
          <w:highlight w:val="none"/>
        </w:rPr>
      </w:pPr>
      <w:bookmarkStart w:id="288" w:name="_Toc13580"/>
      <w:r>
        <w:rPr>
          <w:color w:val="000000" w:themeColor="text1"/>
          <w:highlight w:val="none"/>
        </w:rPr>
        <w:t>8.5</w:t>
      </w:r>
      <w:r>
        <w:rPr>
          <w:rFonts w:ascii="宋体" w:hAnsi="宋体"/>
          <w:color w:val="000000" w:themeColor="text1"/>
          <w:highlight w:val="none"/>
        </w:rPr>
        <w:t>效益分析</w:t>
      </w:r>
      <w:bookmarkEnd w:id="288"/>
    </w:p>
    <w:p>
      <w:pPr>
        <w:pStyle w:val="5"/>
        <w:spacing w:before="82" w:after="82"/>
        <w:rPr>
          <w:color w:val="000000" w:themeColor="text1"/>
          <w:highlight w:val="none"/>
        </w:rPr>
      </w:pPr>
      <w:bookmarkStart w:id="289" w:name="_Toc11363"/>
      <w:r>
        <w:rPr>
          <w:color w:val="000000" w:themeColor="text1"/>
          <w:highlight w:val="none"/>
        </w:rPr>
        <w:t>8.5.1</w:t>
      </w:r>
      <w:r>
        <w:rPr>
          <w:rFonts w:ascii="宋体" w:hAnsi="宋体"/>
          <w:color w:val="000000" w:themeColor="text1"/>
          <w:highlight w:val="none"/>
        </w:rPr>
        <w:t>社会效益</w:t>
      </w:r>
      <w:bookmarkEnd w:id="289"/>
    </w:p>
    <w:p>
      <w:pPr>
        <w:rPr>
          <w:color w:val="000000" w:themeColor="text1"/>
          <w:highlight w:val="none"/>
        </w:rPr>
      </w:pPr>
      <w:r>
        <w:rPr>
          <w:color w:val="000000" w:themeColor="text1"/>
          <w:highlight w:val="none"/>
        </w:rPr>
        <w:t>矿山地质环境保护与土地复垦的投入将使项目建设运行产生的不利环境影响得到有效控制，保护项目环境资源，对于维护和改善项目环境质量起到良好作用。复垦后的旱地可以继续由当地村民使用，既有利于促进土地合理利用，又可以增加农业收入，同时又可以改善当地生态环境，有利于当地百姓的身心健康，促进社会的安定团结。所以，</w:t>
      </w:r>
      <w:r>
        <w:rPr>
          <w:rFonts w:hint="eastAsia"/>
          <w:color w:val="000000" w:themeColor="text1"/>
          <w:highlight w:val="none"/>
          <w:lang w:eastAsia="zh-CN"/>
        </w:rPr>
        <w:t>三江镇战旗石灰石矿</w:t>
      </w:r>
      <w:r>
        <w:rPr>
          <w:color w:val="000000" w:themeColor="text1"/>
          <w:highlight w:val="none"/>
        </w:rPr>
        <w:t>的矿山地质环境保护与土地复垦是关心国计民生的大事，不仅对发展生产和</w:t>
      </w:r>
      <w:r>
        <w:rPr>
          <w:rFonts w:hint="eastAsia"/>
          <w:color w:val="000000" w:themeColor="text1"/>
          <w:highlight w:val="none"/>
        </w:rPr>
        <w:t>石灰岩矿</w:t>
      </w:r>
      <w:r>
        <w:rPr>
          <w:color w:val="000000" w:themeColor="text1"/>
          <w:highlight w:val="none"/>
        </w:rPr>
        <w:t>事业有重要意义，而且对全社会的安定团结和稳定发展也有重要意义，它也是保证项目区域可持续发展的重要组成部分，因而具有重要的社会效益。具体如下：</w:t>
      </w:r>
    </w:p>
    <w:p>
      <w:pPr>
        <w:rPr>
          <w:color w:val="000000" w:themeColor="text1"/>
          <w:highlight w:val="none"/>
        </w:rPr>
      </w:pPr>
      <w:r>
        <w:rPr>
          <w:color w:val="000000" w:themeColor="text1"/>
          <w:highlight w:val="none"/>
        </w:rPr>
        <w:t>（1）方案实施后，可以减少露天开采工程带来的滑坡、泥石流等地质灾害，减轻所造成的损失与危害，实现当地社会经济的可持续发展。</w:t>
      </w:r>
    </w:p>
    <w:p>
      <w:pPr>
        <w:rPr>
          <w:color w:val="000000" w:themeColor="text1"/>
          <w:kern w:val="0"/>
          <w:highlight w:val="none"/>
        </w:rPr>
      </w:pPr>
      <w:r>
        <w:rPr>
          <w:color w:val="000000" w:themeColor="text1"/>
          <w:kern w:val="0"/>
          <w:highlight w:val="none"/>
        </w:rPr>
        <w:t>（2）</w:t>
      </w:r>
      <w:r>
        <w:rPr>
          <w:color w:val="000000" w:themeColor="text1"/>
          <w:highlight w:val="none"/>
        </w:rPr>
        <w:t>方案实施后，</w:t>
      </w:r>
      <w:r>
        <w:rPr>
          <w:color w:val="000000" w:themeColor="text1"/>
          <w:kern w:val="0"/>
          <w:highlight w:val="none"/>
        </w:rPr>
        <w:t>矿山地质环境保护与土地复垦需要更多的工作人员，因此也能够为务本乡人民提供更多的就业机会，对于维护社会安定起到了积极的作用。</w:t>
      </w:r>
    </w:p>
    <w:p>
      <w:pPr>
        <w:rPr>
          <w:color w:val="000000" w:themeColor="text1"/>
          <w:highlight w:val="none"/>
        </w:rPr>
      </w:pPr>
      <w:r>
        <w:rPr>
          <w:color w:val="000000" w:themeColor="text1"/>
          <w:highlight w:val="none"/>
        </w:rPr>
        <w:t>（3）方案设施后，将会降低采矿对土地的破坏，以保护有效的土地资源，从而给当地井田人民提供更多的用地，缓解当地人多地少的用地矛盾。</w:t>
      </w:r>
    </w:p>
    <w:p>
      <w:pPr>
        <w:rPr>
          <w:color w:val="000000" w:themeColor="text1"/>
          <w:highlight w:val="none"/>
        </w:rPr>
      </w:pPr>
      <w:r>
        <w:rPr>
          <w:color w:val="000000" w:themeColor="text1"/>
          <w:highlight w:val="none"/>
        </w:rPr>
        <w:t>（4）方案实施后，将促进当地经济的发展，尤其对建材行业有一定促进作用，增加当地财政收入，从而改善当地居民的生活质量。</w:t>
      </w:r>
    </w:p>
    <w:p>
      <w:pPr>
        <w:pStyle w:val="5"/>
        <w:spacing w:before="82" w:after="82"/>
        <w:rPr>
          <w:color w:val="000000" w:themeColor="text1"/>
          <w:highlight w:val="none"/>
        </w:rPr>
      </w:pPr>
      <w:bookmarkStart w:id="290" w:name="_Toc26920"/>
      <w:r>
        <w:rPr>
          <w:color w:val="000000" w:themeColor="text1"/>
          <w:highlight w:val="none"/>
        </w:rPr>
        <w:t>8.5.2</w:t>
      </w:r>
      <w:r>
        <w:rPr>
          <w:rFonts w:ascii="宋体" w:hAnsi="宋体"/>
          <w:color w:val="000000" w:themeColor="text1"/>
          <w:highlight w:val="none"/>
        </w:rPr>
        <w:t>环境效益</w:t>
      </w:r>
      <w:bookmarkEnd w:id="290"/>
    </w:p>
    <w:p>
      <w:pPr>
        <w:rPr>
          <w:color w:val="000000" w:themeColor="text1"/>
          <w:highlight w:val="none"/>
        </w:rPr>
      </w:pPr>
      <w:r>
        <w:rPr>
          <w:color w:val="000000" w:themeColor="text1"/>
          <w:highlight w:val="none"/>
        </w:rPr>
        <w:t>土地是一个自然、经济、社会的综合体，同时也是一个巨大的生态系统。矿山地质环境保护与土地复垦是与生态重建密切结合的</w:t>
      </w:r>
      <w:r>
        <w:rPr>
          <w:rFonts w:hint="eastAsia"/>
          <w:color w:val="000000" w:themeColor="text1"/>
          <w:highlight w:val="none"/>
          <w:lang w:eastAsia="zh-CN"/>
        </w:rPr>
        <w:t>小型</w:t>
      </w:r>
      <w:r>
        <w:rPr>
          <w:color w:val="000000" w:themeColor="text1"/>
          <w:highlight w:val="none"/>
        </w:rPr>
        <w:t>工程。在该地区进行土地复垦与生态重建，对因</w:t>
      </w:r>
      <w:r>
        <w:rPr>
          <w:rFonts w:hint="eastAsia"/>
          <w:color w:val="000000" w:themeColor="text1"/>
          <w:highlight w:val="none"/>
        </w:rPr>
        <w:t>石灰岩矿</w:t>
      </w:r>
      <w:r>
        <w:rPr>
          <w:color w:val="000000" w:themeColor="text1"/>
          <w:highlight w:val="none"/>
        </w:rPr>
        <w:t>开采造成的土地损毁进行治理，其生态意义极其巨大。</w:t>
      </w:r>
    </w:p>
    <w:p>
      <w:pPr>
        <w:rPr>
          <w:color w:val="000000" w:themeColor="text1"/>
          <w:highlight w:val="none"/>
        </w:rPr>
      </w:pPr>
      <w:r>
        <w:rPr>
          <w:color w:val="000000" w:themeColor="text1"/>
          <w:highlight w:val="none"/>
        </w:rPr>
        <w:t>矿山地质环境保护与土地复垦方案</w:t>
      </w:r>
      <w:r>
        <w:rPr>
          <w:rFonts w:hint="eastAsia"/>
          <w:color w:val="000000" w:themeColor="text1"/>
          <w:highlight w:val="none"/>
        </w:rPr>
        <w:t>按照“合理布局、因地制宜”的</w:t>
      </w:r>
      <w:r>
        <w:rPr>
          <w:color w:val="000000" w:themeColor="text1"/>
          <w:highlight w:val="none"/>
        </w:rPr>
        <w:t>原则对生产过程中损毁的土地进行综合治理，建立起新的土地利用生态体系，形成新的人工和自然绿色景观，起到蓄水保土、减轻土地损毁的作用，将使项目区恢复原有的良好生态环境，保持当地植被生态系统间的良性循环，调节区域小气候。</w:t>
      </w:r>
    </w:p>
    <w:p>
      <w:pPr>
        <w:rPr>
          <w:color w:val="000000" w:themeColor="text1"/>
          <w:highlight w:val="none"/>
        </w:rPr>
      </w:pPr>
      <w:r>
        <w:rPr>
          <w:color w:val="000000" w:themeColor="text1"/>
          <w:highlight w:val="none"/>
        </w:rPr>
        <w:t>通过平整土地、改善土壤物化性质、植物种植等具体措施，可以有效改善土地质量，使生态环境趋于平衡，可以得到良好的生态效益。</w:t>
      </w:r>
    </w:p>
    <w:p>
      <w:pPr>
        <w:pStyle w:val="5"/>
        <w:spacing w:before="82" w:after="82"/>
        <w:rPr>
          <w:color w:val="000000" w:themeColor="text1"/>
          <w:highlight w:val="none"/>
        </w:rPr>
      </w:pPr>
      <w:bookmarkStart w:id="291" w:name="_Toc27948"/>
      <w:r>
        <w:rPr>
          <w:color w:val="000000" w:themeColor="text1"/>
          <w:highlight w:val="none"/>
        </w:rPr>
        <w:t>8.5.3</w:t>
      </w:r>
      <w:r>
        <w:rPr>
          <w:rFonts w:ascii="宋体" w:hAnsi="宋体"/>
          <w:color w:val="000000" w:themeColor="text1"/>
          <w:highlight w:val="none"/>
        </w:rPr>
        <w:t>经济效益</w:t>
      </w:r>
      <w:bookmarkEnd w:id="291"/>
    </w:p>
    <w:p>
      <w:pPr>
        <w:rPr>
          <w:color w:val="000000" w:themeColor="text1"/>
          <w:highlight w:val="none"/>
        </w:rPr>
      </w:pPr>
      <w:r>
        <w:rPr>
          <w:color w:val="000000" w:themeColor="text1"/>
          <w:highlight w:val="none"/>
        </w:rPr>
        <w:t>经济效益包括直接经济效益和间接经济效益，由于间接经济效益难以定量，也难以用货币表示，所以土地复垦工程的经济效益主要体现在通过土地复垦工程对土地的再利用带来的农业产值。</w:t>
      </w:r>
    </w:p>
    <w:p>
      <w:pPr>
        <w:rPr>
          <w:color w:val="000000" w:themeColor="text1"/>
          <w:highlight w:val="none"/>
        </w:rPr>
      </w:pPr>
      <w:r>
        <w:rPr>
          <w:color w:val="000000" w:themeColor="text1"/>
          <w:highlight w:val="none"/>
        </w:rPr>
        <w:t>项目拟复垦旱地</w:t>
      </w:r>
      <w:r>
        <w:rPr>
          <w:rFonts w:hint="eastAsia"/>
          <w:color w:val="000000" w:themeColor="text1"/>
          <w:highlight w:val="none"/>
          <w:lang w:eastAsia="zh-CN"/>
        </w:rPr>
        <w:t>8.179</w:t>
      </w:r>
      <w:r>
        <w:rPr>
          <w:color w:val="000000" w:themeColor="text1"/>
          <w:highlight w:val="none"/>
        </w:rPr>
        <w:t>hm</w:t>
      </w:r>
      <w:r>
        <w:rPr>
          <w:color w:val="000000" w:themeColor="text1"/>
          <w:highlight w:val="none"/>
          <w:vertAlign w:val="superscript"/>
        </w:rPr>
        <w:t>2</w:t>
      </w:r>
      <w:r>
        <w:rPr>
          <w:color w:val="000000" w:themeColor="text1"/>
          <w:highlight w:val="none"/>
        </w:rPr>
        <w:t>、</w:t>
      </w:r>
      <w:r>
        <w:rPr>
          <w:rFonts w:hint="eastAsia"/>
          <w:color w:val="000000" w:themeColor="text1"/>
          <w:highlight w:val="none"/>
          <w:lang w:eastAsia="zh-CN"/>
        </w:rPr>
        <w:t>其他草地1.3434</w:t>
      </w:r>
      <w:r>
        <w:rPr>
          <w:color w:val="000000" w:themeColor="text1"/>
          <w:highlight w:val="none"/>
        </w:rPr>
        <w:t>hm</w:t>
      </w:r>
      <w:r>
        <w:rPr>
          <w:color w:val="000000" w:themeColor="text1"/>
          <w:highlight w:val="none"/>
          <w:vertAlign w:val="superscript"/>
        </w:rPr>
        <w:t>2</w:t>
      </w:r>
      <w:r>
        <w:rPr>
          <w:color w:val="000000" w:themeColor="text1"/>
          <w:highlight w:val="none"/>
        </w:rPr>
        <w:t>。复垦后，</w:t>
      </w:r>
      <w:r>
        <w:rPr>
          <w:rFonts w:hint="eastAsia"/>
          <w:color w:val="000000" w:themeColor="text1"/>
          <w:highlight w:val="none"/>
          <w:lang w:eastAsia="zh-CN"/>
        </w:rPr>
        <w:t>乔木林地</w:t>
      </w:r>
      <w:r>
        <w:rPr>
          <w:color w:val="000000" w:themeColor="text1"/>
          <w:highlight w:val="none"/>
        </w:rPr>
        <w:t>以栽植</w:t>
      </w:r>
      <w:r>
        <w:rPr>
          <w:rFonts w:hint="eastAsia"/>
          <w:color w:val="000000" w:themeColor="text1"/>
          <w:highlight w:val="none"/>
          <w:lang w:eastAsia="zh-CN"/>
        </w:rPr>
        <w:t>马尾松</w:t>
      </w:r>
      <w:r>
        <w:rPr>
          <w:color w:val="000000" w:themeColor="text1"/>
          <w:highlight w:val="none"/>
        </w:rPr>
        <w:t>为主。因此，以上述物种对项目区进行经济效益分析，通过对项目区周边种植情况的调查，项目所处地区的乔木平均种植株数为100株/亩。则复垦后项目区农业和林地收入计算见下表：</w:t>
      </w:r>
    </w:p>
    <w:p>
      <w:pPr>
        <w:pStyle w:val="67"/>
        <w:rPr>
          <w:color w:val="000000" w:themeColor="text1"/>
          <w:highlight w:val="none"/>
        </w:rPr>
      </w:pPr>
      <w:r>
        <w:rPr>
          <w:rFonts w:hint="eastAsia"/>
          <w:color w:val="000000" w:themeColor="text1"/>
          <w:highlight w:val="none"/>
        </w:rPr>
        <w:t>表8-</w:t>
      </w:r>
      <w:r>
        <w:rPr>
          <w:rFonts w:hint="eastAsia"/>
          <w:color w:val="000000" w:themeColor="text1"/>
          <w:highlight w:val="none"/>
          <w:lang w:val="en-US" w:eastAsia="zh-CN"/>
        </w:rPr>
        <w:t>1</w:t>
      </w:r>
      <w:r>
        <w:rPr>
          <w:rFonts w:hint="eastAsia"/>
          <w:color w:val="000000" w:themeColor="text1"/>
          <w:highlight w:val="none"/>
        </w:rPr>
        <w:t xml:space="preserve">  复垦后项目区林业收益计算表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43"/>
        <w:gridCol w:w="1042"/>
        <w:gridCol w:w="1134"/>
        <w:gridCol w:w="1134"/>
        <w:gridCol w:w="1134"/>
        <w:gridCol w:w="1275"/>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名称</w:t>
            </w:r>
          </w:p>
        </w:tc>
        <w:tc>
          <w:tcPr>
            <w:tcW w:w="94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面积（亩）</w:t>
            </w:r>
          </w:p>
        </w:tc>
        <w:tc>
          <w:tcPr>
            <w:tcW w:w="1042" w:type="dxa"/>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产量</w:t>
            </w:r>
          </w:p>
          <w:p>
            <w:pPr>
              <w:pStyle w:val="63"/>
              <w:rPr>
                <w:color w:val="000000" w:themeColor="text1"/>
                <w:highlight w:val="none"/>
              </w:rPr>
            </w:pPr>
            <w:r>
              <w:rPr>
                <w:color w:val="000000" w:themeColor="text1"/>
                <w:highlight w:val="none"/>
              </w:rPr>
              <w:t>（株/</w:t>
            </w:r>
            <w:r>
              <w:rPr>
                <w:rFonts w:ascii="宋体" w:hAnsi="宋体"/>
                <w:color w:val="000000" w:themeColor="text1"/>
                <w:highlight w:val="none"/>
              </w:rPr>
              <w:t>亩）</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szCs w:val="21"/>
                <w:highlight w:val="none"/>
              </w:rPr>
            </w:pPr>
            <w:r>
              <w:rPr>
                <w:color w:val="000000" w:themeColor="text1"/>
                <w:highlight w:val="none"/>
              </w:rPr>
              <w:t>单价</w:t>
            </w:r>
          </w:p>
          <w:p>
            <w:pPr>
              <w:pStyle w:val="63"/>
              <w:rPr>
                <w:color w:val="000000" w:themeColor="text1"/>
                <w:highlight w:val="none"/>
              </w:rPr>
            </w:pPr>
            <w:r>
              <w:rPr>
                <w:color w:val="000000" w:themeColor="text1"/>
                <w:highlight w:val="none"/>
              </w:rPr>
              <w:t>（元/</w:t>
            </w:r>
            <w:r>
              <w:rPr>
                <w:rFonts w:ascii="宋体" w:hAnsi="宋体"/>
                <w:color w:val="000000" w:themeColor="text1"/>
                <w:highlight w:val="none"/>
              </w:rPr>
              <w:t>株）</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毛收入（元/</w:t>
            </w:r>
            <w:r>
              <w:rPr>
                <w:rFonts w:ascii="宋体" w:hAnsi="宋体"/>
                <w:color w:val="000000" w:themeColor="text1"/>
                <w:highlight w:val="none"/>
              </w:rPr>
              <w:t>亩）</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生产成本（元/</w:t>
            </w:r>
            <w:r>
              <w:rPr>
                <w:rFonts w:ascii="宋体" w:hAnsi="宋体"/>
                <w:color w:val="000000" w:themeColor="text1"/>
                <w:highlight w:val="none"/>
              </w:rPr>
              <w:t>亩）</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纯收入（元/</w:t>
            </w:r>
            <w:r>
              <w:rPr>
                <w:rFonts w:ascii="宋体" w:hAnsi="宋体"/>
                <w:color w:val="000000" w:themeColor="text1"/>
                <w:highlight w:val="none"/>
              </w:rPr>
              <w:t>亩</w:t>
            </w:r>
            <w:r>
              <w:rPr>
                <w:rFonts w:hint="eastAsia"/>
                <w:color w:val="000000" w:themeColor="text1"/>
                <w:highlight w:val="none"/>
              </w:rPr>
              <w:t>*15</w:t>
            </w:r>
            <w:r>
              <w:rPr>
                <w:rFonts w:hint="eastAsia" w:ascii="宋体" w:hAnsi="宋体"/>
                <w:color w:val="000000" w:themeColor="text1"/>
                <w:highlight w:val="none"/>
              </w:rPr>
              <w:t>年</w:t>
            </w:r>
            <w:r>
              <w:rPr>
                <w:color w:val="000000" w:themeColor="text1"/>
                <w:highlight w:val="none"/>
              </w:rPr>
              <w:t>）</w:t>
            </w:r>
          </w:p>
        </w:tc>
        <w:tc>
          <w:tcPr>
            <w:tcW w:w="1043"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总收入（万元）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817" w:type="dxa"/>
            <w:tcBorders>
              <w:top w:val="single" w:color="auto" w:sz="4" w:space="0"/>
              <w:left w:val="single" w:color="auto" w:sz="4" w:space="0"/>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乔木</w:t>
            </w:r>
          </w:p>
        </w:tc>
        <w:tc>
          <w:tcPr>
            <w:tcW w:w="943" w:type="dxa"/>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122.685</w:t>
            </w:r>
          </w:p>
        </w:tc>
        <w:tc>
          <w:tcPr>
            <w:tcW w:w="1042"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100</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80</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8000</w:t>
            </w:r>
          </w:p>
        </w:tc>
        <w:tc>
          <w:tcPr>
            <w:tcW w:w="1134"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1000</w:t>
            </w:r>
          </w:p>
        </w:tc>
        <w:tc>
          <w:tcPr>
            <w:tcW w:w="1275" w:type="dxa"/>
            <w:tcBorders>
              <w:top w:val="single" w:color="auto" w:sz="4" w:space="0"/>
              <w:left w:val="nil"/>
              <w:bottom w:val="single" w:color="auto" w:sz="4" w:space="0"/>
              <w:right w:val="single" w:color="auto" w:sz="4" w:space="0"/>
            </w:tcBorders>
            <w:vAlign w:val="center"/>
          </w:tcPr>
          <w:p>
            <w:pPr>
              <w:pStyle w:val="63"/>
              <w:rPr>
                <w:color w:val="000000" w:themeColor="text1"/>
                <w:highlight w:val="none"/>
              </w:rPr>
            </w:pPr>
            <w:r>
              <w:rPr>
                <w:color w:val="000000" w:themeColor="text1"/>
                <w:highlight w:val="none"/>
              </w:rPr>
              <w:t>7000</w:t>
            </w:r>
          </w:p>
        </w:tc>
        <w:tc>
          <w:tcPr>
            <w:tcW w:w="1043" w:type="dxa"/>
            <w:tcBorders>
              <w:top w:val="single" w:color="auto" w:sz="4" w:space="0"/>
              <w:left w:val="nil"/>
              <w:bottom w:val="single" w:color="auto" w:sz="4" w:space="0"/>
              <w:right w:val="single" w:color="auto" w:sz="4" w:space="0"/>
            </w:tcBorders>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85.8795</w:t>
            </w:r>
          </w:p>
        </w:tc>
      </w:tr>
    </w:tbl>
    <w:p>
      <w:pPr>
        <w:rPr>
          <w:color w:val="000000" w:themeColor="text1"/>
          <w:highlight w:val="none"/>
        </w:rPr>
      </w:pPr>
      <w:r>
        <w:rPr>
          <w:rFonts w:ascii="宋体" w:hAnsi="宋体"/>
          <w:color w:val="000000" w:themeColor="text1"/>
          <w:highlight w:val="none"/>
        </w:rPr>
        <w:t>通过上述分析，复垦土地净收益为</w:t>
      </w:r>
      <w:r>
        <w:rPr>
          <w:rFonts w:hint="eastAsia"/>
          <w:color w:val="000000" w:themeColor="text1"/>
          <w:highlight w:val="none"/>
          <w:lang w:val="en-US" w:eastAsia="zh-CN"/>
        </w:rPr>
        <w:t>85.8795</w:t>
      </w:r>
      <w:r>
        <w:rPr>
          <w:rFonts w:hint="eastAsia"/>
          <w:color w:val="000000" w:themeColor="text1"/>
          <w:highlight w:val="none"/>
        </w:rPr>
        <w:t>/15</w:t>
      </w:r>
      <w:r>
        <w:rPr>
          <w:color w:val="000000" w:themeColor="text1"/>
          <w:highlight w:val="none"/>
        </w:rPr>
        <w:t>=</w:t>
      </w:r>
      <w:r>
        <w:rPr>
          <w:rFonts w:hint="eastAsia"/>
          <w:color w:val="000000" w:themeColor="text1"/>
          <w:highlight w:val="none"/>
          <w:lang w:val="en-US" w:eastAsia="zh-CN"/>
        </w:rPr>
        <w:t>5.7253</w:t>
      </w:r>
      <w:r>
        <w:rPr>
          <w:rFonts w:ascii="宋体" w:hAnsi="宋体"/>
          <w:color w:val="000000" w:themeColor="text1"/>
          <w:highlight w:val="none"/>
        </w:rPr>
        <w:t>万元</w:t>
      </w:r>
      <w:r>
        <w:rPr>
          <w:rFonts w:hint="eastAsia"/>
          <w:color w:val="000000" w:themeColor="text1"/>
          <w:highlight w:val="none"/>
        </w:rPr>
        <w:t>/</w:t>
      </w:r>
      <w:r>
        <w:rPr>
          <w:rFonts w:hint="eastAsia" w:ascii="宋体" w:hAnsi="宋体"/>
          <w:color w:val="000000" w:themeColor="text1"/>
          <w:highlight w:val="none"/>
        </w:rPr>
        <w:t>年</w:t>
      </w:r>
      <w:r>
        <w:rPr>
          <w:rFonts w:ascii="宋体" w:hAnsi="宋体"/>
          <w:color w:val="000000" w:themeColor="text1"/>
          <w:highlight w:val="none"/>
        </w:rPr>
        <w:t>。</w:t>
      </w:r>
    </w:p>
    <w:p>
      <w:pPr>
        <w:pStyle w:val="4"/>
        <w:spacing w:before="82" w:after="82"/>
        <w:rPr>
          <w:color w:val="000000" w:themeColor="text1"/>
          <w:highlight w:val="none"/>
        </w:rPr>
      </w:pPr>
      <w:bookmarkStart w:id="292" w:name="_Toc2577"/>
      <w:r>
        <w:rPr>
          <w:color w:val="000000" w:themeColor="text1"/>
          <w:highlight w:val="none"/>
        </w:rPr>
        <w:t>8.6</w:t>
      </w:r>
      <w:r>
        <w:rPr>
          <w:rFonts w:ascii="宋体" w:hAnsi="宋体"/>
          <w:color w:val="000000" w:themeColor="text1"/>
          <w:highlight w:val="none"/>
        </w:rPr>
        <w:t>公众参与</w:t>
      </w:r>
      <w:bookmarkEnd w:id="292"/>
    </w:p>
    <w:p>
      <w:pPr>
        <w:rPr>
          <w:color w:val="000000" w:themeColor="text1"/>
          <w:highlight w:val="none"/>
        </w:rPr>
      </w:pPr>
      <w:r>
        <w:rPr>
          <w:color w:val="000000" w:themeColor="text1"/>
          <w:highlight w:val="none"/>
        </w:rPr>
        <w:t>矿山地质环境保护与土地复垦工作是一项涉及到区域社会、经济、环境等多方面发展的重要工程，它不仅是对地质灾害的治理、损毁土地的恢复、再利用过程，也是决定相关权利人利益再分配以及关系到经济社会可持续发展的过程。在研究以及编制本报告的过程中，遵循公众广泛参与的原则，让公众特别是受本项目直接影响的人群充分了解该建设项目的意义，对区域发展的作用和可能给当地社会经济特别是环境方面带来的正面和负面影响，使社会各界形成复垦土地、保护生态的共识，让公众充分发表自己的意见并表明对建设项目的态度，使评价工作更为完善，更好的反映公众的具体要求并反馈到工程设计和土地管理中，为工程建设和主管部门决策提供参考意见。</w:t>
      </w:r>
    </w:p>
    <w:p>
      <w:pPr>
        <w:pStyle w:val="5"/>
        <w:spacing w:before="82" w:after="82"/>
        <w:rPr>
          <w:color w:val="000000" w:themeColor="text1"/>
          <w:highlight w:val="none"/>
        </w:rPr>
      </w:pPr>
      <w:bookmarkStart w:id="293" w:name="_Toc28867"/>
      <w:r>
        <w:rPr>
          <w:color w:val="000000" w:themeColor="text1"/>
          <w:highlight w:val="none"/>
        </w:rPr>
        <w:t>8.6.1方案编制前期的公众参与</w:t>
      </w:r>
      <w:bookmarkEnd w:id="293"/>
    </w:p>
    <w:p>
      <w:pPr>
        <w:rPr>
          <w:color w:val="000000" w:themeColor="text1"/>
          <w:highlight w:val="none"/>
        </w:rPr>
      </w:pPr>
      <w:r>
        <w:rPr>
          <w:color w:val="000000" w:themeColor="text1"/>
          <w:highlight w:val="none"/>
        </w:rPr>
        <w:t>1、现场调查形式与范围</w:t>
      </w:r>
    </w:p>
    <w:p>
      <w:pPr>
        <w:rPr>
          <w:color w:val="000000" w:themeColor="text1"/>
          <w:highlight w:val="none"/>
        </w:rPr>
      </w:pPr>
      <w:r>
        <w:rPr>
          <w:color w:val="000000" w:themeColor="text1"/>
          <w:highlight w:val="none"/>
        </w:rPr>
        <w:t>矿山地质环境保护与土地复垦方案编制人员在公司工作人员的陪同下首先对复垦区进行了走访，现场了解了其现状，针对本项目明确了复垦工作实施的重点。</w:t>
      </w:r>
    </w:p>
    <w:p>
      <w:pPr>
        <w:rPr>
          <w:color w:val="000000" w:themeColor="text1"/>
          <w:highlight w:val="none"/>
        </w:rPr>
      </w:pPr>
      <w:r>
        <w:rPr>
          <w:color w:val="000000" w:themeColor="text1"/>
          <w:highlight w:val="none"/>
        </w:rPr>
        <w:t>为了进一步明确复垦区范围内土地利用现状、权属、土地质量、植被等方面的情况，方案编制人员走访了</w:t>
      </w:r>
      <w:r>
        <w:rPr>
          <w:rFonts w:hint="eastAsia"/>
          <w:color w:val="000000" w:themeColor="text1"/>
          <w:highlight w:val="none"/>
          <w:lang w:eastAsia="zh-CN"/>
        </w:rPr>
        <w:t>广元市</w:t>
      </w:r>
      <w:r>
        <w:rPr>
          <w:color w:val="000000" w:themeColor="text1"/>
          <w:highlight w:val="none"/>
        </w:rPr>
        <w:t>国土资源局、农牧局、林业局等单位，向相关人员做了较为全面的了解，确定了基本的方案编制思路和框架。并以问卷调查的方式征求了各主管部门对土地复垦方案中涉及到的复垦方向，措施、选用植物等方面的意见。</w:t>
      </w:r>
    </w:p>
    <w:p>
      <w:pPr>
        <w:rPr>
          <w:color w:val="000000" w:themeColor="text1"/>
          <w:highlight w:val="none"/>
        </w:rPr>
      </w:pPr>
      <w:r>
        <w:rPr>
          <w:color w:val="000000" w:themeColor="text1"/>
          <w:highlight w:val="none"/>
        </w:rPr>
        <w:t>最后，走访了项目所在地，方案编制人员和村民谈到了矿山生产对土地的损毁和对当地环境的影响，准备采取的治理复垦措施，听取了当地土地权利人的意见和建议，并填写了问卷调查表。</w:t>
      </w:r>
    </w:p>
    <w:p>
      <w:pPr>
        <w:rPr>
          <w:color w:val="000000" w:themeColor="text1"/>
          <w:highlight w:val="none"/>
        </w:rPr>
      </w:pPr>
      <w:r>
        <w:rPr>
          <w:color w:val="000000" w:themeColor="text1"/>
          <w:highlight w:val="none"/>
        </w:rPr>
        <w:t>2、调查问卷统计分析</w:t>
      </w:r>
    </w:p>
    <w:p>
      <w:pPr>
        <w:rPr>
          <w:color w:val="000000" w:themeColor="text1"/>
          <w:highlight w:val="none"/>
        </w:rPr>
      </w:pPr>
      <w:r>
        <w:rPr>
          <w:color w:val="000000" w:themeColor="text1"/>
          <w:highlight w:val="none"/>
        </w:rPr>
        <w:t>本次公众参与共走访和发放调查表</w:t>
      </w:r>
      <w:r>
        <w:rPr>
          <w:rFonts w:hint="eastAsia"/>
          <w:color w:val="000000" w:themeColor="text1"/>
          <w:highlight w:val="none"/>
          <w:lang w:val="en-US" w:eastAsia="zh-CN"/>
        </w:rPr>
        <w:t>10</w:t>
      </w:r>
      <w:r>
        <w:rPr>
          <w:color w:val="000000" w:themeColor="text1"/>
          <w:highlight w:val="none"/>
        </w:rPr>
        <w:t>份，收回有效调查表</w:t>
      </w:r>
      <w:r>
        <w:rPr>
          <w:rFonts w:hint="eastAsia"/>
          <w:color w:val="000000" w:themeColor="text1"/>
          <w:highlight w:val="none"/>
        </w:rPr>
        <w:t>10</w:t>
      </w:r>
      <w:r>
        <w:rPr>
          <w:color w:val="000000" w:themeColor="text1"/>
          <w:highlight w:val="none"/>
        </w:rPr>
        <w:t>份，回收率100%，问卷有效率100%。通过对收回的有效调查表进行统计分析，获得公众对本项目的意见。</w:t>
      </w:r>
    </w:p>
    <w:p>
      <w:pPr>
        <w:rPr>
          <w:color w:val="000000" w:themeColor="text1"/>
          <w:highlight w:val="none"/>
        </w:rPr>
      </w:pPr>
      <w:r>
        <w:rPr>
          <w:color w:val="000000" w:themeColor="text1"/>
          <w:highlight w:val="none"/>
        </w:rPr>
        <w:t>3、公众意见分析</w:t>
      </w:r>
    </w:p>
    <w:p>
      <w:pPr>
        <w:rPr>
          <w:color w:val="000000" w:themeColor="text1"/>
          <w:highlight w:val="none"/>
        </w:rPr>
      </w:pPr>
      <w:r>
        <w:rPr>
          <w:color w:val="000000" w:themeColor="text1"/>
          <w:highlight w:val="none"/>
        </w:rPr>
        <w:t>调查结果显示，公众对土地复垦工作抱着积极参与的态度，项目建设符合当地群众的意愿。本项目的公众参与调查，提出了对土地复垦方向与生态环境建设的建议和要求，他们希望通过土地复垦能够改善当地的生活环境；他们还希望矿山项目继续重视实施，抓好管理，在下一步工作中进一步开展公众参与活动，保证项目能顺利实施并实现项目建设的经济效益、社会效益和环境效益的统一，发展经济的同时注意环境保护，最终达到提高人民生活质量的目的。</w:t>
      </w:r>
    </w:p>
    <w:p>
      <w:pPr>
        <w:rPr>
          <w:color w:val="000000" w:themeColor="text1"/>
          <w:highlight w:val="none"/>
        </w:rPr>
      </w:pPr>
      <w:r>
        <w:rPr>
          <w:color w:val="000000" w:themeColor="text1"/>
          <w:highlight w:val="none"/>
        </w:rPr>
        <w:t>公众意见总结如下：</w:t>
      </w:r>
    </w:p>
    <w:p>
      <w:pPr>
        <w:rPr>
          <w:color w:val="000000" w:themeColor="text1"/>
          <w:highlight w:val="none"/>
        </w:rPr>
      </w:pPr>
      <w:r>
        <w:rPr>
          <w:color w:val="000000" w:themeColor="text1"/>
          <w:highlight w:val="none"/>
        </w:rPr>
        <w:t>公司工作人员与编制人员共同讨论了项目区生产中的土地复垦工作的开展情况，还听取了当地相关部门领导、专家以及土地权属人的意见和建议，大致归纳为以下几点：</w:t>
      </w:r>
    </w:p>
    <w:p>
      <w:pPr>
        <w:rPr>
          <w:color w:val="000000" w:themeColor="text1"/>
          <w:highlight w:val="none"/>
        </w:rPr>
      </w:pPr>
      <w:r>
        <w:rPr>
          <w:color w:val="000000" w:themeColor="text1"/>
          <w:highlight w:val="none"/>
        </w:rPr>
        <w:t>（1）项目对当地居民生活无不可承受的负面影响，当地居民支持矿区生产、建设。</w:t>
      </w:r>
    </w:p>
    <w:p>
      <w:pPr>
        <w:rPr>
          <w:color w:val="000000" w:themeColor="text1"/>
          <w:highlight w:val="none"/>
        </w:rPr>
      </w:pPr>
      <w:r>
        <w:rPr>
          <w:color w:val="000000" w:themeColor="text1"/>
          <w:highlight w:val="none"/>
        </w:rPr>
        <w:t>（2）土地复垦方向要结合土地损毁的实际情况，同时要与土地利用总体规划衔接；</w:t>
      </w:r>
    </w:p>
    <w:p>
      <w:pPr>
        <w:rPr>
          <w:color w:val="000000" w:themeColor="text1"/>
          <w:highlight w:val="none"/>
        </w:rPr>
      </w:pPr>
      <w:r>
        <w:rPr>
          <w:color w:val="000000" w:themeColor="text1"/>
          <w:highlight w:val="none"/>
        </w:rPr>
        <w:t>（3）对损毁的区域复垦并进行监测，及时掌握土地损毁面积、程度等信息；</w:t>
      </w:r>
    </w:p>
    <w:p>
      <w:pPr>
        <w:rPr>
          <w:color w:val="000000" w:themeColor="text1"/>
          <w:highlight w:val="none"/>
        </w:rPr>
      </w:pPr>
      <w:r>
        <w:rPr>
          <w:color w:val="000000" w:themeColor="text1"/>
          <w:highlight w:val="none"/>
        </w:rPr>
        <w:t>（4）耕地复垦后质量要有所提高，使得复垦后的农作物产量不低于当地水平；</w:t>
      </w:r>
    </w:p>
    <w:p>
      <w:pPr>
        <w:rPr>
          <w:color w:val="000000" w:themeColor="text1"/>
          <w:highlight w:val="none"/>
        </w:rPr>
      </w:pPr>
      <w:r>
        <w:rPr>
          <w:color w:val="000000" w:themeColor="text1"/>
          <w:highlight w:val="none"/>
        </w:rPr>
        <w:t>（5）建议</w:t>
      </w:r>
      <w:r>
        <w:rPr>
          <w:rFonts w:hint="eastAsia"/>
          <w:color w:val="000000" w:themeColor="text1"/>
          <w:highlight w:val="none"/>
          <w:lang w:eastAsia="zh-CN"/>
        </w:rPr>
        <w:t>旺苍县华隆建材有限公司</w:t>
      </w:r>
      <w:r>
        <w:rPr>
          <w:color w:val="000000" w:themeColor="text1"/>
          <w:highlight w:val="none"/>
        </w:rPr>
        <w:t>在复垦过程中要注意植被的恢复和管护，在植物的选择方面建议选择当地目前常用的</w:t>
      </w:r>
      <w:r>
        <w:rPr>
          <w:rFonts w:hint="eastAsia"/>
          <w:color w:val="000000" w:themeColor="text1"/>
          <w:highlight w:val="none"/>
        </w:rPr>
        <w:t>马尾松</w:t>
      </w:r>
      <w:r>
        <w:rPr>
          <w:color w:val="000000" w:themeColor="text1"/>
          <w:highlight w:val="none"/>
        </w:rPr>
        <w:t>为当地植被恢复的首选树种、狗牙根、爬山虎、高压毛、黑麦草等。</w:t>
      </w:r>
    </w:p>
    <w:p>
      <w:pPr>
        <w:rPr>
          <w:color w:val="000000" w:themeColor="text1"/>
          <w:highlight w:val="none"/>
        </w:rPr>
      </w:pPr>
      <w:r>
        <w:rPr>
          <w:color w:val="000000" w:themeColor="text1"/>
          <w:highlight w:val="none"/>
        </w:rPr>
        <w:t>（6）植被种植密度，根据当地林业部门提供意见，建议采用</w:t>
      </w:r>
      <w:r>
        <w:rPr>
          <w:rFonts w:hint="eastAsia"/>
          <w:color w:val="000000" w:themeColor="text1"/>
          <w:highlight w:val="none"/>
          <w:lang w:eastAsia="zh-CN"/>
        </w:rPr>
        <w:t>蔷薇</w:t>
      </w:r>
      <w:r>
        <w:rPr>
          <w:color w:val="000000" w:themeColor="text1"/>
          <w:highlight w:val="none"/>
        </w:rPr>
        <w:t>绿化边坡，采用</w:t>
      </w:r>
      <w:r>
        <w:rPr>
          <w:rFonts w:hint="eastAsia"/>
          <w:color w:val="000000" w:themeColor="text1"/>
          <w:highlight w:val="none"/>
        </w:rPr>
        <w:t>马尾松</w:t>
      </w:r>
      <w:r>
        <w:rPr>
          <w:color w:val="000000" w:themeColor="text1"/>
          <w:highlight w:val="none"/>
        </w:rPr>
        <w:t>种植增加社会效益，</w:t>
      </w:r>
      <w:r>
        <w:rPr>
          <w:rFonts w:hint="eastAsia"/>
          <w:color w:val="000000" w:themeColor="text1"/>
          <w:highlight w:val="none"/>
          <w:lang w:eastAsia="zh-CN"/>
        </w:rPr>
        <w:t>蔷薇</w:t>
      </w:r>
      <w:r>
        <w:rPr>
          <w:color w:val="000000" w:themeColor="text1"/>
          <w:highlight w:val="none"/>
        </w:rPr>
        <w:t>株距</w:t>
      </w:r>
      <w:r>
        <w:rPr>
          <w:rFonts w:hint="eastAsia"/>
          <w:color w:val="000000" w:themeColor="text1"/>
          <w:highlight w:val="none"/>
          <w:lang w:val="en-US" w:eastAsia="zh-CN"/>
        </w:rPr>
        <w:t>1</w:t>
      </w:r>
      <w:r>
        <w:rPr>
          <w:color w:val="000000" w:themeColor="text1"/>
          <w:highlight w:val="none"/>
        </w:rPr>
        <w:t>m/株，马尾松</w:t>
      </w:r>
      <w:r>
        <w:rPr>
          <w:rFonts w:hint="eastAsia"/>
          <w:color w:val="000000" w:themeColor="text1"/>
          <w:highlight w:val="none"/>
        </w:rPr>
        <w:t>2×2</w:t>
      </w:r>
      <w:r>
        <w:rPr>
          <w:color w:val="000000" w:themeColor="text1"/>
          <w:highlight w:val="none"/>
        </w:rPr>
        <w:t>m/株此密度栽植效果最好，种植成活率最高。</w:t>
      </w:r>
    </w:p>
    <w:p>
      <w:pPr>
        <w:pStyle w:val="5"/>
        <w:spacing w:before="82" w:after="82"/>
        <w:rPr>
          <w:color w:val="000000" w:themeColor="text1"/>
          <w:highlight w:val="none"/>
        </w:rPr>
      </w:pPr>
      <w:bookmarkStart w:id="294" w:name="_Toc7166"/>
      <w:r>
        <w:rPr>
          <w:color w:val="000000" w:themeColor="text1"/>
          <w:highlight w:val="none"/>
        </w:rPr>
        <w:t>8.6.2方案编制期间的公众参与</w:t>
      </w:r>
      <w:bookmarkEnd w:id="294"/>
    </w:p>
    <w:p>
      <w:pPr>
        <w:rPr>
          <w:color w:val="000000" w:themeColor="text1"/>
          <w:highlight w:val="none"/>
        </w:rPr>
      </w:pPr>
      <w:r>
        <w:rPr>
          <w:color w:val="000000" w:themeColor="text1"/>
          <w:highlight w:val="none"/>
        </w:rPr>
        <w:t>1、编制过程中的公众参与</w:t>
      </w:r>
    </w:p>
    <w:p>
      <w:pPr>
        <w:rPr>
          <w:color w:val="000000" w:themeColor="text1"/>
          <w:highlight w:val="none"/>
        </w:rPr>
      </w:pPr>
      <w:r>
        <w:rPr>
          <w:color w:val="000000" w:themeColor="text1"/>
          <w:highlight w:val="none"/>
        </w:rPr>
        <w:t>为了保证方案的切实可行性，编制人员在编制过程中一直通过电话、邮件及现场交流等方式保持与</w:t>
      </w:r>
      <w:r>
        <w:rPr>
          <w:rFonts w:hint="eastAsia"/>
          <w:color w:val="000000" w:themeColor="text1"/>
          <w:highlight w:val="none"/>
          <w:lang w:eastAsia="zh-CN"/>
        </w:rPr>
        <w:t>旺苍县华隆建材有限公司</w:t>
      </w:r>
      <w:r>
        <w:rPr>
          <w:color w:val="000000" w:themeColor="text1"/>
          <w:highlight w:val="none"/>
        </w:rPr>
        <w:t>、当地相关主管部门及土地使用权人的联系。</w:t>
      </w:r>
    </w:p>
    <w:p>
      <w:pPr>
        <w:rPr>
          <w:color w:val="000000" w:themeColor="text1"/>
          <w:highlight w:val="none"/>
        </w:rPr>
      </w:pPr>
      <w:r>
        <w:rPr>
          <w:color w:val="000000" w:themeColor="text1"/>
          <w:highlight w:val="none"/>
        </w:rPr>
        <w:t>编制人员充分考虑并接受了当地走访调查收集意见，确定了基本的方案编制思路和框架，同时，确保了方案制定的复垦方向与复垦标准既体现土地权属人的意愿，又符合当地土地利用总体规划。报告编制过程中采纳了汇总的群众意见，具体意见采纳情况如下：</w:t>
      </w:r>
    </w:p>
    <w:p>
      <w:pPr>
        <w:rPr>
          <w:color w:val="000000" w:themeColor="text1"/>
          <w:highlight w:val="none"/>
        </w:rPr>
      </w:pPr>
      <w:r>
        <w:rPr>
          <w:color w:val="000000" w:themeColor="text1"/>
          <w:highlight w:val="none"/>
        </w:rPr>
        <w:t>（1）方案中除了针对土地损毁情况进行适宜性评价外，充分考虑了与土地利用总体规划的衔接，二者结合确定最终的复垦方向。</w:t>
      </w:r>
    </w:p>
    <w:p>
      <w:pPr>
        <w:rPr>
          <w:color w:val="000000" w:themeColor="text1"/>
          <w:highlight w:val="none"/>
        </w:rPr>
      </w:pPr>
      <w:r>
        <w:rPr>
          <w:color w:val="000000" w:themeColor="text1"/>
          <w:highlight w:val="none"/>
        </w:rPr>
        <w:t>（2）方案在复垦措施和复垦标准的制定时，充分结合了当地实际情况，采取了有针对性的</w:t>
      </w:r>
      <w:r>
        <w:rPr>
          <w:rFonts w:hint="eastAsia"/>
          <w:color w:val="000000" w:themeColor="text1"/>
          <w:highlight w:val="none"/>
        </w:rPr>
        <w:t>、</w:t>
      </w:r>
      <w:r>
        <w:rPr>
          <w:color w:val="000000" w:themeColor="text1"/>
          <w:highlight w:val="none"/>
        </w:rPr>
        <w:t>可行的复垦措施，制定复垦标准时也结合了当地的林地复垦种植经验和农作物生产水平。</w:t>
      </w:r>
    </w:p>
    <w:p>
      <w:pPr>
        <w:rPr>
          <w:color w:val="000000" w:themeColor="text1"/>
          <w:highlight w:val="none"/>
        </w:rPr>
      </w:pPr>
      <w:r>
        <w:rPr>
          <w:color w:val="000000" w:themeColor="text1"/>
          <w:highlight w:val="none"/>
        </w:rPr>
        <w:t>（3）方案中设计在整个复垦过程中设置土地损毁监测和植被覆盖率监测的措施，通过监测，及时了解损毁土地状况及复垦后的土地质量，以达到尽快恢复和改善项目区生态环境的目的。</w:t>
      </w:r>
    </w:p>
    <w:p>
      <w:pPr>
        <w:rPr>
          <w:color w:val="000000" w:themeColor="text1"/>
          <w:highlight w:val="none"/>
        </w:rPr>
      </w:pPr>
      <w:r>
        <w:rPr>
          <w:color w:val="000000" w:themeColor="text1"/>
          <w:highlight w:val="none"/>
        </w:rPr>
        <w:t>综上，该结果体现土地权属人的意愿，而避免日后方案实施阶段可能出现的各种矛盾，提高了方案的可操作性。</w:t>
      </w:r>
    </w:p>
    <w:p>
      <w:pPr>
        <w:rPr>
          <w:color w:val="000000" w:themeColor="text1"/>
          <w:highlight w:val="none"/>
        </w:rPr>
      </w:pPr>
      <w:r>
        <w:rPr>
          <w:color w:val="000000" w:themeColor="text1"/>
          <w:highlight w:val="none"/>
        </w:rPr>
        <w:t>2、方案编制基本完成时</w:t>
      </w:r>
    </w:p>
    <w:p>
      <w:pPr>
        <w:rPr>
          <w:color w:val="000000" w:themeColor="text1"/>
          <w:highlight w:val="none"/>
        </w:rPr>
      </w:pPr>
      <w:r>
        <w:rPr>
          <w:color w:val="000000" w:themeColor="text1"/>
          <w:highlight w:val="none"/>
        </w:rPr>
        <w:t>方案编制人员回到复垦区现场，向土地权属人和相关部门展示土地复垦方案报告书初稿，向公司征求意见。土地权属人和相关部门对土地复垦方案内容基本认可。公司土地复垦管理小组对方案进行了认真的审查，提出一些实际性意见和建议便于后续复垦工作的顺利开展和实施。针对当地国土资源局的技术人员对方案提出的个别异议，我方编制人员作出了详细解答，并根据其合理意见进行修改完善，使得复垦方案得到了充分认可。最终，土地复垦方案报告书得到了当地国土资源局的审查意见，同意报上级主管部门审查（详见附件）。</w:t>
      </w:r>
    </w:p>
    <w:p>
      <w:pPr>
        <w:pStyle w:val="5"/>
        <w:spacing w:before="82" w:after="82"/>
        <w:rPr>
          <w:color w:val="000000" w:themeColor="text1"/>
          <w:highlight w:val="none"/>
        </w:rPr>
      </w:pPr>
      <w:bookmarkStart w:id="295" w:name="_Toc30213"/>
      <w:r>
        <w:rPr>
          <w:color w:val="000000" w:themeColor="text1"/>
          <w:highlight w:val="none"/>
        </w:rPr>
        <w:t>8.6.3方案实施过程中的全程全面参与计划</w:t>
      </w:r>
      <w:bookmarkEnd w:id="295"/>
    </w:p>
    <w:p>
      <w:pPr>
        <w:rPr>
          <w:color w:val="000000" w:themeColor="text1"/>
          <w:highlight w:val="none"/>
        </w:rPr>
      </w:pPr>
      <w:r>
        <w:rPr>
          <w:color w:val="000000" w:themeColor="text1"/>
          <w:highlight w:val="none"/>
        </w:rPr>
        <w:t>地质环境保护与土地复垦工作是一项长期的工作，为了使广大公众能真正参与到方案编制与实施各阶段，体现全面参与、全程参与的特点，在项目实施和验收阶段还将广泛征求公众的意见。</w:t>
      </w:r>
    </w:p>
    <w:p>
      <w:pPr>
        <w:rPr>
          <w:color w:val="000000" w:themeColor="text1"/>
          <w:highlight w:val="none"/>
        </w:rPr>
      </w:pPr>
      <w:r>
        <w:rPr>
          <w:color w:val="000000" w:themeColor="text1"/>
          <w:highlight w:val="none"/>
        </w:rPr>
        <w:t>1、项目实施阶段</w:t>
      </w:r>
    </w:p>
    <w:p>
      <w:pPr>
        <w:rPr>
          <w:color w:val="000000" w:themeColor="text1"/>
          <w:highlight w:val="none"/>
        </w:rPr>
      </w:pPr>
      <w:r>
        <w:rPr>
          <w:color w:val="000000" w:themeColor="text1"/>
          <w:highlight w:val="none"/>
        </w:rPr>
        <w:t>地质环境保护与土地复垦方案是否能落到实处、是否能体现国家对地质环境保护与土地复垦进行干预、管理的意志，最终体现在实施。</w:t>
      </w:r>
    </w:p>
    <w:p>
      <w:pPr>
        <w:rPr>
          <w:color w:val="000000" w:themeColor="text1"/>
          <w:highlight w:val="none"/>
        </w:rPr>
      </w:pPr>
      <w:r>
        <w:rPr>
          <w:color w:val="000000" w:themeColor="text1"/>
          <w:highlight w:val="none"/>
        </w:rPr>
        <w:t>公司将于每年12月31日前向县级以上地方人民政府国土资源主管部门报告当年的土地损毁情况、地质环境保护与土地复垦费用使用情况以及地质环境保护与土地复垦工程实施情况，并定期（至少每个复垦阶段进行一次）邀请当地自然资源局组织有关专家对复垦措施的可行性、工程设计的合理性、植被恢复成活率、植被覆盖率等进行现场考察，全程动态监测实施效果及其进度。</w:t>
      </w:r>
    </w:p>
    <w:p>
      <w:pPr>
        <w:rPr>
          <w:color w:val="000000" w:themeColor="text1"/>
          <w:highlight w:val="none"/>
        </w:rPr>
      </w:pPr>
      <w:r>
        <w:rPr>
          <w:color w:val="000000" w:themeColor="text1"/>
          <w:highlight w:val="none"/>
        </w:rPr>
        <w:t>邀请土地权属人全程参与复垦工作，对每个阶段复垦工作的实施进度及复垦效果进行监督和随机抽查，实时就现场施工过程的问题与公司及相关主管部门进行沟通、协商，确保复垦工作高效开展。方案实施阶段将招募当地居民参加复垦工作，一方面解决了其就业问题，另一方面当地居民亲自参与复垦工作，可为复垦方案的修订提供基础信息和依据。</w:t>
      </w:r>
    </w:p>
    <w:p>
      <w:pPr>
        <w:rPr>
          <w:color w:val="000000" w:themeColor="text1"/>
          <w:highlight w:val="none"/>
        </w:rPr>
      </w:pPr>
      <w:r>
        <w:rPr>
          <w:color w:val="000000" w:themeColor="text1"/>
          <w:highlight w:val="none"/>
        </w:rPr>
        <w:t>2、项目验收阶段</w:t>
      </w:r>
    </w:p>
    <w:p>
      <w:pPr>
        <w:rPr>
          <w:color w:val="000000" w:themeColor="text1"/>
          <w:highlight w:val="none"/>
        </w:rPr>
      </w:pPr>
      <w:r>
        <w:rPr>
          <w:color w:val="000000" w:themeColor="text1"/>
          <w:highlight w:val="none"/>
        </w:rPr>
        <w:t>每一复垦阶段复垦工作结束后，公司将邀请当地国土主管部门及相关单位与领域内专家及时进行现场踏勘，查验复垦后的土地是否符合土地复垦标准以及土地复垦方案、土地复垦阶段性实施方案的要求，核实复垦后的土地类型、面积等情况。其次，总结已有复垦经验，并根据周围环境改变，相关的土地复垦技术进步等因素，广泛听取专家、群众及相关主管部门的意见，对下一步的复垦工作进行调整。其间，选取有一定知识水平的土地权属人全程参与项目验收阶段的监督工作。</w:t>
      </w:r>
    </w:p>
    <w:p>
      <w:pPr>
        <w:rPr>
          <w:color w:val="000000" w:themeColor="text1"/>
          <w:highlight w:val="none"/>
        </w:rPr>
      </w:pPr>
      <w:r>
        <w:rPr>
          <w:color w:val="000000" w:themeColor="text1"/>
          <w:highlight w:val="none"/>
        </w:rPr>
        <w:t>（1）土地复垦验收合格的，且相关权利人对土地复垦完成情况没有异议的，负责组织验收的国土资源主管部门应当向土地复垦义务人出具验收合格确认书。国土资源主管部门应当将土地复垦验收合格确认书及其验收情况向当地相关权利人公告，接受监督。</w:t>
      </w:r>
    </w:p>
    <w:p>
      <w:pPr>
        <w:rPr>
          <w:color w:val="000000" w:themeColor="text1"/>
          <w:highlight w:val="none"/>
        </w:rPr>
      </w:pPr>
      <w:r>
        <w:rPr>
          <w:color w:val="000000" w:themeColor="text1"/>
          <w:highlight w:val="none"/>
        </w:rPr>
        <w:t>（2）土地复垦验收不合格的，负责组织验收的国土资源主管部门应当向土地复垦义务人出具书面整改意见，列明需要整改的事项。土地复垦义务人整改完成后应当重新申请验收。经整改仍不合格的，土地复垦义务人应当依照土地复垦条例缴纳土地复垦费，由有关国土资源主管部门代为组织复垦。</w:t>
      </w:r>
    </w:p>
    <w:p>
      <w:pPr>
        <w:rPr>
          <w:color w:val="000000" w:themeColor="text1"/>
          <w:highlight w:val="none"/>
        </w:rPr>
      </w:pPr>
      <w:r>
        <w:rPr>
          <w:color w:val="000000" w:themeColor="text1"/>
          <w:highlight w:val="none"/>
        </w:rPr>
        <w:t>公司承诺对公众提出的意见和建议积极接收并采纳，并在建设和生产期间高度重视地质环境保护与土地复垦工作，确保项目建设和环境保护同步协调发展。核查验收从矿区第一期地质环境保护与复垦结束后开始，分阶段对本方案的全部地质环境保护与复垦工作进行动态跟踪核查验收，以确保能够达到预期的复垦效果。</w:t>
      </w:r>
    </w:p>
    <w:p>
      <w:pPr>
        <w:pStyle w:val="5"/>
        <w:spacing w:before="82" w:after="82"/>
        <w:rPr>
          <w:color w:val="000000" w:themeColor="text1"/>
          <w:highlight w:val="none"/>
        </w:rPr>
      </w:pPr>
      <w:bookmarkStart w:id="296" w:name="_Toc52178403"/>
      <w:bookmarkStart w:id="297" w:name="_Toc10170"/>
      <w:r>
        <w:rPr>
          <w:rFonts w:hint="eastAsia"/>
          <w:color w:val="000000" w:themeColor="text1"/>
          <w:highlight w:val="none"/>
        </w:rPr>
        <w:t>8.6.4地质灾害监测预警与群测群防</w:t>
      </w:r>
      <w:bookmarkEnd w:id="296"/>
      <w:bookmarkEnd w:id="297"/>
    </w:p>
    <w:p>
      <w:pPr>
        <w:ind w:firstLine="482"/>
        <w:rPr>
          <w:b/>
          <w:color w:val="000000" w:themeColor="text1"/>
          <w:highlight w:val="none"/>
        </w:rPr>
      </w:pPr>
      <w:r>
        <w:rPr>
          <w:rFonts w:hint="eastAsia"/>
          <w:b/>
          <w:color w:val="000000" w:themeColor="text1"/>
          <w:highlight w:val="none"/>
        </w:rPr>
        <w:t>1、监测预警</w:t>
      </w:r>
    </w:p>
    <w:p>
      <w:pPr>
        <w:rPr>
          <w:color w:val="000000" w:themeColor="text1"/>
          <w:highlight w:val="none"/>
        </w:rPr>
      </w:pPr>
      <w:r>
        <w:rPr>
          <w:rFonts w:hint="eastAsia"/>
          <w:color w:val="000000" w:themeColor="text1"/>
          <w:highlight w:val="none"/>
        </w:rPr>
        <w:t>矿山企业应建立完善地质灾害监测预警系统，本矿山主要存在的地质灾害隐患未崩塌、滑坡和未知的山洪泥石流灾害，矿山企业应定期组织专业单位开展地质灾害隐患排查和巡查，了解矿区范围内地质灾害类型、分布情况以及变形状态，并建立台账管理。同时矿山内部应安排安全员通过野外巡查了解边坡位移情况，在汛期应加强与当地自然资源、应急、气象、水务、人民政府等部门的联系，确保信息的互联互通，矿山企业要高度重视气象部门发出的山洪等地质灾害预警信号。加大对监测人员的职业能力培训，做到规范监测措施手段和频率，力争及时预警，并主动提前转移受威胁的对象。</w:t>
      </w:r>
    </w:p>
    <w:p>
      <w:pPr>
        <w:ind w:firstLine="482"/>
        <w:rPr>
          <w:b/>
          <w:highlight w:val="none"/>
        </w:rPr>
      </w:pPr>
      <w:r>
        <w:rPr>
          <w:rFonts w:hint="eastAsia"/>
          <w:b/>
          <w:highlight w:val="none"/>
        </w:rPr>
        <w:t>2、群测群防</w:t>
      </w:r>
    </w:p>
    <w:p>
      <w:pPr>
        <w:rPr>
          <w:color w:val="000000" w:themeColor="text1"/>
          <w:highlight w:val="none"/>
        </w:rPr>
      </w:pPr>
      <w:r>
        <w:rPr>
          <w:rFonts w:hint="eastAsia"/>
          <w:color w:val="000000" w:themeColor="text1"/>
          <w:highlight w:val="none"/>
        </w:rPr>
        <w:t>矿山企业应专门投入经费，委托专业机构、采用专业技术对地质灾害防治进行监控，加强对矿山企业的干部职工、专兼职监测人员山洪和地质灾害的宣传培训，每年汛前安排应急演练，强化防灾减灾意识。矿山企业应主动与当地自然资源、应急、气象、水务、人民政府等部门沟通，依靠行业部门提升防灾减灾能力。同时建立地质灾害群测群防体系。</w:t>
      </w:r>
    </w:p>
    <w:p>
      <w:pPr>
        <w:rPr>
          <w:color w:val="000000" w:themeColor="text1"/>
          <w:highlight w:val="none"/>
        </w:rPr>
      </w:pPr>
      <w:r>
        <w:rPr>
          <w:rFonts w:hint="eastAsia"/>
          <w:color w:val="000000" w:themeColor="text1"/>
          <w:highlight w:val="none"/>
        </w:rPr>
        <w:t>（1）地质灾害群测群防体系构成</w:t>
      </w:r>
    </w:p>
    <w:p>
      <w:pPr>
        <w:rPr>
          <w:color w:val="000000" w:themeColor="text1"/>
          <w:highlight w:val="none"/>
        </w:rPr>
      </w:pPr>
      <w:r>
        <w:rPr>
          <w:rFonts w:hint="eastAsia"/>
          <w:color w:val="000000" w:themeColor="text1"/>
          <w:highlight w:val="none"/>
        </w:rPr>
        <w:t>矿山企业成立地质灾害群测群防领导小组。领导小组成员应为矿山主要负责人、安全管理人员及有关负责人组成，并明确领导小组的职能、职责和工作方法，确定相关的监测人员，确保每个地质灾害隐患点都有专门的人员在进行监测管理。</w:t>
      </w:r>
    </w:p>
    <w:p>
      <w:pPr>
        <w:rPr>
          <w:color w:val="000000" w:themeColor="text1"/>
          <w:highlight w:val="none"/>
        </w:rPr>
      </w:pPr>
      <w:r>
        <w:rPr>
          <w:rFonts w:hint="eastAsia"/>
          <w:color w:val="000000" w:themeColor="text1"/>
          <w:highlight w:val="none"/>
        </w:rPr>
        <w:t>矿山企业的地质灾害群测群防领导小组成立后，应加强与当地村级、乡级和县市级群测群防主管部门的沟通联络，积极汇报有关工作。同时矿山企业在开展地质灾害群测群防相关工作时，应确保现场监测人员熟悉工作流程，在发现异常后应该向谁汇报、采取怎样的处置措施，在确保自身安全的同时，尽量将损失降到最小。</w:t>
      </w:r>
    </w:p>
    <w:p>
      <w:pPr>
        <w:rPr>
          <w:color w:val="000000" w:themeColor="text1"/>
          <w:highlight w:val="none"/>
        </w:rPr>
      </w:pPr>
      <w:r>
        <w:rPr>
          <w:rFonts w:hint="eastAsia"/>
          <w:color w:val="000000" w:themeColor="text1"/>
          <w:highlight w:val="none"/>
        </w:rPr>
        <w:t>（2）矿山群测群防领导小组职责</w:t>
      </w:r>
    </w:p>
    <w:p>
      <w:pPr>
        <w:rPr>
          <w:color w:val="000000" w:themeColor="text1"/>
          <w:highlight w:val="none"/>
        </w:rPr>
      </w:pPr>
      <w:r>
        <w:rPr>
          <w:rFonts w:hint="eastAsia"/>
          <w:color w:val="000000" w:themeColor="text1"/>
          <w:highlight w:val="none"/>
        </w:rPr>
        <w:t>对本矿区内隐患区进行巡查，督促村级监测组开展隐患点的日常监测。协助上级主管部门开展汛期前排查、汛中检查、汛后核查，应急处置，抢险救灾、宣传培训、防灾演习。做好本矿区内群测群防有关资料汇总、上报工作，完善辖区内群测群防年度工作总结。</w:t>
      </w:r>
    </w:p>
    <w:p>
      <w:pPr>
        <w:rPr>
          <w:color w:val="000000" w:themeColor="text1"/>
          <w:highlight w:val="none"/>
        </w:rPr>
      </w:pPr>
      <w:r>
        <w:rPr>
          <w:rFonts w:hint="eastAsia"/>
          <w:color w:val="000000" w:themeColor="text1"/>
          <w:highlight w:val="none"/>
        </w:rPr>
        <w:t>（3）群测群防体系建设的主要工作</w:t>
      </w:r>
    </w:p>
    <w:p>
      <w:pPr>
        <w:rPr>
          <w:color w:val="000000" w:themeColor="text1"/>
          <w:highlight w:val="none"/>
        </w:rPr>
      </w:pPr>
      <w:r>
        <w:rPr>
          <w:rFonts w:hint="eastAsia"/>
          <w:color w:val="000000" w:themeColor="text1"/>
          <w:highlight w:val="none"/>
        </w:rPr>
        <w:t>1）地质灾害隐忠点的确定</w:t>
      </w:r>
    </w:p>
    <w:p>
      <w:pPr>
        <w:rPr>
          <w:color w:val="000000" w:themeColor="text1"/>
          <w:highlight w:val="none"/>
        </w:rPr>
      </w:pPr>
      <w:r>
        <w:rPr>
          <w:rFonts w:hint="eastAsia"/>
          <w:color w:val="000000" w:themeColor="text1"/>
          <w:highlight w:val="none"/>
        </w:rPr>
        <w:t>隐患点确定</w:t>
      </w:r>
      <w:r>
        <w:rPr>
          <w:rFonts w:hint="eastAsia"/>
          <w:color w:val="000000" w:themeColor="text1"/>
          <w:highlight w:val="none"/>
          <w:lang w:eastAsia="zh-CN"/>
        </w:rPr>
        <w:t>：</w:t>
      </w:r>
      <w:r>
        <w:rPr>
          <w:rFonts w:hint="eastAsia"/>
          <w:color w:val="000000" w:themeColor="text1"/>
          <w:highlight w:val="none"/>
        </w:rPr>
        <w:t>有专业队伍对可能发生的地质灾害点进行调查确定，对群众通过各种方式报的地质灾害点由技术人员或者专家组调查核实后确定</w:t>
      </w:r>
      <w:r>
        <w:rPr>
          <w:rFonts w:hint="eastAsia"/>
          <w:color w:val="000000" w:themeColor="text1"/>
          <w:highlight w:val="none"/>
          <w:lang w:eastAsia="zh-CN"/>
        </w:rPr>
        <w:t>：</w:t>
      </w:r>
      <w:r>
        <w:rPr>
          <w:rFonts w:hint="eastAsia"/>
          <w:color w:val="000000" w:themeColor="text1"/>
          <w:highlight w:val="none"/>
        </w:rPr>
        <w:t>由日常巡查和其他工作中发现的有潜在变形迹象且对人员和财产构成威胁的灾害体有专业人员核实后确定。</w:t>
      </w:r>
    </w:p>
    <w:p>
      <w:pPr>
        <w:rPr>
          <w:color w:val="000000" w:themeColor="text1"/>
          <w:highlight w:val="none"/>
        </w:rPr>
      </w:pPr>
      <w:r>
        <w:rPr>
          <w:rFonts w:hint="eastAsia"/>
          <w:color w:val="000000" w:themeColor="text1"/>
          <w:highlight w:val="none"/>
        </w:rPr>
        <w:t>隐患区的确定：居民点房前屋后高陡边坡坡肩及坡脚地带</w:t>
      </w:r>
      <w:r>
        <w:rPr>
          <w:rFonts w:hint="eastAsia"/>
          <w:color w:val="000000" w:themeColor="text1"/>
          <w:highlight w:val="none"/>
          <w:lang w:eastAsia="zh-CN"/>
        </w:rPr>
        <w:t>：</w:t>
      </w:r>
      <w:r>
        <w:rPr>
          <w:rFonts w:hint="eastAsia"/>
          <w:color w:val="000000" w:themeColor="text1"/>
          <w:highlight w:val="none"/>
        </w:rPr>
        <w:t>居民点邻近自然坡度大于25度的斜坡及坡脚地带：居民点上游汇水面积较大的沟谷及沟口地带</w:t>
      </w:r>
      <w:r>
        <w:rPr>
          <w:rFonts w:hint="eastAsia"/>
          <w:color w:val="000000" w:themeColor="text1"/>
          <w:highlight w:val="none"/>
          <w:lang w:eastAsia="zh-CN"/>
        </w:rPr>
        <w:t>：</w:t>
      </w:r>
      <w:r>
        <w:rPr>
          <w:rFonts w:hint="eastAsia"/>
          <w:color w:val="000000" w:themeColor="text1"/>
          <w:highlight w:val="none"/>
        </w:rPr>
        <w:t>其他受地质灾害潜在威胁的地带。已经确定的地质灾害隐患点(区)由矿山企业在当年的地质灾害年度防治方案中纳入地质灾害群测群防体系。</w:t>
      </w:r>
    </w:p>
    <w:p>
      <w:pPr>
        <w:rPr>
          <w:color w:val="000000" w:themeColor="text1"/>
          <w:highlight w:val="none"/>
        </w:rPr>
      </w:pPr>
      <w:r>
        <w:rPr>
          <w:rFonts w:hint="eastAsia"/>
          <w:color w:val="000000" w:themeColor="text1"/>
          <w:highlight w:val="none"/>
        </w:rPr>
        <w:t>2）</w:t>
      </w:r>
      <w:r>
        <w:rPr>
          <w:color w:val="000000" w:themeColor="text1"/>
          <w:highlight w:val="none"/>
        </w:rPr>
        <w:t>地质灾害隐患点</w:t>
      </w:r>
      <w:r>
        <w:rPr>
          <w:rFonts w:hint="eastAsia"/>
          <w:color w:val="000000" w:themeColor="text1"/>
          <w:highlight w:val="none"/>
        </w:rPr>
        <w:t>（区）</w:t>
      </w:r>
      <w:r>
        <w:rPr>
          <w:color w:val="000000" w:themeColor="text1"/>
          <w:highlight w:val="none"/>
        </w:rPr>
        <w:t>的撤销</w:t>
      </w:r>
    </w:p>
    <w:p>
      <w:pPr>
        <w:rPr>
          <w:color w:val="000000" w:themeColor="text1"/>
          <w:highlight w:val="none"/>
        </w:rPr>
      </w:pPr>
      <w:r>
        <w:rPr>
          <w:color w:val="000000" w:themeColor="text1"/>
          <w:highlight w:val="none"/>
        </w:rPr>
        <w:t>已经工程治理地质灾害群测群防点</w:t>
      </w:r>
      <w:r>
        <w:rPr>
          <w:rFonts w:hint="eastAsia"/>
          <w:color w:val="000000" w:themeColor="text1"/>
          <w:highlight w:val="none"/>
        </w:rPr>
        <w:t>（区）</w:t>
      </w:r>
      <w:r>
        <w:rPr>
          <w:rFonts w:hint="eastAsia"/>
          <w:color w:val="000000" w:themeColor="text1"/>
          <w:highlight w:val="none"/>
          <w:lang w:eastAsia="zh-CN"/>
        </w:rPr>
        <w:t>，</w:t>
      </w:r>
      <w:r>
        <w:rPr>
          <w:color w:val="000000" w:themeColor="text1"/>
          <w:highlight w:val="none"/>
        </w:rPr>
        <w:t>应当报经原批准机关批准撤销。</w:t>
      </w:r>
    </w:p>
    <w:p>
      <w:pPr>
        <w:rPr>
          <w:color w:val="000000" w:themeColor="text1"/>
          <w:highlight w:val="none"/>
        </w:rPr>
      </w:pPr>
      <w:r>
        <w:rPr>
          <w:color w:val="000000" w:themeColor="text1"/>
          <w:highlight w:val="none"/>
        </w:rPr>
        <w:t>（</w:t>
      </w:r>
      <w:r>
        <w:rPr>
          <w:rFonts w:hint="eastAsia"/>
          <w:color w:val="000000" w:themeColor="text1"/>
          <w:highlight w:val="none"/>
        </w:rPr>
        <w:t>4</w:t>
      </w:r>
      <w:r>
        <w:rPr>
          <w:color w:val="000000" w:themeColor="text1"/>
          <w:highlight w:val="none"/>
        </w:rPr>
        <w:t>）群测群防体系建设的责任制建立</w:t>
      </w:r>
    </w:p>
    <w:p>
      <w:pPr>
        <w:rPr>
          <w:color w:val="000000" w:themeColor="text1"/>
          <w:highlight w:val="none"/>
        </w:rPr>
      </w:pPr>
      <w:r>
        <w:rPr>
          <w:rFonts w:hint="eastAsia"/>
          <w:color w:val="000000" w:themeColor="text1"/>
          <w:highlight w:val="none"/>
        </w:rPr>
        <w:t>1）</w:t>
      </w:r>
      <w:r>
        <w:rPr>
          <w:color w:val="000000" w:themeColor="text1"/>
          <w:highlight w:val="none"/>
        </w:rPr>
        <w:t>乡级人民政府、矿山企业和村民委员会为地质灾害群测群防的责任单位，其相关负责人为地质灾害群测群防责任人。</w:t>
      </w:r>
    </w:p>
    <w:p>
      <w:pPr>
        <w:rPr>
          <w:color w:val="000000" w:themeColor="text1"/>
          <w:highlight w:val="none"/>
        </w:rPr>
      </w:pPr>
      <w:r>
        <w:rPr>
          <w:rFonts w:hint="eastAsia"/>
          <w:color w:val="000000" w:themeColor="text1"/>
          <w:highlight w:val="none"/>
        </w:rPr>
        <w:t>2）</w:t>
      </w:r>
      <w:r>
        <w:rPr>
          <w:color w:val="000000" w:themeColor="text1"/>
          <w:highlight w:val="none"/>
        </w:rPr>
        <w:t>签订防灾责任状</w:t>
      </w:r>
    </w:p>
    <w:p>
      <w:pPr>
        <w:rPr>
          <w:color w:val="000000" w:themeColor="text1"/>
          <w:highlight w:val="none"/>
        </w:rPr>
      </w:pPr>
      <w:r>
        <w:rPr>
          <w:color w:val="000000" w:themeColor="text1"/>
          <w:highlight w:val="none"/>
        </w:rPr>
        <w:t>防灾责任应以责任状的形式明确</w:t>
      </w:r>
      <w:r>
        <w:rPr>
          <w:rFonts w:hint="eastAsia"/>
          <w:color w:val="000000" w:themeColor="text1"/>
          <w:highlight w:val="none"/>
        </w:rPr>
        <w:t>。</w:t>
      </w:r>
      <w:r>
        <w:rPr>
          <w:color w:val="000000" w:themeColor="text1"/>
          <w:highlight w:val="none"/>
        </w:rPr>
        <w:t>与乡镇人民政府签定地质灾害群测群防责任制</w:t>
      </w:r>
      <w:r>
        <w:rPr>
          <w:rFonts w:hint="eastAsia"/>
          <w:color w:val="000000" w:themeColor="text1"/>
          <w:highlight w:val="none"/>
        </w:rPr>
        <w:t>；</w:t>
      </w:r>
      <w:r>
        <w:rPr>
          <w:color w:val="000000" w:themeColor="text1"/>
          <w:highlight w:val="none"/>
        </w:rPr>
        <w:t>乡镇人民政府、矿山企业与村</w:t>
      </w:r>
      <w:r>
        <w:rPr>
          <w:rFonts w:hint="eastAsia"/>
          <w:color w:val="000000" w:themeColor="text1"/>
          <w:highlight w:val="none"/>
        </w:rPr>
        <w:t>（</w:t>
      </w:r>
      <w:r>
        <w:rPr>
          <w:color w:val="000000" w:themeColor="text1"/>
          <w:highlight w:val="none"/>
        </w:rPr>
        <w:t>居</w:t>
      </w:r>
      <w:r>
        <w:rPr>
          <w:rFonts w:hint="eastAsia"/>
          <w:color w:val="000000" w:themeColor="text1"/>
          <w:highlight w:val="none"/>
        </w:rPr>
        <w:t>）</w:t>
      </w:r>
      <w:r>
        <w:rPr>
          <w:color w:val="000000" w:themeColor="text1"/>
          <w:highlight w:val="none"/>
        </w:rPr>
        <w:t>民委员会签定地质灾害群测群防责任制。此外，地质灾害防灾工作明白卡和地质灾害防灾避险明白卡中应明确相应责任人地质灾害群测群防责任制应列入各级行政管理层级的年度考核指标，并在年度地质灾害防治方案和突发地质灾害应急预案中加以明确。</w:t>
      </w:r>
    </w:p>
    <w:p>
      <w:pPr>
        <w:rPr>
          <w:color w:val="000000" w:themeColor="text1"/>
          <w:highlight w:val="none"/>
        </w:rPr>
      </w:pPr>
      <w:r>
        <w:rPr>
          <w:color w:val="000000" w:themeColor="text1"/>
          <w:highlight w:val="none"/>
        </w:rPr>
        <w:t>（</w:t>
      </w:r>
      <w:r>
        <w:rPr>
          <w:rFonts w:hint="eastAsia"/>
          <w:color w:val="000000" w:themeColor="text1"/>
          <w:highlight w:val="none"/>
        </w:rPr>
        <w:t>5</w:t>
      </w:r>
      <w:r>
        <w:rPr>
          <w:color w:val="000000" w:themeColor="text1"/>
          <w:highlight w:val="none"/>
        </w:rPr>
        <w:t>）监测员的选定和培训</w:t>
      </w:r>
    </w:p>
    <w:p>
      <w:pPr>
        <w:rPr>
          <w:color w:val="000000" w:themeColor="text1"/>
          <w:highlight w:val="none"/>
        </w:rPr>
      </w:pPr>
      <w:r>
        <w:rPr>
          <w:rFonts w:hint="eastAsia"/>
          <w:color w:val="000000" w:themeColor="text1"/>
          <w:highlight w:val="none"/>
        </w:rPr>
        <w:t>1）</w:t>
      </w:r>
      <w:r>
        <w:rPr>
          <w:color w:val="000000" w:themeColor="text1"/>
          <w:highlight w:val="none"/>
        </w:rPr>
        <w:t>群众义务监测员的选定条件</w:t>
      </w:r>
      <w:r>
        <w:rPr>
          <w:rFonts w:hint="eastAsia"/>
          <w:color w:val="000000" w:themeColor="text1"/>
          <w:highlight w:val="none"/>
        </w:rPr>
        <w:t>：</w:t>
      </w:r>
      <w:r>
        <w:rPr>
          <w:color w:val="000000" w:themeColor="text1"/>
          <w:highlight w:val="none"/>
        </w:rPr>
        <w:t>具有一定文化程度，</w:t>
      </w:r>
    </w:p>
    <w:p>
      <w:pPr>
        <w:rPr>
          <w:rFonts w:hint="eastAsia" w:eastAsia="宋体"/>
          <w:color w:val="000000" w:themeColor="text1"/>
          <w:highlight w:val="none"/>
          <w:lang w:eastAsia="zh-CN"/>
        </w:rPr>
      </w:pPr>
      <w:r>
        <w:rPr>
          <w:color w:val="000000" w:themeColor="text1"/>
          <w:highlight w:val="none"/>
        </w:rPr>
        <w:t>能较快掌握简易测量方法</w:t>
      </w:r>
      <w:r>
        <w:rPr>
          <w:rFonts w:hint="eastAsia"/>
          <w:color w:val="000000" w:themeColor="text1"/>
          <w:highlight w:val="none"/>
          <w:lang w:eastAsia="zh-CN"/>
        </w:rPr>
        <w:t>：</w:t>
      </w:r>
      <w:r>
        <w:rPr>
          <w:color w:val="000000" w:themeColor="text1"/>
          <w:highlight w:val="none"/>
        </w:rPr>
        <w:t>责任心强，热心公益事业</w:t>
      </w:r>
      <w:r>
        <w:rPr>
          <w:rFonts w:hint="eastAsia"/>
          <w:color w:val="000000" w:themeColor="text1"/>
          <w:highlight w:val="none"/>
        </w:rPr>
        <w:t>；</w:t>
      </w:r>
      <w:r>
        <w:rPr>
          <w:color w:val="000000" w:themeColor="text1"/>
          <w:highlight w:val="none"/>
        </w:rPr>
        <w:t>长期生活在当地，对当地环境较为熟悉</w:t>
      </w:r>
      <w:r>
        <w:rPr>
          <w:rFonts w:hint="eastAsia"/>
          <w:color w:val="000000" w:themeColor="text1"/>
          <w:highlight w:val="none"/>
          <w:lang w:eastAsia="zh-CN"/>
        </w:rPr>
        <w:t>；</w:t>
      </w:r>
    </w:p>
    <w:p>
      <w:pPr>
        <w:rPr>
          <w:color w:val="000000" w:themeColor="text1"/>
          <w:highlight w:val="none"/>
        </w:rPr>
      </w:pPr>
      <w:r>
        <w:rPr>
          <w:rFonts w:hint="eastAsia"/>
          <w:color w:val="000000" w:themeColor="text1"/>
          <w:highlight w:val="none"/>
        </w:rPr>
        <w:t>2）</w:t>
      </w:r>
      <w:r>
        <w:rPr>
          <w:color w:val="000000" w:themeColor="text1"/>
          <w:highlight w:val="none"/>
        </w:rPr>
        <w:t>群众义务监测员的培训由矿山企业进行定期或不定期培训，培训主要内容是地质灾害防治基本知识，简易监测方法、巡查内容及记录方法，灾害发生前兆识别，各项防灾制度和措施的掌握等。</w:t>
      </w:r>
    </w:p>
    <w:p>
      <w:pPr>
        <w:rPr>
          <w:color w:val="000000" w:themeColor="text1"/>
          <w:highlight w:val="none"/>
        </w:rPr>
      </w:pPr>
      <w:r>
        <w:rPr>
          <w:rFonts w:hint="eastAsia"/>
          <w:color w:val="000000" w:themeColor="text1"/>
          <w:highlight w:val="none"/>
        </w:rPr>
        <w:t>3）</w:t>
      </w:r>
      <w:r>
        <w:rPr>
          <w:color w:val="000000" w:themeColor="text1"/>
          <w:highlight w:val="none"/>
        </w:rPr>
        <w:t>简易监测及预警设备的配备</w:t>
      </w:r>
    </w:p>
    <w:p>
      <w:pPr>
        <w:rPr>
          <w:color w:val="000000" w:themeColor="text1"/>
          <w:highlight w:val="none"/>
        </w:rPr>
      </w:pPr>
      <w:r>
        <w:rPr>
          <w:color w:val="000000" w:themeColor="text1"/>
          <w:highlight w:val="none"/>
        </w:rPr>
        <w:t>配备卷(直)尺、手电、雨具、口哨(话筒、锣)、电话等工具。</w:t>
      </w:r>
    </w:p>
    <w:p>
      <w:pPr>
        <w:rPr>
          <w:color w:val="000000" w:themeColor="text1"/>
          <w:highlight w:val="none"/>
        </w:rPr>
      </w:pPr>
      <w:r>
        <w:rPr>
          <w:color w:val="000000" w:themeColor="text1"/>
          <w:highlight w:val="none"/>
        </w:rPr>
        <w:t>（</w:t>
      </w:r>
      <w:r>
        <w:rPr>
          <w:rFonts w:hint="eastAsia"/>
          <w:color w:val="000000" w:themeColor="text1"/>
          <w:highlight w:val="none"/>
        </w:rPr>
        <w:t>6</w:t>
      </w:r>
      <w:r>
        <w:rPr>
          <w:color w:val="000000" w:themeColor="text1"/>
          <w:highlight w:val="none"/>
        </w:rPr>
        <w:t>）制度建立</w:t>
      </w:r>
    </w:p>
    <w:p>
      <w:pPr>
        <w:rPr>
          <w:color w:val="000000" w:themeColor="text1"/>
          <w:highlight w:val="none"/>
        </w:rPr>
      </w:pPr>
      <w:r>
        <w:rPr>
          <w:rFonts w:hint="eastAsia"/>
          <w:color w:val="000000" w:themeColor="text1"/>
          <w:highlight w:val="none"/>
        </w:rPr>
        <w:t>1）</w:t>
      </w:r>
      <w:r>
        <w:rPr>
          <w:color w:val="000000" w:themeColor="text1"/>
          <w:highlight w:val="none"/>
        </w:rPr>
        <w:t>防灾预案及</w:t>
      </w:r>
      <w:r>
        <w:rPr>
          <w:rFonts w:hint="eastAsia"/>
          <w:color w:val="000000" w:themeColor="text1"/>
          <w:highlight w:val="none"/>
        </w:rPr>
        <w:t>“</w:t>
      </w:r>
      <w:r>
        <w:rPr>
          <w:color w:val="000000" w:themeColor="text1"/>
          <w:highlight w:val="none"/>
        </w:rPr>
        <w:t>两卡</w:t>
      </w:r>
      <w:r>
        <w:rPr>
          <w:rFonts w:hint="eastAsia"/>
          <w:color w:val="000000" w:themeColor="text1"/>
          <w:highlight w:val="none"/>
        </w:rPr>
        <w:t>”</w:t>
      </w:r>
      <w:r>
        <w:rPr>
          <w:color w:val="000000" w:themeColor="text1"/>
          <w:highlight w:val="none"/>
        </w:rPr>
        <w:t>发放制度防灾预案包括年度地质灾害防治方案和隐</w:t>
      </w:r>
      <w:r>
        <w:rPr>
          <w:rFonts w:hint="eastAsia"/>
          <w:color w:val="000000" w:themeColor="text1"/>
          <w:highlight w:val="none"/>
        </w:rPr>
        <w:t>隐患点（</w:t>
      </w:r>
      <w:r>
        <w:rPr>
          <w:color w:val="000000" w:themeColor="text1"/>
          <w:highlight w:val="none"/>
        </w:rPr>
        <w:t>区</w:t>
      </w:r>
      <w:r>
        <w:rPr>
          <w:rFonts w:hint="eastAsia"/>
          <w:color w:val="000000" w:themeColor="text1"/>
          <w:highlight w:val="none"/>
        </w:rPr>
        <w:t>）</w:t>
      </w:r>
      <w:r>
        <w:rPr>
          <w:color w:val="000000" w:themeColor="text1"/>
          <w:highlight w:val="none"/>
        </w:rPr>
        <w:t>防灾预案。两卡</w:t>
      </w:r>
      <w:r>
        <w:rPr>
          <w:rFonts w:hint="eastAsia"/>
          <w:color w:val="000000" w:themeColor="text1"/>
          <w:highlight w:val="none"/>
        </w:rPr>
        <w:t>”</w:t>
      </w:r>
      <w:r>
        <w:rPr>
          <w:color w:val="000000" w:themeColor="text1"/>
          <w:highlight w:val="none"/>
        </w:rPr>
        <w:t>指地质灾害防灾工作明白卡和地质灾害避险明白卡。</w:t>
      </w:r>
    </w:p>
    <w:p>
      <w:pPr>
        <w:rPr>
          <w:color w:val="000000" w:themeColor="text1"/>
          <w:highlight w:val="none"/>
        </w:rPr>
      </w:pPr>
      <w:r>
        <w:rPr>
          <w:rFonts w:hint="eastAsia"/>
          <w:color w:val="000000" w:themeColor="text1"/>
          <w:highlight w:val="none"/>
        </w:rPr>
        <w:t>2）</w:t>
      </w:r>
      <w:r>
        <w:rPr>
          <w:color w:val="000000" w:themeColor="text1"/>
          <w:highlight w:val="none"/>
        </w:rPr>
        <w:t>监测和</w:t>
      </w:r>
      <w:r>
        <w:rPr>
          <w:rFonts w:hint="eastAsia"/>
          <w:color w:val="000000" w:themeColor="text1"/>
          <w:highlight w:val="none"/>
        </w:rPr>
        <w:t>“</w:t>
      </w:r>
      <w:r>
        <w:rPr>
          <w:color w:val="000000" w:themeColor="text1"/>
          <w:highlight w:val="none"/>
        </w:rPr>
        <w:t>三查</w:t>
      </w:r>
      <w:r>
        <w:rPr>
          <w:rFonts w:hint="eastAsia"/>
          <w:color w:val="000000" w:themeColor="text1"/>
          <w:highlight w:val="none"/>
        </w:rPr>
        <w:t>”</w:t>
      </w:r>
      <w:r>
        <w:rPr>
          <w:color w:val="000000" w:themeColor="text1"/>
          <w:highlight w:val="none"/>
        </w:rPr>
        <w:t>制度</w:t>
      </w:r>
    </w:p>
    <w:p>
      <w:pPr>
        <w:rPr>
          <w:color w:val="000000" w:themeColor="text1"/>
          <w:highlight w:val="none"/>
        </w:rPr>
      </w:pPr>
      <w:r>
        <w:rPr>
          <w:color w:val="000000" w:themeColor="text1"/>
          <w:highlight w:val="none"/>
        </w:rPr>
        <w:t>监测制度的主要内容是规定监测方法、监测频次、监测数据记录和报送等。“三查”制度的主要内容是规定在辖区内组织以汛前排查、汛中检查、汛后核查范围、方法和发现隐患后的处理方法等。</w:t>
      </w:r>
    </w:p>
    <w:p>
      <w:pPr>
        <w:rPr>
          <w:color w:val="000000" w:themeColor="text1"/>
          <w:highlight w:val="none"/>
        </w:rPr>
      </w:pPr>
      <w:r>
        <w:rPr>
          <w:rFonts w:hint="eastAsia"/>
          <w:color w:val="000000" w:themeColor="text1"/>
          <w:highlight w:val="none"/>
        </w:rPr>
        <w:t>3）</w:t>
      </w:r>
      <w:r>
        <w:rPr>
          <w:color w:val="000000" w:themeColor="text1"/>
          <w:highlight w:val="none"/>
        </w:rPr>
        <w:t>值班制度</w:t>
      </w:r>
    </w:p>
    <w:p>
      <w:pPr>
        <w:rPr>
          <w:color w:val="000000" w:themeColor="text1"/>
          <w:highlight w:val="none"/>
        </w:rPr>
      </w:pPr>
      <w:r>
        <w:rPr>
          <w:color w:val="000000" w:themeColor="text1"/>
          <w:highlight w:val="none"/>
        </w:rPr>
        <w:t>主要是规定在地质灾害高发期、多发期和紧急状态下，各级防灾责任人值班的地点、时间、联系方式和任务等。</w:t>
      </w:r>
    </w:p>
    <w:p>
      <w:pPr>
        <w:rPr>
          <w:color w:val="000000" w:themeColor="text1"/>
          <w:highlight w:val="none"/>
        </w:rPr>
      </w:pPr>
      <w:r>
        <w:rPr>
          <w:rFonts w:hint="eastAsia"/>
          <w:color w:val="000000" w:themeColor="text1"/>
          <w:highlight w:val="none"/>
        </w:rPr>
        <w:t>4）</w:t>
      </w:r>
      <w:r>
        <w:rPr>
          <w:color w:val="000000" w:themeColor="text1"/>
          <w:highlight w:val="none"/>
        </w:rPr>
        <w:t>地质灾害预报制度</w:t>
      </w:r>
    </w:p>
    <w:p>
      <w:pPr>
        <w:rPr>
          <w:color w:val="000000" w:themeColor="text1"/>
          <w:highlight w:val="none"/>
        </w:rPr>
      </w:pPr>
      <w:r>
        <w:rPr>
          <w:color w:val="000000" w:themeColor="text1"/>
          <w:highlight w:val="none"/>
        </w:rPr>
        <w:t>主要内容是规定预报的时间、地点、范围、等级以及预警产品的制作、会商、审批、发布等。地质灾害预报一般情况下由县级自然资源部门会同气象部门发布，紧急状态下可授权监测人发布。</w:t>
      </w:r>
    </w:p>
    <w:p>
      <w:pPr>
        <w:rPr>
          <w:color w:val="000000" w:themeColor="text1"/>
          <w:highlight w:val="none"/>
        </w:rPr>
      </w:pPr>
      <w:r>
        <w:rPr>
          <w:rFonts w:hint="eastAsia"/>
          <w:color w:val="000000" w:themeColor="text1"/>
          <w:highlight w:val="none"/>
        </w:rPr>
        <w:t>5）</w:t>
      </w:r>
      <w:r>
        <w:rPr>
          <w:color w:val="000000" w:themeColor="text1"/>
          <w:highlight w:val="none"/>
        </w:rPr>
        <w:t>灾</w:t>
      </w:r>
      <w:r>
        <w:rPr>
          <w:rFonts w:hint="eastAsia"/>
          <w:color w:val="000000" w:themeColor="text1"/>
          <w:highlight w:val="none"/>
        </w:rPr>
        <w:t>（</w:t>
      </w:r>
      <w:r>
        <w:rPr>
          <w:color w:val="000000" w:themeColor="text1"/>
          <w:highlight w:val="none"/>
        </w:rPr>
        <w:t>险</w:t>
      </w:r>
      <w:r>
        <w:rPr>
          <w:rFonts w:hint="eastAsia"/>
          <w:color w:val="000000" w:themeColor="text1"/>
          <w:highlight w:val="none"/>
        </w:rPr>
        <w:t>）</w:t>
      </w:r>
      <w:r>
        <w:rPr>
          <w:color w:val="000000" w:themeColor="text1"/>
          <w:highlight w:val="none"/>
        </w:rPr>
        <w:t>情报告制度</w:t>
      </w:r>
    </w:p>
    <w:p>
      <w:pPr>
        <w:rPr>
          <w:color w:val="000000" w:themeColor="text1"/>
          <w:highlight w:val="none"/>
        </w:rPr>
      </w:pPr>
      <w:r>
        <w:rPr>
          <w:color w:val="000000" w:themeColor="text1"/>
          <w:highlight w:val="none"/>
        </w:rPr>
        <w:t>主要内容是规定发生不同规模地质灾害灾</w:t>
      </w:r>
      <w:r>
        <w:rPr>
          <w:rFonts w:hint="eastAsia"/>
          <w:color w:val="000000" w:themeColor="text1"/>
          <w:highlight w:val="none"/>
        </w:rPr>
        <w:t>（</w:t>
      </w:r>
      <w:r>
        <w:rPr>
          <w:color w:val="000000" w:themeColor="text1"/>
          <w:highlight w:val="none"/>
        </w:rPr>
        <w:t>险</w:t>
      </w:r>
      <w:r>
        <w:rPr>
          <w:rFonts w:hint="eastAsia"/>
          <w:color w:val="000000" w:themeColor="text1"/>
          <w:highlight w:val="none"/>
        </w:rPr>
        <w:t>）</w:t>
      </w:r>
      <w:r>
        <w:rPr>
          <w:color w:val="000000" w:themeColor="text1"/>
          <w:highlight w:val="none"/>
        </w:rPr>
        <w:t>情的报告程序、时间和责任。</w:t>
      </w:r>
    </w:p>
    <w:p>
      <w:pPr>
        <w:rPr>
          <w:color w:val="000000" w:themeColor="text1"/>
          <w:highlight w:val="none"/>
        </w:rPr>
      </w:pPr>
      <w:r>
        <w:rPr>
          <w:rFonts w:hint="eastAsia"/>
          <w:color w:val="000000" w:themeColor="text1"/>
          <w:highlight w:val="none"/>
        </w:rPr>
        <w:t>6）</w:t>
      </w:r>
      <w:r>
        <w:rPr>
          <w:color w:val="000000" w:themeColor="text1"/>
          <w:highlight w:val="none"/>
        </w:rPr>
        <w:t>宣传培训制度</w:t>
      </w:r>
    </w:p>
    <w:p>
      <w:pPr>
        <w:rPr>
          <w:color w:val="000000" w:themeColor="text1"/>
          <w:highlight w:val="none"/>
        </w:rPr>
      </w:pPr>
      <w:r>
        <w:rPr>
          <w:color w:val="000000" w:themeColor="text1"/>
          <w:highlight w:val="none"/>
        </w:rPr>
        <w:t>主要内容是矿山企业每年组织有关部门开展地质灾害防治知识的宣传培训的期次、内容、对象，使培训人员达到</w:t>
      </w:r>
      <w:r>
        <w:rPr>
          <w:rFonts w:hint="eastAsia"/>
          <w:color w:val="000000" w:themeColor="text1"/>
          <w:highlight w:val="none"/>
        </w:rPr>
        <w:t>“</w:t>
      </w:r>
      <w:r>
        <w:rPr>
          <w:color w:val="000000" w:themeColor="text1"/>
          <w:highlight w:val="none"/>
        </w:rPr>
        <w:t>四应知</w:t>
      </w:r>
      <w:r>
        <w:rPr>
          <w:rFonts w:hint="eastAsia"/>
          <w:color w:val="000000" w:themeColor="text1"/>
          <w:highlight w:val="none"/>
        </w:rPr>
        <w:t>”、“</w:t>
      </w:r>
      <w:r>
        <w:rPr>
          <w:color w:val="000000" w:themeColor="text1"/>
          <w:highlight w:val="none"/>
        </w:rPr>
        <w:t>四应会</w:t>
      </w:r>
      <w:r>
        <w:rPr>
          <w:rFonts w:hint="eastAsia"/>
          <w:color w:val="000000" w:themeColor="text1"/>
          <w:highlight w:val="none"/>
        </w:rPr>
        <w:t>”</w:t>
      </w:r>
      <w:r>
        <w:rPr>
          <w:color w:val="000000" w:themeColor="text1"/>
          <w:highlight w:val="none"/>
        </w:rPr>
        <w:t>。</w:t>
      </w:r>
    </w:p>
    <w:p>
      <w:pPr>
        <w:rPr>
          <w:color w:val="000000" w:themeColor="text1"/>
          <w:highlight w:val="none"/>
        </w:rPr>
      </w:pPr>
      <w:r>
        <w:rPr>
          <w:rFonts w:hint="eastAsia"/>
          <w:color w:val="000000" w:themeColor="text1"/>
          <w:highlight w:val="none"/>
        </w:rPr>
        <w:t>7）</w:t>
      </w:r>
      <w:r>
        <w:rPr>
          <w:color w:val="000000" w:themeColor="text1"/>
          <w:highlight w:val="none"/>
        </w:rPr>
        <w:t>档案管理制度</w:t>
      </w:r>
    </w:p>
    <w:p>
      <w:pPr>
        <w:rPr>
          <w:color w:val="000000" w:themeColor="text1"/>
          <w:highlight w:val="none"/>
        </w:rPr>
      </w:pPr>
      <w:r>
        <w:rPr>
          <w:color w:val="000000" w:themeColor="text1"/>
          <w:highlight w:val="none"/>
        </w:rPr>
        <w:t>组织应当建立档案管理制度。主要内容是规定年度防灾方案、隐患点防灾预案、突发性应急预案、</w:t>
      </w:r>
      <w:r>
        <w:rPr>
          <w:rFonts w:hint="eastAsia"/>
          <w:color w:val="000000" w:themeColor="text1"/>
          <w:highlight w:val="none"/>
        </w:rPr>
        <w:t>“两卡”、</w:t>
      </w:r>
      <w:r>
        <w:rPr>
          <w:color w:val="000000" w:themeColor="text1"/>
          <w:highlight w:val="none"/>
        </w:rPr>
        <w:t>各项制度及相关文件进行汇编，对各项基础监测资料和值班记录实施分类、分年度建档入库管理。</w:t>
      </w:r>
    </w:p>
    <w:p>
      <w:pPr>
        <w:rPr>
          <w:color w:val="000000" w:themeColor="text1"/>
          <w:highlight w:val="none"/>
        </w:rPr>
      </w:pPr>
      <w:r>
        <w:rPr>
          <w:rFonts w:hint="eastAsia"/>
          <w:color w:val="000000" w:themeColor="text1"/>
          <w:highlight w:val="none"/>
        </w:rPr>
        <w:t>8）</w:t>
      </w:r>
      <w:r>
        <w:rPr>
          <w:color w:val="000000" w:themeColor="text1"/>
          <w:highlight w:val="none"/>
        </w:rPr>
        <w:t>总结制度</w:t>
      </w:r>
    </w:p>
    <w:p>
      <w:pPr>
        <w:rPr>
          <w:color w:val="000000" w:themeColor="text1"/>
          <w:highlight w:val="none"/>
        </w:rPr>
      </w:pPr>
      <w:r>
        <w:rPr>
          <w:color w:val="000000" w:themeColor="text1"/>
          <w:highlight w:val="none"/>
        </w:rPr>
        <w:t>组织应当建立群测群防年度工作总结制度。定期对体系运行情况、防灾效果、存在问题进行总结和分析，提出下步工作建议，并对做出突出 贡献的单位和个人进行表彰。</w:t>
      </w:r>
    </w:p>
    <w:p>
      <w:pPr>
        <w:rPr>
          <w:color w:val="000000" w:themeColor="text1"/>
          <w:highlight w:val="none"/>
        </w:rPr>
      </w:pPr>
      <w:r>
        <w:rPr>
          <w:color w:val="000000" w:themeColor="text1"/>
          <w:highlight w:val="none"/>
        </w:rPr>
        <w:t>（</w:t>
      </w:r>
      <w:r>
        <w:rPr>
          <w:rFonts w:hint="eastAsia"/>
          <w:color w:val="000000" w:themeColor="text1"/>
          <w:highlight w:val="none"/>
        </w:rPr>
        <w:t>7</w:t>
      </w:r>
      <w:r>
        <w:rPr>
          <w:color w:val="000000" w:themeColor="text1"/>
          <w:highlight w:val="none"/>
        </w:rPr>
        <w:t>）信息系统建设</w:t>
      </w:r>
    </w:p>
    <w:p>
      <w:pPr>
        <w:rPr>
          <w:color w:val="000000" w:themeColor="text1"/>
          <w:highlight w:val="none"/>
        </w:rPr>
      </w:pPr>
      <w:r>
        <w:rPr>
          <w:color w:val="000000" w:themeColor="text1"/>
          <w:highlight w:val="none"/>
        </w:rPr>
        <w:t>应当建立地质灾害群测群防管理信息系统，将地质灾害防治工作机构及群测群防网络数据、防灾责任人和监测人及监测点基本信息、监测数据和年度地质灾害防治方案及隐患点</w:t>
      </w:r>
      <w:r>
        <w:rPr>
          <w:rFonts w:hint="eastAsia"/>
          <w:color w:val="000000" w:themeColor="text1"/>
          <w:highlight w:val="none"/>
        </w:rPr>
        <w:t>（区）</w:t>
      </w:r>
      <w:r>
        <w:rPr>
          <w:color w:val="000000" w:themeColor="text1"/>
          <w:highlight w:val="none"/>
        </w:rPr>
        <w:t>防灾预案、</w:t>
      </w:r>
      <w:r>
        <w:rPr>
          <w:rFonts w:hint="eastAsia"/>
          <w:color w:val="000000" w:themeColor="text1"/>
          <w:highlight w:val="none"/>
        </w:rPr>
        <w:t>“两卡”</w:t>
      </w:r>
      <w:r>
        <w:rPr>
          <w:color w:val="000000" w:themeColor="text1"/>
          <w:highlight w:val="none"/>
        </w:rPr>
        <w:t>等信息纳入计算机平台，方便监测数据录入、更新、查询、统计、分析等，实现群测群防体系相关信息的动态管理和共享。</w:t>
      </w:r>
    </w:p>
    <w:p>
      <w:pPr>
        <w:widowControl/>
        <w:adjustRightInd/>
        <w:snapToGrid/>
        <w:spacing w:line="240" w:lineRule="auto"/>
        <w:ind w:firstLine="0" w:firstLineChars="0"/>
        <w:jc w:val="left"/>
        <w:rPr>
          <w:b/>
          <w:bCs/>
          <w:color w:val="000000" w:themeColor="text1"/>
          <w:kern w:val="44"/>
          <w:sz w:val="44"/>
          <w:szCs w:val="44"/>
          <w:highlight w:val="none"/>
        </w:rPr>
      </w:pPr>
      <w:r>
        <w:rPr>
          <w:color w:val="000000" w:themeColor="text1"/>
          <w:highlight w:val="none"/>
        </w:rPr>
        <w:br w:type="page"/>
      </w:r>
    </w:p>
    <w:p>
      <w:pPr>
        <w:pStyle w:val="3"/>
        <w:rPr>
          <w:color w:val="000000" w:themeColor="text1"/>
          <w:highlight w:val="none"/>
        </w:rPr>
      </w:pPr>
      <w:bookmarkStart w:id="298" w:name="_Toc6771"/>
      <w:r>
        <w:rPr>
          <w:color w:val="000000" w:themeColor="text1"/>
          <w:highlight w:val="none"/>
        </w:rPr>
        <w:t>第九章结论与建议</w:t>
      </w:r>
      <w:bookmarkEnd w:id="298"/>
    </w:p>
    <w:p>
      <w:pPr>
        <w:pStyle w:val="4"/>
        <w:spacing w:before="82" w:after="82"/>
        <w:rPr>
          <w:color w:val="000000" w:themeColor="text1"/>
          <w:highlight w:val="none"/>
        </w:rPr>
      </w:pPr>
      <w:bookmarkStart w:id="299" w:name="_Toc5424"/>
      <w:r>
        <w:rPr>
          <w:color w:val="000000" w:themeColor="text1"/>
          <w:highlight w:val="none"/>
        </w:rPr>
        <w:t>9.1</w:t>
      </w:r>
      <w:r>
        <w:rPr>
          <w:rFonts w:ascii="宋体" w:hAnsi="宋体"/>
          <w:color w:val="000000" w:themeColor="text1"/>
          <w:highlight w:val="none"/>
        </w:rPr>
        <w:t>结论</w:t>
      </w:r>
      <w:bookmarkEnd w:id="299"/>
    </w:p>
    <w:p>
      <w:pPr>
        <w:pStyle w:val="5"/>
        <w:spacing w:before="82" w:after="82"/>
        <w:rPr>
          <w:color w:val="000000" w:themeColor="text1"/>
          <w:highlight w:val="none"/>
        </w:rPr>
      </w:pPr>
      <w:bookmarkStart w:id="300" w:name="_Toc11502"/>
      <w:r>
        <w:rPr>
          <w:color w:val="000000" w:themeColor="text1"/>
          <w:highlight w:val="none"/>
        </w:rPr>
        <w:t>9.1.1</w:t>
      </w:r>
      <w:r>
        <w:rPr>
          <w:rFonts w:ascii="宋体" w:hAnsi="宋体"/>
          <w:color w:val="000000" w:themeColor="text1"/>
          <w:highlight w:val="none"/>
        </w:rPr>
        <w:t>项目基本情况</w:t>
      </w:r>
      <w:bookmarkEnd w:id="300"/>
    </w:p>
    <w:p>
      <w:pPr>
        <w:rPr>
          <w:color w:val="000000" w:themeColor="text1"/>
          <w:highlight w:val="none"/>
        </w:rPr>
      </w:pPr>
      <w:r>
        <w:rPr>
          <w:color w:val="000000" w:themeColor="text1"/>
          <w:highlight w:val="none"/>
        </w:rPr>
        <w:t>1、</w:t>
      </w:r>
      <w:r>
        <w:rPr>
          <w:rFonts w:hint="eastAsia"/>
          <w:color w:val="000000" w:themeColor="text1"/>
          <w:highlight w:val="none"/>
        </w:rPr>
        <w:t>旺苍县三江镇战旗石灰石矿于2008年2月首次取得由广元市国土资源局颁发的采矿许可证（证号：C5108002010127130086349）。最近一次延续是2018年3月，广元市国土资源局为其换发了采矿许可证，证号：C5108002010127130086349，经济类型：有限责任公司；开采矿种：水泥用石灰岩；开采方式：露天开采；生产规模：30万吨/年；开采深度：+1030～+930m；矿区面积：0.0796km</w:t>
      </w:r>
      <w:r>
        <w:rPr>
          <w:rFonts w:hint="eastAsia"/>
          <w:color w:val="000000" w:themeColor="text1"/>
          <w:highlight w:val="none"/>
          <w:vertAlign w:val="superscript"/>
        </w:rPr>
        <w:t>2</w:t>
      </w:r>
      <w:r>
        <w:rPr>
          <w:rFonts w:hint="eastAsia"/>
          <w:color w:val="000000" w:themeColor="text1"/>
          <w:highlight w:val="none"/>
        </w:rPr>
        <w:t>，由1～6号拐点圈闭；有效期限：自2017年10月1日至2024年11月1日</w:t>
      </w:r>
      <w:r>
        <w:rPr>
          <w:color w:val="000000" w:themeColor="text1"/>
          <w:highlight w:val="none"/>
        </w:rPr>
        <w:t>。</w:t>
      </w:r>
    </w:p>
    <w:p>
      <w:pPr>
        <w:rPr>
          <w:rFonts w:hint="eastAsia"/>
          <w:color w:val="000000" w:themeColor="text1"/>
          <w:highlight w:val="none"/>
        </w:rPr>
      </w:pPr>
      <w:r>
        <w:rPr>
          <w:color w:val="000000" w:themeColor="text1"/>
          <w:highlight w:val="none"/>
        </w:rPr>
        <w:t>2、根据</w:t>
      </w:r>
      <w:r>
        <w:rPr>
          <w:rFonts w:hint="eastAsia"/>
          <w:color w:val="000000" w:themeColor="text1"/>
          <w:highlight w:val="none"/>
        </w:rPr>
        <w:t>《</w:t>
      </w:r>
      <w:r>
        <w:rPr>
          <w:rFonts w:hint="eastAsia"/>
          <w:color w:val="000000" w:themeColor="text1"/>
          <w:highlight w:val="none"/>
          <w:lang w:eastAsia="zh-CN"/>
        </w:rPr>
        <w:t>旺苍县三江镇战旗石灰石矿矿产资源开发利用方案</w:t>
      </w:r>
      <w:r>
        <w:rPr>
          <w:rFonts w:hint="eastAsia"/>
          <w:color w:val="000000" w:themeColor="text1"/>
          <w:highlight w:val="none"/>
        </w:rPr>
        <w:t>》，矿山生产规模</w:t>
      </w:r>
      <w:r>
        <w:rPr>
          <w:rFonts w:hint="eastAsia"/>
          <w:color w:val="000000" w:themeColor="text1"/>
          <w:highlight w:val="none"/>
          <w:lang w:eastAsia="zh-CN"/>
        </w:rPr>
        <w:t>30万吨</w:t>
      </w:r>
      <w:r>
        <w:rPr>
          <w:rFonts w:hint="eastAsia"/>
          <w:color w:val="000000" w:themeColor="text1"/>
          <w:highlight w:val="none"/>
        </w:rPr>
        <w:t>/年，矿石回采率</w:t>
      </w:r>
      <w:r>
        <w:rPr>
          <w:rFonts w:hint="eastAsia"/>
          <w:color w:val="000000" w:themeColor="text1"/>
          <w:highlight w:val="none"/>
          <w:lang w:eastAsia="zh-CN"/>
        </w:rPr>
        <w:t>95%</w:t>
      </w:r>
      <w:r>
        <w:rPr>
          <w:rFonts w:hint="eastAsia"/>
          <w:color w:val="000000" w:themeColor="text1"/>
          <w:highlight w:val="none"/>
        </w:rPr>
        <w:t>，贫化率为</w:t>
      </w:r>
      <w:r>
        <w:rPr>
          <w:rFonts w:hint="eastAsia"/>
          <w:color w:val="000000" w:themeColor="text1"/>
          <w:highlight w:val="none"/>
          <w:lang w:val="en-US" w:eastAsia="zh-CN"/>
        </w:rPr>
        <w:t>5</w:t>
      </w:r>
      <w:r>
        <w:rPr>
          <w:rFonts w:hint="eastAsia"/>
          <w:color w:val="000000" w:themeColor="text1"/>
          <w:highlight w:val="none"/>
        </w:rPr>
        <w:t>%</w:t>
      </w:r>
      <w:r>
        <w:rPr>
          <w:bCs/>
          <w:color w:val="000000" w:themeColor="text1"/>
          <w:highlight w:val="none"/>
        </w:rPr>
        <w:t>；</w:t>
      </w:r>
      <w:r>
        <w:rPr>
          <w:color w:val="000000" w:themeColor="text1"/>
          <w:highlight w:val="none"/>
        </w:rPr>
        <w:t>根据</w:t>
      </w:r>
      <w:r>
        <w:rPr>
          <w:rFonts w:hint="eastAsia"/>
          <w:color w:val="000000" w:themeColor="text1"/>
          <w:highlight w:val="none"/>
          <w:lang w:eastAsia="zh-CN"/>
        </w:rPr>
        <w:t>四川天骞矿产资源咨询服务有限公司</w:t>
      </w:r>
      <w:r>
        <w:rPr>
          <w:rFonts w:hint="eastAsia"/>
          <w:color w:val="000000" w:themeColor="text1"/>
          <w:highlight w:val="none"/>
        </w:rPr>
        <w:t>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w:t>
      </w:r>
      <w:r>
        <w:rPr>
          <w:color w:val="000000" w:themeColor="text1"/>
          <w:highlight w:val="none"/>
        </w:rPr>
        <w:t>月提交的《</w:t>
      </w:r>
      <w:r>
        <w:rPr>
          <w:rFonts w:hint="eastAsia"/>
          <w:color w:val="000000" w:themeColor="text1"/>
          <w:highlight w:val="none"/>
          <w:lang w:eastAsia="zh-CN"/>
        </w:rPr>
        <w:t>旺苍县三江镇战旗石灰石矿资源储量核实报告</w:t>
      </w:r>
      <w:r>
        <w:rPr>
          <w:color w:val="000000" w:themeColor="text1"/>
          <w:highlight w:val="none"/>
        </w:rPr>
        <w:t>》</w:t>
      </w:r>
      <w:r>
        <w:rPr>
          <w:rFonts w:hint="eastAsia"/>
          <w:color w:val="000000" w:themeColor="text1"/>
          <w:highlight w:val="none"/>
          <w:lang w:eastAsia="zh-CN"/>
        </w:rPr>
        <w:t>，</w:t>
      </w:r>
      <w:r>
        <w:rPr>
          <w:rFonts w:hint="eastAsia"/>
          <w:color w:val="000000" w:themeColor="text1"/>
          <w:highlight w:val="none"/>
        </w:rPr>
        <w:t>境界内的矿石量约为270.17万吨，均为保有控制资源量。</w:t>
      </w:r>
    </w:p>
    <w:p>
      <w:pPr>
        <w:rPr>
          <w:rFonts w:hint="eastAsia"/>
          <w:color w:val="000000" w:themeColor="text1"/>
          <w:highlight w:val="none"/>
        </w:rPr>
      </w:pPr>
      <w:r>
        <w:rPr>
          <w:rFonts w:hint="eastAsia"/>
          <w:color w:val="000000" w:themeColor="text1"/>
          <w:highlight w:val="none"/>
        </w:rPr>
        <w:t>按回采率95%，生产规模50万吨/年计算，资源量服务年限为：</w:t>
      </w:r>
    </w:p>
    <w:p>
      <w:pPr>
        <w:ind w:left="0" w:leftChars="0" w:right="0" w:rightChars="0" w:firstLine="0" w:firstLineChars="0"/>
        <w:jc w:val="center"/>
        <w:rPr>
          <w:rFonts w:hint="eastAsia"/>
          <w:color w:val="000000" w:themeColor="text1"/>
          <w:highlight w:val="none"/>
        </w:rPr>
      </w:pPr>
      <w:r>
        <w:rPr>
          <w:rFonts w:hint="eastAsia"/>
          <w:color w:val="000000" w:themeColor="text1"/>
          <w:highlight w:val="none"/>
        </w:rPr>
        <w:t>T=Qη/A=270.17×95%/50≈5.1年。</w:t>
      </w:r>
    </w:p>
    <w:p>
      <w:pPr>
        <w:rPr>
          <w:color w:val="000000" w:themeColor="text1"/>
          <w:highlight w:val="none"/>
        </w:rPr>
      </w:pPr>
      <w:r>
        <w:rPr>
          <w:color w:val="000000" w:themeColor="text1"/>
          <w:highlight w:val="none"/>
        </w:rPr>
        <w:t>以</w:t>
      </w:r>
      <w:r>
        <w:rPr>
          <w:rFonts w:hint="eastAsia"/>
          <w:color w:val="000000" w:themeColor="text1"/>
          <w:highlight w:val="none"/>
        </w:rPr>
        <w:t>20</w:t>
      </w:r>
      <w:r>
        <w:rPr>
          <w:rFonts w:hint="eastAsia"/>
          <w:color w:val="000000" w:themeColor="text1"/>
          <w:highlight w:val="none"/>
          <w:lang w:val="en-US" w:eastAsia="zh-CN"/>
        </w:rPr>
        <w:t>22</w:t>
      </w:r>
      <w:r>
        <w:rPr>
          <w:color w:val="000000" w:themeColor="text1"/>
          <w:highlight w:val="none"/>
        </w:rPr>
        <w:t>年</w:t>
      </w:r>
      <w:r>
        <w:rPr>
          <w:rFonts w:hint="eastAsia"/>
          <w:color w:val="000000" w:themeColor="text1"/>
          <w:highlight w:val="none"/>
          <w:lang w:val="en-US" w:eastAsia="zh-CN"/>
        </w:rPr>
        <w:t>12</w:t>
      </w:r>
      <w:r>
        <w:rPr>
          <w:color w:val="000000" w:themeColor="text1"/>
          <w:highlight w:val="none"/>
        </w:rPr>
        <w:t>月为准，矿</w:t>
      </w:r>
      <w:r>
        <w:rPr>
          <w:rFonts w:hint="eastAsia"/>
          <w:color w:val="000000" w:themeColor="text1"/>
          <w:highlight w:val="none"/>
          <w:lang w:eastAsia="zh-CN"/>
        </w:rPr>
        <w:t>石</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p>
    <w:p>
      <w:pPr>
        <w:rPr>
          <w:color w:val="000000" w:themeColor="text1"/>
          <w:highlight w:val="none"/>
        </w:rPr>
      </w:pPr>
      <w:r>
        <w:rPr>
          <w:color w:val="000000" w:themeColor="text1"/>
          <w:highlight w:val="none"/>
        </w:rPr>
        <w:t>3、</w:t>
      </w:r>
      <w:r>
        <w:rPr>
          <w:rFonts w:hint="eastAsia"/>
          <w:color w:val="000000" w:themeColor="text1"/>
          <w:highlight w:val="none"/>
        </w:rPr>
        <w:t>本矿山采矿证尚未到期，</w:t>
      </w:r>
      <w:r>
        <w:rPr>
          <w:rFonts w:hint="eastAsia"/>
          <w:color w:val="000000" w:themeColor="text1"/>
          <w:highlight w:val="none"/>
          <w:lang w:eastAsia="zh-CN"/>
        </w:rPr>
        <w:t>由于矿权范围变更，需重新申请新的采矿许可证，</w:t>
      </w:r>
      <w:r>
        <w:rPr>
          <w:rFonts w:hint="eastAsia"/>
          <w:color w:val="000000" w:themeColor="text1"/>
          <w:highlight w:val="none"/>
        </w:rPr>
        <w:t>方案服务年限根据</w:t>
      </w:r>
      <w:r>
        <w:rPr>
          <w:rFonts w:hint="eastAsia"/>
          <w:color w:val="000000" w:themeColor="text1"/>
          <w:highlight w:val="none"/>
          <w:lang w:eastAsia="zh-CN"/>
        </w:rPr>
        <w:t>矿山剩余服务年限确定</w:t>
      </w:r>
      <w:r>
        <w:rPr>
          <w:rFonts w:hint="eastAsia"/>
          <w:color w:val="000000" w:themeColor="text1"/>
          <w:highlight w:val="none"/>
        </w:rPr>
        <w:t>，</w:t>
      </w:r>
      <w:r>
        <w:rPr>
          <w:rFonts w:hint="eastAsia"/>
          <w:color w:val="000000" w:themeColor="text1"/>
          <w:highlight w:val="none"/>
          <w:lang w:eastAsia="zh-CN"/>
        </w:rPr>
        <w:t>矿山</w:t>
      </w:r>
      <w:r>
        <w:rPr>
          <w:color w:val="000000" w:themeColor="text1"/>
          <w:highlight w:val="none"/>
        </w:rPr>
        <w:t>剩余服务年限</w:t>
      </w:r>
      <w:r>
        <w:rPr>
          <w:rFonts w:hint="eastAsia"/>
          <w:color w:val="000000" w:themeColor="text1"/>
          <w:highlight w:val="none"/>
          <w:lang w:val="en-US" w:eastAsia="zh-CN"/>
        </w:rPr>
        <w:t>4.2</w:t>
      </w:r>
      <w:r>
        <w:rPr>
          <w:color w:val="000000" w:themeColor="text1"/>
          <w:highlight w:val="none"/>
        </w:rPr>
        <w:t>年</w:t>
      </w:r>
      <w:r>
        <w:rPr>
          <w:rFonts w:hint="eastAsia"/>
          <w:color w:val="000000" w:themeColor="text1"/>
          <w:highlight w:val="none"/>
        </w:rPr>
        <w:t>，截止</w:t>
      </w:r>
      <w:r>
        <w:rPr>
          <w:rFonts w:hint="eastAsia"/>
          <w:color w:val="000000" w:themeColor="text1"/>
          <w:highlight w:val="none"/>
          <w:lang w:eastAsia="zh-CN"/>
        </w:rPr>
        <w:t>至</w:t>
      </w:r>
      <w:r>
        <w:rPr>
          <w:rFonts w:hint="eastAsia"/>
          <w:color w:val="000000" w:themeColor="text1"/>
          <w:highlight w:val="none"/>
        </w:rPr>
        <w:t>20</w:t>
      </w:r>
      <w:r>
        <w:rPr>
          <w:rFonts w:hint="eastAsia"/>
          <w:color w:val="000000" w:themeColor="text1"/>
          <w:highlight w:val="none"/>
          <w:lang w:val="en-US" w:eastAsia="zh-CN"/>
        </w:rPr>
        <w:t>27</w:t>
      </w:r>
      <w:r>
        <w:rPr>
          <w:rFonts w:hint="eastAsia"/>
          <w:color w:val="000000" w:themeColor="text1"/>
          <w:highlight w:val="none"/>
        </w:rPr>
        <w:t>年</w:t>
      </w:r>
      <w:r>
        <w:rPr>
          <w:rFonts w:hint="eastAsia"/>
          <w:color w:val="000000" w:themeColor="text1"/>
          <w:highlight w:val="none"/>
          <w:lang w:val="en-US" w:eastAsia="zh-CN"/>
        </w:rPr>
        <w:t>2</w:t>
      </w:r>
      <w:r>
        <w:rPr>
          <w:rFonts w:hint="eastAsia"/>
          <w:color w:val="000000" w:themeColor="text1"/>
          <w:highlight w:val="none"/>
        </w:rPr>
        <w:t>月，矿山地质环境治理与</w:t>
      </w:r>
      <w:r>
        <w:rPr>
          <w:color w:val="000000" w:themeColor="text1"/>
          <w:highlight w:val="none"/>
        </w:rPr>
        <w:t>土地复垦</w:t>
      </w:r>
      <w:r>
        <w:rPr>
          <w:rFonts w:hint="eastAsia"/>
          <w:color w:val="000000" w:themeColor="text1"/>
          <w:highlight w:val="none"/>
        </w:rPr>
        <w:t>总</w:t>
      </w:r>
      <w:r>
        <w:rPr>
          <w:color w:val="000000" w:themeColor="text1"/>
          <w:highlight w:val="none"/>
        </w:rPr>
        <w:t>工期设计为</w:t>
      </w:r>
      <w:r>
        <w:rPr>
          <w:rFonts w:hint="eastAsia"/>
          <w:color w:val="000000" w:themeColor="text1"/>
          <w:highlight w:val="none"/>
        </w:rPr>
        <w:t>0.5</w:t>
      </w:r>
      <w:r>
        <w:rPr>
          <w:color w:val="000000" w:themeColor="text1"/>
          <w:highlight w:val="none"/>
        </w:rPr>
        <w:t>年，监测管护期3</w:t>
      </w:r>
      <w:r>
        <w:rPr>
          <w:rFonts w:hint="eastAsia"/>
          <w:color w:val="000000" w:themeColor="text1"/>
          <w:highlight w:val="none"/>
        </w:rPr>
        <w:t>年</w:t>
      </w:r>
      <w:r>
        <w:rPr>
          <w:color w:val="000000" w:themeColor="text1"/>
          <w:highlight w:val="none"/>
        </w:rPr>
        <w:t>，因此，复垦方案服务年限自20</w:t>
      </w:r>
      <w:r>
        <w:rPr>
          <w:rFonts w:hint="eastAsia"/>
          <w:color w:val="000000" w:themeColor="text1"/>
          <w:highlight w:val="none"/>
        </w:rPr>
        <w:t>2</w:t>
      </w:r>
      <w:r>
        <w:rPr>
          <w:rFonts w:hint="eastAsia"/>
          <w:color w:val="000000" w:themeColor="text1"/>
          <w:highlight w:val="none"/>
          <w:lang w:val="en-US" w:eastAsia="zh-CN"/>
        </w:rPr>
        <w:t>2</w:t>
      </w:r>
      <w:r>
        <w:rPr>
          <w:color w:val="000000" w:themeColor="text1"/>
          <w:highlight w:val="none"/>
        </w:rPr>
        <w:t>年</w:t>
      </w:r>
      <w:r>
        <w:rPr>
          <w:rFonts w:hint="eastAsia"/>
          <w:color w:val="000000" w:themeColor="text1"/>
          <w:highlight w:val="none"/>
          <w:lang w:val="en-US" w:eastAsia="zh-CN"/>
        </w:rPr>
        <w:t>12</w:t>
      </w:r>
      <w:r>
        <w:rPr>
          <w:rFonts w:hint="eastAsia"/>
          <w:color w:val="000000" w:themeColor="text1"/>
          <w:highlight w:val="none"/>
        </w:rPr>
        <w:t>月</w:t>
      </w:r>
      <w:r>
        <w:rPr>
          <w:color w:val="000000" w:themeColor="text1"/>
          <w:highlight w:val="none"/>
        </w:rPr>
        <w:t>至2</w:t>
      </w:r>
      <w:r>
        <w:rPr>
          <w:rFonts w:hint="eastAsia"/>
          <w:color w:val="000000" w:themeColor="text1"/>
          <w:highlight w:val="none"/>
          <w:lang w:val="en-US" w:eastAsia="zh-CN"/>
        </w:rPr>
        <w:t>030</w:t>
      </w:r>
      <w:r>
        <w:rPr>
          <w:color w:val="000000" w:themeColor="text1"/>
          <w:highlight w:val="none"/>
        </w:rPr>
        <w:t>年</w:t>
      </w:r>
      <w:r>
        <w:rPr>
          <w:rFonts w:hint="eastAsia"/>
          <w:color w:val="000000" w:themeColor="text1"/>
          <w:highlight w:val="none"/>
          <w:lang w:val="en-US" w:eastAsia="zh-CN"/>
        </w:rPr>
        <w:t>8</w:t>
      </w:r>
      <w:r>
        <w:rPr>
          <w:rFonts w:hint="eastAsia"/>
          <w:color w:val="000000" w:themeColor="text1"/>
          <w:highlight w:val="none"/>
        </w:rPr>
        <w:t>月</w:t>
      </w:r>
      <w:r>
        <w:rPr>
          <w:color w:val="000000" w:themeColor="text1"/>
          <w:highlight w:val="none"/>
        </w:rPr>
        <w:t>，共</w:t>
      </w:r>
      <w:r>
        <w:rPr>
          <w:rFonts w:hint="eastAsia"/>
          <w:color w:val="000000" w:themeColor="text1"/>
          <w:highlight w:val="none"/>
          <w:lang w:val="en-US" w:eastAsia="zh-CN"/>
        </w:rPr>
        <w:t>7.7</w:t>
      </w:r>
      <w:r>
        <w:rPr>
          <w:rFonts w:hint="eastAsia"/>
          <w:color w:val="000000" w:themeColor="text1"/>
          <w:highlight w:val="none"/>
        </w:rPr>
        <w:t>年</w:t>
      </w:r>
      <w:r>
        <w:rPr>
          <w:color w:val="000000" w:themeColor="text1"/>
          <w:highlight w:val="none"/>
        </w:rPr>
        <w:t>。。</w:t>
      </w:r>
    </w:p>
    <w:p>
      <w:pPr>
        <w:rPr>
          <w:color w:val="000000" w:themeColor="text1"/>
          <w:highlight w:val="none"/>
        </w:rPr>
      </w:pPr>
      <w:r>
        <w:rPr>
          <w:rFonts w:hint="eastAsia"/>
          <w:color w:val="000000" w:themeColor="text1"/>
          <w:highlight w:val="none"/>
        </w:rPr>
        <w:t>4、方案适用年限</w:t>
      </w:r>
    </w:p>
    <w:p>
      <w:pPr>
        <w:rPr>
          <w:color w:val="000000" w:themeColor="text1"/>
          <w:highlight w:val="none"/>
        </w:rPr>
      </w:pPr>
      <w:r>
        <w:rPr>
          <w:color w:val="000000" w:themeColor="text1"/>
          <w:highlight w:val="none"/>
        </w:rPr>
        <w:t>由于矿山服务年限较长，考虑到矿山开采期间开发利用方案有可能进行调整，因此本方案应每5</w:t>
      </w:r>
      <w:r>
        <w:rPr>
          <w:rFonts w:hint="eastAsia"/>
          <w:color w:val="000000" w:themeColor="text1"/>
          <w:highlight w:val="none"/>
        </w:rPr>
        <w:t>年</w:t>
      </w:r>
      <w:r>
        <w:rPr>
          <w:color w:val="000000" w:themeColor="text1"/>
          <w:highlight w:val="none"/>
        </w:rPr>
        <w:t>对其进行一次修订，本方案的适用年限为5</w:t>
      </w:r>
      <w:r>
        <w:rPr>
          <w:rFonts w:hint="eastAsia"/>
          <w:color w:val="000000" w:themeColor="text1"/>
          <w:highlight w:val="none"/>
        </w:rPr>
        <w:t>年</w:t>
      </w:r>
      <w:r>
        <w:rPr>
          <w:color w:val="000000" w:themeColor="text1"/>
          <w:highlight w:val="none"/>
        </w:rPr>
        <w:t>。但当开采方法、扩大规模等变更开采方式时，应重新编制矿山地质环境保护与土地复垦方案</w:t>
      </w:r>
      <w:r>
        <w:rPr>
          <w:rFonts w:hint="eastAsia"/>
          <w:color w:val="000000" w:themeColor="text1"/>
          <w:highlight w:val="none"/>
        </w:rPr>
        <w:t>。</w:t>
      </w:r>
    </w:p>
    <w:p>
      <w:pPr>
        <w:pStyle w:val="5"/>
        <w:spacing w:before="82" w:after="82"/>
        <w:rPr>
          <w:color w:val="000000" w:themeColor="text1"/>
          <w:highlight w:val="none"/>
        </w:rPr>
      </w:pPr>
      <w:bookmarkStart w:id="301" w:name="_Toc3009"/>
      <w:r>
        <w:rPr>
          <w:color w:val="000000" w:themeColor="text1"/>
          <w:highlight w:val="none"/>
        </w:rPr>
        <w:t>9.1.2矿山地质环境影响和土地损毁评估</w:t>
      </w:r>
      <w:r>
        <w:rPr>
          <w:rFonts w:hint="eastAsia"/>
          <w:color w:val="000000" w:themeColor="text1"/>
          <w:highlight w:val="none"/>
        </w:rPr>
        <w:t>结论</w:t>
      </w:r>
      <w:bookmarkEnd w:id="301"/>
    </w:p>
    <w:p>
      <w:pPr>
        <w:rPr>
          <w:color w:val="000000" w:themeColor="text1"/>
          <w:highlight w:val="none"/>
        </w:rPr>
      </w:pPr>
      <w:r>
        <w:rPr>
          <w:color w:val="000000" w:themeColor="text1"/>
          <w:highlight w:val="none"/>
        </w:rPr>
        <w:t>1、评估范围和评估级别</w:t>
      </w:r>
    </w:p>
    <w:p>
      <w:pPr>
        <w:rPr>
          <w:color w:val="000000" w:themeColor="text1"/>
          <w:highlight w:val="none"/>
        </w:rPr>
      </w:pPr>
      <w:r>
        <w:rPr>
          <w:color w:val="000000" w:themeColor="text1"/>
          <w:highlight w:val="none"/>
        </w:rPr>
        <w:t>根据矿权范围，同时考虑矿山开采后对外围的影响，以及危害来源的矿山自身的影响，评估范围将超出矿山范围，至第一分水岭，确定评估范围总面积约</w:t>
      </w:r>
      <w:r>
        <w:rPr>
          <w:rFonts w:hint="eastAsia"/>
          <w:color w:val="000000" w:themeColor="text1"/>
          <w:highlight w:val="none"/>
          <w:lang w:eastAsia="zh-CN"/>
        </w:rPr>
        <w:t>0.2661</w:t>
      </w:r>
      <w:r>
        <w:rPr>
          <w:rFonts w:hint="eastAsia"/>
          <w:color w:val="000000" w:themeColor="text1"/>
          <w:highlight w:val="none"/>
        </w:rPr>
        <w:t>km</w:t>
      </w:r>
      <w:r>
        <w:rPr>
          <w:color w:val="000000" w:themeColor="text1"/>
          <w:highlight w:val="none"/>
          <w:vertAlign w:val="superscript"/>
        </w:rPr>
        <w:t>2</w:t>
      </w:r>
      <w:r>
        <w:rPr>
          <w:color w:val="000000" w:themeColor="text1"/>
          <w:highlight w:val="none"/>
        </w:rPr>
        <w:t>。</w:t>
      </w:r>
    </w:p>
    <w:p>
      <w:pPr>
        <w:rPr>
          <w:color w:val="000000" w:themeColor="text1"/>
          <w:highlight w:val="none"/>
        </w:rPr>
      </w:pPr>
      <w:r>
        <w:rPr>
          <w:rFonts w:hint="eastAsia"/>
          <w:color w:val="000000" w:themeColor="text1"/>
          <w:highlight w:val="none"/>
          <w:lang w:eastAsia="zh-CN"/>
        </w:rPr>
        <w:t>旺苍县华隆建材有限公司三江镇战旗石灰石矿</w:t>
      </w:r>
      <w:r>
        <w:rPr>
          <w:color w:val="000000" w:themeColor="text1"/>
          <w:highlight w:val="none"/>
        </w:rPr>
        <w:t>矿山地质环境复杂程度属</w:t>
      </w:r>
      <w:r>
        <w:rPr>
          <w:rFonts w:hint="eastAsia"/>
          <w:color w:val="000000" w:themeColor="text1"/>
          <w:highlight w:val="none"/>
        </w:rPr>
        <w:t>复杂</w:t>
      </w:r>
      <w:r>
        <w:rPr>
          <w:color w:val="000000" w:themeColor="text1"/>
          <w:highlight w:val="none"/>
        </w:rPr>
        <w:t>；所建矿山属</w:t>
      </w:r>
      <w:r>
        <w:rPr>
          <w:rFonts w:hint="eastAsia"/>
          <w:color w:val="000000" w:themeColor="text1"/>
          <w:highlight w:val="none"/>
          <w:lang w:eastAsia="zh-CN"/>
        </w:rPr>
        <w:t>小型</w:t>
      </w:r>
      <w:r>
        <w:rPr>
          <w:color w:val="000000" w:themeColor="text1"/>
          <w:highlight w:val="none"/>
        </w:rPr>
        <w:t>矿山；评估区重要程度属</w:t>
      </w:r>
      <w:r>
        <w:rPr>
          <w:rFonts w:hint="eastAsia"/>
          <w:color w:val="000000" w:themeColor="text1"/>
          <w:highlight w:val="none"/>
          <w:lang w:eastAsia="zh-CN"/>
        </w:rPr>
        <w:t>较</w:t>
      </w:r>
      <w:r>
        <w:rPr>
          <w:color w:val="000000" w:themeColor="text1"/>
          <w:highlight w:val="none"/>
        </w:rPr>
        <w:t>重要区。根据《矿山地质环境保护与治理恢复方案编制规范》（DZ/T223-2011</w:t>
      </w:r>
      <w:r>
        <w:rPr>
          <w:rFonts w:hint="eastAsia"/>
          <w:color w:val="000000" w:themeColor="text1"/>
          <w:highlight w:val="none"/>
        </w:rPr>
        <w:t>）</w:t>
      </w:r>
      <w:r>
        <w:rPr>
          <w:color w:val="000000" w:themeColor="text1"/>
          <w:highlight w:val="none"/>
        </w:rPr>
        <w:t>附录A确定矿山地质环境影响评估精度分级为一级。</w:t>
      </w:r>
    </w:p>
    <w:p>
      <w:pPr>
        <w:rPr>
          <w:color w:val="000000" w:themeColor="text1"/>
          <w:highlight w:val="none"/>
        </w:rPr>
      </w:pPr>
      <w:r>
        <w:rPr>
          <w:color w:val="000000" w:themeColor="text1"/>
          <w:highlight w:val="none"/>
        </w:rPr>
        <w:t>2、矿山地质环境现状评估概况</w:t>
      </w:r>
    </w:p>
    <w:p>
      <w:pPr>
        <w:rPr>
          <w:color w:val="000000" w:themeColor="text1"/>
          <w:highlight w:val="none"/>
        </w:rPr>
      </w:pPr>
      <w:r>
        <w:rPr>
          <w:color w:val="000000" w:themeColor="text1"/>
          <w:highlight w:val="none"/>
        </w:rPr>
        <w:t>现状条件下，</w:t>
      </w:r>
      <w:r>
        <w:rPr>
          <w:rFonts w:hint="eastAsia"/>
          <w:color w:val="000000" w:themeColor="text1"/>
          <w:highlight w:val="none"/>
          <w:lang w:eastAsia="zh-CN"/>
        </w:rPr>
        <w:t>三江镇战旗石灰石矿</w:t>
      </w:r>
      <w:r>
        <w:rPr>
          <w:color w:val="000000" w:themeColor="text1"/>
          <w:highlight w:val="none"/>
        </w:rPr>
        <w:t>地面场地及公用辅助建设工程（包括露天采场</w:t>
      </w:r>
      <w:r>
        <w:rPr>
          <w:rFonts w:hint="eastAsia"/>
          <w:color w:val="000000" w:themeColor="text1"/>
          <w:highlight w:val="none"/>
        </w:rPr>
        <w:t>、矿山公路</w:t>
      </w:r>
      <w:r>
        <w:rPr>
          <w:color w:val="000000" w:themeColor="text1"/>
          <w:highlight w:val="none"/>
        </w:rPr>
        <w:t>等）</w:t>
      </w:r>
      <w:r>
        <w:rPr>
          <w:rFonts w:hint="eastAsia"/>
          <w:color w:val="000000" w:themeColor="text1"/>
          <w:highlight w:val="none"/>
        </w:rPr>
        <w:t>，</w:t>
      </w:r>
      <w:r>
        <w:rPr>
          <w:color w:val="000000" w:themeColor="text1"/>
          <w:highlight w:val="none"/>
        </w:rPr>
        <w:t>对地质环境影响</w:t>
      </w:r>
      <w:r>
        <w:rPr>
          <w:rFonts w:hint="eastAsia"/>
          <w:color w:val="000000" w:themeColor="text1"/>
          <w:spacing w:val="-3"/>
          <w:highlight w:val="none"/>
        </w:rPr>
        <w:t>严重</w:t>
      </w:r>
      <w:r>
        <w:rPr>
          <w:color w:val="000000" w:themeColor="text1"/>
          <w:highlight w:val="none"/>
        </w:rPr>
        <w:t>。评估区</w:t>
      </w:r>
      <w:r>
        <w:rPr>
          <w:color w:val="000000" w:themeColor="text1"/>
          <w:spacing w:val="3"/>
          <w:highlight w:val="none"/>
        </w:rPr>
        <w:t>其余地段对地质环境</w:t>
      </w:r>
      <w:r>
        <w:rPr>
          <w:color w:val="000000" w:themeColor="text1"/>
          <w:highlight w:val="none"/>
        </w:rPr>
        <w:t>影响较轻。</w:t>
      </w:r>
    </w:p>
    <w:p>
      <w:pPr>
        <w:pStyle w:val="67"/>
        <w:rPr>
          <w:color w:val="000000" w:themeColor="text1"/>
          <w:highlight w:val="none"/>
        </w:rPr>
      </w:pPr>
      <w:r>
        <w:rPr>
          <w:color w:val="000000" w:themeColor="text1"/>
          <w:highlight w:val="none"/>
        </w:rPr>
        <w:t>表</w:t>
      </w:r>
      <w:r>
        <w:rPr>
          <w:rFonts w:hint="eastAsia"/>
          <w:color w:val="000000" w:themeColor="text1"/>
          <w:highlight w:val="none"/>
        </w:rPr>
        <w:t xml:space="preserve">9-1  </w:t>
      </w:r>
      <w:r>
        <w:rPr>
          <w:color w:val="000000" w:themeColor="text1"/>
          <w:highlight w:val="none"/>
        </w:rPr>
        <w:t>矿山地质环境影响现状评估汇总表</w:t>
      </w:r>
    </w:p>
    <w:tbl>
      <w:tblPr>
        <w:tblStyle w:val="31"/>
        <w:tblW w:w="5000" w:type="pct"/>
        <w:jc w:val="center"/>
        <w:tblLayout w:type="autofit"/>
        <w:tblCellMar>
          <w:top w:w="0" w:type="dxa"/>
          <w:left w:w="108" w:type="dxa"/>
          <w:bottom w:w="0" w:type="dxa"/>
          <w:right w:w="108" w:type="dxa"/>
        </w:tblCellMar>
      </w:tblPr>
      <w:tblGrid>
        <w:gridCol w:w="816"/>
        <w:gridCol w:w="1313"/>
        <w:gridCol w:w="1064"/>
        <w:gridCol w:w="1064"/>
        <w:gridCol w:w="1064"/>
        <w:gridCol w:w="1064"/>
        <w:gridCol w:w="1066"/>
        <w:gridCol w:w="1064"/>
      </w:tblGrid>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序号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评估对象</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szCs w:val="21"/>
                <w:highlight w:val="none"/>
              </w:rPr>
              <w:t>面积</w:t>
            </w:r>
            <w:r>
              <w:rPr>
                <w:color w:val="000000" w:themeColor="text1"/>
                <w:highlight w:val="none"/>
              </w:rPr>
              <w:t>（hm</w:t>
            </w:r>
            <w:r>
              <w:rPr>
                <w:color w:val="000000" w:themeColor="text1"/>
                <w:highlight w:val="none"/>
                <w:vertAlign w:val="superscript"/>
              </w:rPr>
              <w:t>2</w:t>
            </w:r>
            <w:r>
              <w:rPr>
                <w:color w:val="000000" w:themeColor="text1"/>
                <w:highlight w:val="none"/>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地质灾害</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含水层</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地形地貌景观</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水土环境污染</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总评</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color w:val="000000" w:themeColor="text1"/>
                <w:highlight w:val="none"/>
              </w:rPr>
              <w:t>1</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露天采场</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5.5458</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r>
      <w:tr>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2</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矿山公路</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eastAsia="zh-CN"/>
              </w:rPr>
              <w:t>0.5465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严重</w:t>
            </w:r>
          </w:p>
        </w:tc>
      </w:tr>
      <w:tr>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highlight w:val="none"/>
                <w:lang w:eastAsia="zh-CN"/>
              </w:rPr>
            </w:pPr>
            <w:r>
              <w:rPr>
                <w:rFonts w:hint="eastAsia"/>
                <w:color w:val="000000" w:themeColor="text1"/>
                <w:highlight w:val="none"/>
                <w:lang w:val="en-US" w:eastAsia="zh-CN"/>
              </w:rPr>
              <w:t>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评估区其余区域</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rFonts w:hint="default" w:eastAsia="宋体"/>
                <w:color w:val="000000" w:themeColor="text1"/>
                <w:highlight w:val="none"/>
                <w:lang w:val="en-US" w:eastAsia="zh-CN"/>
              </w:rPr>
            </w:pPr>
            <w:r>
              <w:rPr>
                <w:rFonts w:hint="eastAsia"/>
                <w:color w:val="000000" w:themeColor="text1"/>
                <w:highlight w:val="none"/>
                <w:lang w:val="en-US" w:eastAsia="zh-CN"/>
              </w:rPr>
              <w:t>20.6055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highlight w:val="none"/>
              </w:rPr>
            </w:pPr>
            <w:r>
              <w:rPr>
                <w:rFonts w:hint="eastAsia"/>
                <w:color w:val="000000" w:themeColor="text1"/>
                <w:highlight w:val="none"/>
              </w:rPr>
              <w:t>较轻</w:t>
            </w:r>
          </w:p>
        </w:tc>
      </w:tr>
    </w:tbl>
    <w:p>
      <w:pPr>
        <w:rPr>
          <w:color w:val="000000" w:themeColor="text1"/>
          <w:highlight w:val="none"/>
        </w:rPr>
      </w:pPr>
      <w:r>
        <w:rPr>
          <w:color w:val="000000" w:themeColor="text1"/>
          <w:highlight w:val="none"/>
        </w:rPr>
        <w:t>3、矿山地质环境预测评估概况</w:t>
      </w:r>
    </w:p>
    <w:p>
      <w:pPr>
        <w:rPr>
          <w:color w:val="000000" w:themeColor="text1"/>
          <w:highlight w:val="none"/>
        </w:rPr>
      </w:pPr>
      <w:r>
        <w:rPr>
          <w:color w:val="000000" w:themeColor="text1"/>
          <w:highlight w:val="none"/>
        </w:rPr>
        <w:t>预测条件下</w:t>
      </w:r>
      <w:r>
        <w:rPr>
          <w:rFonts w:hint="eastAsia"/>
          <w:color w:val="000000" w:themeColor="text1"/>
          <w:highlight w:val="none"/>
        </w:rPr>
        <w:t>，</w:t>
      </w:r>
      <w:r>
        <w:rPr>
          <w:rFonts w:hint="eastAsia"/>
          <w:color w:val="000000" w:themeColor="text1"/>
          <w:highlight w:val="none"/>
          <w:lang w:eastAsia="zh-CN"/>
        </w:rPr>
        <w:t>三江镇战旗石灰石矿</w:t>
      </w:r>
      <w:r>
        <w:rPr>
          <w:color w:val="000000" w:themeColor="text1"/>
          <w:highlight w:val="none"/>
        </w:rPr>
        <w:t>地面场地及公用辅助建设工程（包括露天采场、</w:t>
      </w:r>
      <w:r>
        <w:rPr>
          <w:rFonts w:hint="eastAsia"/>
          <w:color w:val="000000" w:themeColor="text1"/>
          <w:highlight w:val="none"/>
        </w:rPr>
        <w:t>矿山公路</w:t>
      </w:r>
      <w:r>
        <w:rPr>
          <w:color w:val="000000" w:themeColor="text1"/>
          <w:highlight w:val="none"/>
        </w:rPr>
        <w:t>等）</w:t>
      </w:r>
      <w:r>
        <w:rPr>
          <w:rFonts w:hint="eastAsia"/>
          <w:color w:val="000000" w:themeColor="text1"/>
          <w:highlight w:val="none"/>
        </w:rPr>
        <w:t>，</w:t>
      </w:r>
      <w:r>
        <w:rPr>
          <w:color w:val="000000" w:themeColor="text1"/>
          <w:highlight w:val="none"/>
        </w:rPr>
        <w:t>对地质环境影响</w:t>
      </w:r>
      <w:r>
        <w:rPr>
          <w:rFonts w:hint="eastAsia"/>
          <w:color w:val="000000" w:themeColor="text1"/>
          <w:spacing w:val="-3"/>
          <w:highlight w:val="none"/>
        </w:rPr>
        <w:t>严重</w:t>
      </w:r>
      <w:r>
        <w:rPr>
          <w:rFonts w:hint="eastAsia"/>
          <w:color w:val="000000" w:themeColor="text1"/>
          <w:highlight w:val="none"/>
        </w:rPr>
        <w:t>；</w:t>
      </w:r>
      <w:r>
        <w:rPr>
          <w:color w:val="000000" w:themeColor="text1"/>
          <w:highlight w:val="none"/>
        </w:rPr>
        <w:t>评估区</w:t>
      </w:r>
      <w:r>
        <w:rPr>
          <w:color w:val="000000" w:themeColor="text1"/>
          <w:spacing w:val="3"/>
          <w:highlight w:val="none"/>
        </w:rPr>
        <w:t>其余地段对地质环境</w:t>
      </w:r>
      <w:r>
        <w:rPr>
          <w:color w:val="000000" w:themeColor="text1"/>
          <w:highlight w:val="none"/>
        </w:rPr>
        <w:t>影响较轻。</w:t>
      </w:r>
    </w:p>
    <w:p>
      <w:pPr>
        <w:pStyle w:val="67"/>
        <w:rPr>
          <w:color w:val="000000" w:themeColor="text1"/>
          <w:highlight w:val="none"/>
        </w:rPr>
      </w:pPr>
      <w:r>
        <w:rPr>
          <w:color w:val="000000" w:themeColor="text1"/>
          <w:highlight w:val="none"/>
        </w:rPr>
        <w:t>表</w:t>
      </w:r>
      <w:r>
        <w:rPr>
          <w:rFonts w:hint="eastAsia"/>
          <w:color w:val="000000" w:themeColor="text1"/>
          <w:highlight w:val="none"/>
        </w:rPr>
        <w:t xml:space="preserve">9-2  </w:t>
      </w:r>
      <w:r>
        <w:rPr>
          <w:color w:val="000000" w:themeColor="text1"/>
          <w:highlight w:val="none"/>
        </w:rPr>
        <w:t>矿山地质环境影响预测评估汇总表</w:t>
      </w:r>
    </w:p>
    <w:tbl>
      <w:tblPr>
        <w:tblStyle w:val="31"/>
        <w:tblW w:w="5000" w:type="pct"/>
        <w:jc w:val="center"/>
        <w:tblLayout w:type="autofit"/>
        <w:tblCellMar>
          <w:top w:w="0" w:type="dxa"/>
          <w:left w:w="108" w:type="dxa"/>
          <w:bottom w:w="0" w:type="dxa"/>
          <w:right w:w="108" w:type="dxa"/>
        </w:tblCellMar>
      </w:tblPr>
      <w:tblGrid>
        <w:gridCol w:w="816"/>
        <w:gridCol w:w="1313"/>
        <w:gridCol w:w="1064"/>
        <w:gridCol w:w="1064"/>
        <w:gridCol w:w="1064"/>
        <w:gridCol w:w="1064"/>
        <w:gridCol w:w="1066"/>
        <w:gridCol w:w="1064"/>
      </w:tblGrid>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序号</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评估对象</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面积</w:t>
            </w:r>
            <w:r>
              <w:rPr>
                <w:color w:val="000000" w:themeColor="text1"/>
                <w:kern w:val="0"/>
                <w:highlight w:val="none"/>
              </w:rPr>
              <w:t>（hm</w:t>
            </w:r>
            <w:r>
              <w:rPr>
                <w:color w:val="000000" w:themeColor="text1"/>
                <w:kern w:val="0"/>
                <w:highlight w:val="none"/>
                <w:vertAlign w:val="superscript"/>
              </w:rPr>
              <w:t>2</w:t>
            </w:r>
            <w:r>
              <w:rPr>
                <w:color w:val="000000" w:themeColor="text1"/>
                <w:kern w:val="0"/>
                <w:highlight w:val="none"/>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地质灾害</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含水层</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地形地貌景观</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水土环境污染</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总评</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color w:val="000000" w:themeColor="text1"/>
                <w:kern w:val="0"/>
                <w:highlight w:val="none"/>
              </w:rPr>
              <w:t>1</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露天采场</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8.9779</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val="en-US" w:eastAsia="zh-CN"/>
              </w:rPr>
              <w:t>2</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矿山公路</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szCs w:val="21"/>
                <w:highlight w:val="none"/>
                <w:lang w:eastAsia="zh-CN"/>
              </w:rPr>
            </w:pPr>
            <w:r>
              <w:rPr>
                <w:rFonts w:hint="eastAsia"/>
                <w:color w:val="000000" w:themeColor="text1"/>
                <w:szCs w:val="21"/>
                <w:highlight w:val="none"/>
                <w:lang w:eastAsia="zh-CN"/>
              </w:rPr>
              <w:t>0.5465</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r>
      <w:tr>
        <w:tblPrEx>
          <w:tblCellMar>
            <w:top w:w="0" w:type="dxa"/>
            <w:left w:w="108" w:type="dxa"/>
            <w:bottom w:w="0" w:type="dxa"/>
            <w:right w:w="108" w:type="dxa"/>
          </w:tblCellMar>
        </w:tblPrEx>
        <w:trPr>
          <w:trHeight w:val="397" w:hRule="atLeast"/>
          <w:jc w:val="center"/>
        </w:trPr>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rFonts w:hint="eastAsia" w:eastAsia="宋体"/>
                <w:color w:val="000000" w:themeColor="text1"/>
                <w:kern w:val="0"/>
                <w:highlight w:val="none"/>
                <w:lang w:eastAsia="zh-CN"/>
              </w:rPr>
            </w:pPr>
            <w:r>
              <w:rPr>
                <w:rFonts w:hint="eastAsia"/>
                <w:color w:val="000000" w:themeColor="text1"/>
                <w:kern w:val="0"/>
                <w:highlight w:val="none"/>
                <w:lang w:val="en-US" w:eastAsia="zh-CN"/>
              </w:rPr>
              <w:t>3</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评估区其余区域</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3"/>
              <w:rPr>
                <w:rFonts w:hint="default" w:eastAsia="宋体"/>
                <w:color w:val="000000" w:themeColor="text1"/>
                <w:szCs w:val="21"/>
                <w:highlight w:val="none"/>
                <w:lang w:val="en-US" w:eastAsia="zh-CN"/>
              </w:rPr>
            </w:pPr>
            <w:r>
              <w:rPr>
                <w:rFonts w:hint="eastAsia"/>
                <w:color w:val="000000" w:themeColor="text1"/>
                <w:szCs w:val="21"/>
                <w:highlight w:val="none"/>
                <w:lang w:val="en-US" w:eastAsia="zh-CN"/>
              </w:rPr>
              <w:t>17.1734</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r>
    </w:tbl>
    <w:p>
      <w:pPr>
        <w:rPr>
          <w:color w:val="000000" w:themeColor="text1"/>
          <w:highlight w:val="none"/>
        </w:rPr>
      </w:pPr>
      <w:r>
        <w:rPr>
          <w:color w:val="000000" w:themeColor="text1"/>
          <w:highlight w:val="none"/>
        </w:rPr>
        <w:t>4、矿山土地损毁现状概况</w:t>
      </w:r>
    </w:p>
    <w:p>
      <w:pPr>
        <w:rPr>
          <w:color w:val="000000" w:themeColor="text1"/>
          <w:highlight w:val="none"/>
        </w:rPr>
      </w:pPr>
      <w:r>
        <w:rPr>
          <w:color w:val="000000" w:themeColor="text1"/>
          <w:highlight w:val="none"/>
        </w:rPr>
        <w:t>项目区已损毁区域面积</w:t>
      </w:r>
      <w:r>
        <w:rPr>
          <w:rFonts w:hint="eastAsia"/>
          <w:color w:val="000000" w:themeColor="text1"/>
          <w:highlight w:val="none"/>
          <w:lang w:val="en-US" w:eastAsia="zh-CN"/>
        </w:rPr>
        <w:t>6.0923</w:t>
      </w:r>
      <w:r>
        <w:rPr>
          <w:color w:val="000000" w:themeColor="text1"/>
          <w:highlight w:val="none"/>
        </w:rPr>
        <w:t>hm</w:t>
      </w:r>
      <w:r>
        <w:rPr>
          <w:color w:val="000000" w:themeColor="text1"/>
          <w:highlight w:val="none"/>
          <w:vertAlign w:val="superscript"/>
        </w:rPr>
        <w:t>2</w:t>
      </w:r>
      <w:r>
        <w:rPr>
          <w:color w:val="000000" w:themeColor="text1"/>
          <w:highlight w:val="none"/>
        </w:rPr>
        <w:t>，主要是露天采场占地面积</w:t>
      </w:r>
      <w:r>
        <w:rPr>
          <w:rFonts w:hint="eastAsia"/>
          <w:color w:val="000000" w:themeColor="text1"/>
          <w:highlight w:val="none"/>
          <w:lang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，矿山公路</w:t>
      </w:r>
      <w:r>
        <w:rPr>
          <w:color w:val="000000" w:themeColor="text1"/>
          <w:highlight w:val="none"/>
        </w:rPr>
        <w:t>占地面积</w:t>
      </w:r>
      <w:r>
        <w:rPr>
          <w:rFonts w:hint="eastAsia"/>
          <w:color w:val="000000" w:themeColor="text1"/>
          <w:highlight w:val="none"/>
          <w:lang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w:t>
      </w:r>
      <w:r>
        <w:rPr>
          <w:color w:val="000000" w:themeColor="text1"/>
          <w:highlight w:val="none"/>
        </w:rPr>
        <w:t>均未占用基本农田。</w:t>
      </w:r>
    </w:p>
    <w:p>
      <w:pPr>
        <w:rPr>
          <w:color w:val="000000" w:themeColor="text1"/>
          <w:highlight w:val="none"/>
        </w:rPr>
      </w:pPr>
      <w:r>
        <w:rPr>
          <w:color w:val="000000" w:themeColor="text1"/>
          <w:highlight w:val="none"/>
        </w:rPr>
        <w:t>5、矿山土地损毁预测概况</w:t>
      </w:r>
    </w:p>
    <w:p>
      <w:pPr>
        <w:rPr>
          <w:color w:val="000000" w:themeColor="text1"/>
          <w:highlight w:val="none"/>
        </w:rPr>
      </w:pPr>
      <w:r>
        <w:rPr>
          <w:rFonts w:hint="eastAsia"/>
          <w:color w:val="000000" w:themeColor="text1"/>
          <w:highlight w:val="none"/>
        </w:rPr>
        <w:t>随矿山生产，台阶下降，采场将新增损毁面积约</w:t>
      </w:r>
      <w:r>
        <w:rPr>
          <w:rFonts w:hint="eastAsia"/>
          <w:color w:val="000000" w:themeColor="text1"/>
          <w:highlight w:val="none"/>
          <w:lang w:val="en-US"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。损毁类型为挖损，损毁地类为</w:t>
      </w:r>
      <w:r>
        <w:rPr>
          <w:rFonts w:hint="eastAsia"/>
          <w:color w:val="000000" w:themeColor="text1"/>
          <w:highlight w:val="none"/>
          <w:lang w:eastAsia="zh-CN"/>
        </w:rPr>
        <w:t>乔木林地</w:t>
      </w:r>
      <w:r>
        <w:rPr>
          <w:rFonts w:hint="eastAsia"/>
          <w:color w:val="000000" w:themeColor="text1"/>
          <w:highlight w:val="none"/>
          <w:lang w:val="en-US" w:eastAsia="zh-CN"/>
        </w:rPr>
        <w:t>3.4321</w:t>
      </w:r>
      <w:r>
        <w:rPr>
          <w:rFonts w:hint="eastAsia"/>
          <w:color w:val="000000" w:themeColor="text1"/>
          <w:highlight w:val="none"/>
        </w:rPr>
        <w:t>hm</w:t>
      </w:r>
      <w:r>
        <w:rPr>
          <w:rFonts w:hint="eastAsia"/>
          <w:color w:val="000000" w:themeColor="text1"/>
          <w:highlight w:val="none"/>
          <w:vertAlign w:val="superscript"/>
        </w:rPr>
        <w:t>2</w:t>
      </w:r>
      <w:r>
        <w:rPr>
          <w:color w:val="000000" w:themeColor="text1"/>
          <w:highlight w:val="none"/>
        </w:rPr>
        <w:t>。</w:t>
      </w:r>
    </w:p>
    <w:p>
      <w:pPr>
        <w:pStyle w:val="5"/>
        <w:spacing w:before="82" w:after="82"/>
        <w:rPr>
          <w:color w:val="000000" w:themeColor="text1"/>
          <w:highlight w:val="none"/>
        </w:rPr>
      </w:pPr>
      <w:bookmarkStart w:id="302" w:name="_Toc853"/>
      <w:r>
        <w:rPr>
          <w:color w:val="000000" w:themeColor="text1"/>
          <w:highlight w:val="none"/>
        </w:rPr>
        <w:t>9.1.3矿山地质环境保护与恢复治理分区与土地复垦范围</w:t>
      </w:r>
      <w:bookmarkEnd w:id="302"/>
    </w:p>
    <w:p>
      <w:pPr>
        <w:rPr>
          <w:color w:val="000000" w:themeColor="text1"/>
          <w:highlight w:val="none"/>
        </w:rPr>
      </w:pPr>
      <w:r>
        <w:rPr>
          <w:color w:val="000000" w:themeColor="text1"/>
          <w:highlight w:val="none"/>
        </w:rPr>
        <w:t>1、矿山地质环境保护与恢复治理分区</w:t>
      </w:r>
    </w:p>
    <w:p>
      <w:pPr>
        <w:rPr>
          <w:color w:val="000000" w:themeColor="text1"/>
          <w:highlight w:val="none"/>
        </w:rPr>
      </w:pPr>
      <w:r>
        <w:rPr>
          <w:color w:val="000000" w:themeColor="text1"/>
          <w:highlight w:val="none"/>
        </w:rPr>
        <w:t>根据分区原则和方法，结合本矿实际，充分考虑区内主要建设工程的重要性，</w:t>
      </w:r>
      <w:r>
        <w:rPr>
          <w:rFonts w:hint="eastAsia"/>
          <w:color w:val="000000" w:themeColor="text1"/>
          <w:highlight w:val="none"/>
        </w:rPr>
        <w:t>矿山地质环境保护与治理恢复分区划分为重点防治区和一般防治区两个区。</w:t>
      </w:r>
    </w:p>
    <w:p>
      <w:pPr>
        <w:rPr>
          <w:color w:val="000000" w:themeColor="text1"/>
          <w:kern w:val="0"/>
          <w:highlight w:val="none"/>
        </w:rPr>
      </w:pPr>
      <w:r>
        <w:rPr>
          <w:rFonts w:hint="eastAsia"/>
          <w:color w:val="000000" w:themeColor="text1"/>
          <w:highlight w:val="none"/>
        </w:rPr>
        <w:t>重点防治区总共由</w:t>
      </w:r>
      <w:r>
        <w:rPr>
          <w:rFonts w:hint="eastAsia"/>
          <w:color w:val="000000" w:themeColor="text1"/>
          <w:highlight w:val="none"/>
          <w:lang w:val="en-US" w:eastAsia="zh-CN"/>
        </w:rPr>
        <w:t>2</w:t>
      </w:r>
      <w:r>
        <w:rPr>
          <w:rFonts w:hint="eastAsia"/>
          <w:color w:val="000000" w:themeColor="text1"/>
          <w:highlight w:val="none"/>
        </w:rPr>
        <w:t>个亚区组成，</w:t>
      </w:r>
      <w:r>
        <w:rPr>
          <w:rFonts w:hint="eastAsia"/>
          <w:color w:val="000000" w:themeColor="text1"/>
          <w:highlight w:val="none"/>
          <w:lang w:eastAsia="zh-CN"/>
        </w:rPr>
        <w:t>其中</w:t>
      </w:r>
      <w:r>
        <w:rPr>
          <w:rFonts w:hint="eastAsia"/>
          <w:color w:val="000000" w:themeColor="text1"/>
          <w:highlight w:val="none"/>
        </w:rPr>
        <w:t>露天采场面积包含现已损毁</w:t>
      </w:r>
      <w:r>
        <w:rPr>
          <w:rFonts w:hint="eastAsia"/>
          <w:color w:val="000000" w:themeColor="text1"/>
          <w:highlight w:val="none"/>
          <w:lang w:eastAsia="zh-CN"/>
        </w:rPr>
        <w:t>5.5458</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、采场开挖新增面积</w:t>
      </w:r>
      <w:r>
        <w:rPr>
          <w:rFonts w:hint="eastAsia"/>
          <w:color w:val="000000" w:themeColor="text1"/>
          <w:highlight w:val="none"/>
          <w:lang w:eastAsia="zh-CN"/>
        </w:rPr>
        <w:t>3.4321</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，共计</w:t>
      </w:r>
      <w:r>
        <w:rPr>
          <w:rFonts w:hint="eastAsia"/>
          <w:color w:val="000000" w:themeColor="text1"/>
          <w:highlight w:val="none"/>
          <w:lang w:eastAsia="zh-CN"/>
        </w:rPr>
        <w:t>8.9779</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；矿山公路面积为</w:t>
      </w:r>
      <w:r>
        <w:rPr>
          <w:rFonts w:hint="eastAsia"/>
          <w:color w:val="000000" w:themeColor="text1"/>
          <w:highlight w:val="none"/>
          <w:lang w:eastAsia="zh-CN"/>
        </w:rPr>
        <w:t>0.5465</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kern w:val="0"/>
          <w:highlight w:val="none"/>
        </w:rPr>
        <w:t>。一般防治区为评估区内除重点防治区和次重点防治区以外的区域，总面积约</w:t>
      </w:r>
      <w:r>
        <w:rPr>
          <w:rFonts w:hint="eastAsia"/>
          <w:color w:val="000000" w:themeColor="text1"/>
          <w:kern w:val="0"/>
          <w:highlight w:val="none"/>
          <w:lang w:eastAsia="zh-CN"/>
        </w:rPr>
        <w:t>17.1734</w:t>
      </w:r>
      <w:r>
        <w:rPr>
          <w:rFonts w:hint="eastAsia"/>
          <w:color w:val="000000" w:themeColor="text1"/>
          <w:kern w:val="0"/>
          <w:highlight w:val="none"/>
        </w:rPr>
        <w:t>hm</w:t>
      </w:r>
      <w:r>
        <w:rPr>
          <w:rFonts w:hint="eastAsia"/>
          <w:color w:val="000000" w:themeColor="text1"/>
          <w:kern w:val="0"/>
          <w:highlight w:val="none"/>
          <w:vertAlign w:val="superscript"/>
        </w:rPr>
        <w:t>2</w:t>
      </w:r>
      <w:r>
        <w:rPr>
          <w:rFonts w:hint="eastAsia"/>
          <w:color w:val="000000" w:themeColor="text1"/>
          <w:kern w:val="0"/>
          <w:highlight w:val="none"/>
        </w:rPr>
        <w:t>。</w:t>
      </w:r>
    </w:p>
    <w:p>
      <w:pPr>
        <w:pStyle w:val="67"/>
        <w:rPr>
          <w:color w:val="000000" w:themeColor="text1"/>
          <w:kern w:val="0"/>
          <w:highlight w:val="none"/>
          <w:vertAlign w:val="superscript"/>
        </w:rPr>
      </w:pPr>
      <w:r>
        <w:rPr>
          <w:color w:val="000000" w:themeColor="text1"/>
          <w:highlight w:val="none"/>
        </w:rPr>
        <w:t>表</w:t>
      </w:r>
      <w:r>
        <w:rPr>
          <w:rFonts w:hint="eastAsia"/>
          <w:color w:val="000000" w:themeColor="text1"/>
          <w:highlight w:val="none"/>
        </w:rPr>
        <w:t>9-3  矿山地质环境保护与治理恢复分区划分表</w:t>
      </w:r>
    </w:p>
    <w:tbl>
      <w:tblPr>
        <w:tblStyle w:val="31"/>
        <w:tblW w:w="52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1118"/>
        <w:gridCol w:w="1004"/>
        <w:gridCol w:w="1068"/>
        <w:gridCol w:w="974"/>
        <w:gridCol w:w="1303"/>
        <w:gridCol w:w="2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gridSpan w:val="2"/>
            <w:shd w:val="clear" w:color="auto" w:fill="auto"/>
            <w:vAlign w:val="center"/>
          </w:tcPr>
          <w:p>
            <w:pPr>
              <w:pStyle w:val="63"/>
              <w:rPr>
                <w:color w:val="000000" w:themeColor="text1"/>
                <w:kern w:val="0"/>
                <w:highlight w:val="none"/>
              </w:rPr>
            </w:pPr>
            <w:r>
              <w:rPr>
                <w:rFonts w:hint="eastAsia"/>
                <w:color w:val="000000" w:themeColor="text1"/>
                <w:kern w:val="0"/>
                <w:highlight w:val="none"/>
              </w:rPr>
              <w:t>矿山地质环境保护与治理恢复分区</w:t>
            </w:r>
          </w:p>
        </w:tc>
        <w:tc>
          <w:tcPr>
            <w:tcW w:w="564" w:type="pct"/>
            <w:vMerge w:val="restart"/>
            <w:shd w:val="clear" w:color="auto" w:fill="auto"/>
            <w:vAlign w:val="center"/>
          </w:tcPr>
          <w:p>
            <w:pPr>
              <w:pStyle w:val="63"/>
              <w:rPr>
                <w:color w:val="000000" w:themeColor="text1"/>
                <w:kern w:val="0"/>
                <w:highlight w:val="none"/>
              </w:rPr>
            </w:pPr>
            <w:r>
              <w:rPr>
                <w:color w:val="000000" w:themeColor="text1"/>
                <w:kern w:val="0"/>
                <w:highlight w:val="none"/>
              </w:rPr>
              <w:t>面积(hm</w:t>
            </w:r>
            <w:r>
              <w:rPr>
                <w:color w:val="000000" w:themeColor="text1"/>
                <w:kern w:val="0"/>
                <w:highlight w:val="none"/>
                <w:vertAlign w:val="superscript"/>
              </w:rPr>
              <w:t>2</w:t>
            </w:r>
            <w:r>
              <w:rPr>
                <w:color w:val="000000" w:themeColor="text1"/>
                <w:kern w:val="0"/>
                <w:highlight w:val="none"/>
              </w:rPr>
              <w:t>)</w:t>
            </w:r>
          </w:p>
        </w:tc>
        <w:tc>
          <w:tcPr>
            <w:tcW w:w="600"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矿山地质环境影响程度</w:t>
            </w:r>
          </w:p>
        </w:tc>
        <w:tc>
          <w:tcPr>
            <w:tcW w:w="547"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保护与治理对象</w:t>
            </w:r>
          </w:p>
        </w:tc>
        <w:tc>
          <w:tcPr>
            <w:tcW w:w="732"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损失和治理难度</w:t>
            </w:r>
          </w:p>
        </w:tc>
        <w:tc>
          <w:tcPr>
            <w:tcW w:w="1317"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主要防治措施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分区级别</w:t>
            </w:r>
          </w:p>
        </w:tc>
        <w:tc>
          <w:tcPr>
            <w:tcW w:w="628"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分区编号</w:t>
            </w:r>
          </w:p>
        </w:tc>
        <w:tc>
          <w:tcPr>
            <w:tcW w:w="564" w:type="pct"/>
            <w:vMerge w:val="continue"/>
            <w:vAlign w:val="center"/>
          </w:tcPr>
          <w:p>
            <w:pPr>
              <w:pStyle w:val="63"/>
              <w:rPr>
                <w:color w:val="000000" w:themeColor="text1"/>
                <w:kern w:val="0"/>
                <w:highlight w:val="none"/>
              </w:rPr>
            </w:pPr>
          </w:p>
        </w:tc>
        <w:tc>
          <w:tcPr>
            <w:tcW w:w="600" w:type="pct"/>
            <w:vMerge w:val="continue"/>
            <w:vAlign w:val="center"/>
          </w:tcPr>
          <w:p>
            <w:pPr>
              <w:pStyle w:val="63"/>
              <w:rPr>
                <w:color w:val="000000" w:themeColor="text1"/>
                <w:kern w:val="0"/>
                <w:highlight w:val="none"/>
              </w:rPr>
            </w:pPr>
          </w:p>
        </w:tc>
        <w:tc>
          <w:tcPr>
            <w:tcW w:w="547" w:type="pct"/>
            <w:vMerge w:val="continue"/>
            <w:vAlign w:val="center"/>
          </w:tcPr>
          <w:p>
            <w:pPr>
              <w:pStyle w:val="63"/>
              <w:rPr>
                <w:color w:val="000000" w:themeColor="text1"/>
                <w:kern w:val="0"/>
                <w:highlight w:val="none"/>
              </w:rPr>
            </w:pPr>
          </w:p>
        </w:tc>
        <w:tc>
          <w:tcPr>
            <w:tcW w:w="732" w:type="pct"/>
            <w:vMerge w:val="continue"/>
            <w:vAlign w:val="center"/>
          </w:tcPr>
          <w:p>
            <w:pPr>
              <w:pStyle w:val="63"/>
              <w:rPr>
                <w:color w:val="000000" w:themeColor="text1"/>
                <w:kern w:val="0"/>
                <w:highlight w:val="none"/>
              </w:rPr>
            </w:pPr>
          </w:p>
        </w:tc>
        <w:tc>
          <w:tcPr>
            <w:tcW w:w="1317" w:type="pct"/>
            <w:vMerge w:val="continue"/>
            <w:vAlign w:val="center"/>
          </w:tcPr>
          <w:p>
            <w:pPr>
              <w:pStyle w:val="63"/>
              <w:rPr>
                <w:color w:val="000000" w:themeColor="text1"/>
                <w:kern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restart"/>
            <w:shd w:val="clear" w:color="auto" w:fill="auto"/>
            <w:vAlign w:val="center"/>
          </w:tcPr>
          <w:p>
            <w:pPr>
              <w:pStyle w:val="63"/>
              <w:rPr>
                <w:color w:val="000000" w:themeColor="text1"/>
                <w:kern w:val="0"/>
                <w:highlight w:val="none"/>
              </w:rPr>
            </w:pPr>
            <w:r>
              <w:rPr>
                <w:rFonts w:hint="eastAsia"/>
                <w:color w:val="000000" w:themeColor="text1"/>
                <w:kern w:val="0"/>
                <w:highlight w:val="none"/>
              </w:rPr>
              <w:t>重点防治区</w:t>
            </w:r>
          </w:p>
        </w:tc>
        <w:tc>
          <w:tcPr>
            <w:tcW w:w="628" w:type="pct"/>
            <w:shd w:val="clear" w:color="auto" w:fill="auto"/>
            <w:vAlign w:val="center"/>
          </w:tcPr>
          <w:p>
            <w:pPr>
              <w:pStyle w:val="63"/>
              <w:rPr>
                <w:color w:val="000000" w:themeColor="text1"/>
                <w:kern w:val="0"/>
                <w:highlight w:val="none"/>
              </w:rPr>
            </w:pPr>
            <w:r>
              <w:rPr>
                <w:color w:val="000000" w:themeColor="text1"/>
                <w:kern w:val="0"/>
                <w:highlight w:val="none"/>
              </w:rPr>
              <w:t>Ⅰ</w:t>
            </w:r>
            <w:r>
              <w:rPr>
                <w:color w:val="000000" w:themeColor="text1"/>
                <w:kern w:val="0"/>
                <w:highlight w:val="none"/>
                <w:vertAlign w:val="subscript"/>
              </w:rPr>
              <w:t>1</w:t>
            </w:r>
          </w:p>
        </w:tc>
        <w:tc>
          <w:tcPr>
            <w:tcW w:w="564" w:type="pct"/>
            <w:shd w:val="clear" w:color="auto" w:fill="auto"/>
            <w:vAlign w:val="center"/>
          </w:tcPr>
          <w:p>
            <w:pPr>
              <w:pStyle w:val="63"/>
              <w:ind w:firstLine="0" w:firstLineChars="0"/>
              <w:rPr>
                <w:rFonts w:hint="eastAsia" w:eastAsia="宋体"/>
                <w:color w:val="000000" w:themeColor="text1"/>
                <w:kern w:val="0"/>
                <w:highlight w:val="none"/>
                <w:lang w:eastAsia="zh-CN"/>
              </w:rPr>
            </w:pPr>
            <w:r>
              <w:rPr>
                <w:rFonts w:hint="eastAsia"/>
                <w:color w:val="000000" w:themeColor="text1"/>
                <w:szCs w:val="21"/>
                <w:highlight w:val="none"/>
                <w:lang w:val="en-US" w:eastAsia="zh-CN"/>
              </w:rPr>
              <w:t>8.9779</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露天采场</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损失大、治理困难</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进行场地平整，采取覆土、恢复植被等生态措施，并进行监测。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vMerge w:val="continue"/>
            <w:vAlign w:val="center"/>
          </w:tcPr>
          <w:p>
            <w:pPr>
              <w:pStyle w:val="63"/>
              <w:rPr>
                <w:color w:val="000000" w:themeColor="text1"/>
                <w:kern w:val="0"/>
                <w:highlight w:val="none"/>
              </w:rPr>
            </w:pPr>
          </w:p>
        </w:tc>
        <w:tc>
          <w:tcPr>
            <w:tcW w:w="628" w:type="pct"/>
            <w:shd w:val="clear" w:color="auto" w:fill="auto"/>
            <w:vAlign w:val="center"/>
          </w:tcPr>
          <w:p>
            <w:pPr>
              <w:pStyle w:val="63"/>
              <w:rPr>
                <w:rFonts w:hint="eastAsia" w:eastAsia="宋体"/>
                <w:color w:val="000000" w:themeColor="text1"/>
                <w:kern w:val="0"/>
                <w:highlight w:val="none"/>
                <w:lang w:eastAsia="zh-CN"/>
              </w:rPr>
            </w:pPr>
            <w:r>
              <w:rPr>
                <w:color w:val="000000" w:themeColor="text1"/>
                <w:kern w:val="0"/>
                <w:highlight w:val="none"/>
              </w:rPr>
              <w:t>Ⅰ</w:t>
            </w:r>
            <w:r>
              <w:rPr>
                <w:rFonts w:hint="eastAsia"/>
                <w:color w:val="000000" w:themeColor="text1"/>
                <w:kern w:val="0"/>
                <w:highlight w:val="none"/>
                <w:vertAlign w:val="subscript"/>
                <w:lang w:val="en-US" w:eastAsia="zh-CN"/>
              </w:rPr>
              <w:t>2</w:t>
            </w:r>
          </w:p>
        </w:tc>
        <w:tc>
          <w:tcPr>
            <w:tcW w:w="564" w:type="pct"/>
            <w:shd w:val="clear" w:color="auto" w:fill="auto"/>
            <w:vAlign w:val="center"/>
          </w:tcPr>
          <w:p>
            <w:pPr>
              <w:pStyle w:val="63"/>
              <w:ind w:firstLine="0" w:firstLineChars="0"/>
              <w:rPr>
                <w:rFonts w:hint="eastAsia" w:eastAsia="宋体"/>
                <w:color w:val="000000" w:themeColor="text1"/>
                <w:kern w:val="0"/>
                <w:highlight w:val="none"/>
                <w:lang w:eastAsia="zh-CN"/>
              </w:rPr>
            </w:pPr>
            <w:r>
              <w:rPr>
                <w:rFonts w:hint="eastAsia"/>
                <w:color w:val="000000" w:themeColor="text1"/>
                <w:szCs w:val="21"/>
                <w:highlight w:val="none"/>
                <w:lang w:eastAsia="zh-CN"/>
              </w:rPr>
              <w:t>0.5465</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严重</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矿山公路</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损失大、治理困难</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进行场地平整，采取覆土、恢复植被等生态措施，并进行监测。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9"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一般防治区</w:t>
            </w:r>
          </w:p>
        </w:tc>
        <w:tc>
          <w:tcPr>
            <w:tcW w:w="628" w:type="pct"/>
            <w:shd w:val="clear" w:color="auto" w:fill="auto"/>
            <w:vAlign w:val="center"/>
          </w:tcPr>
          <w:p>
            <w:pPr>
              <w:pStyle w:val="63"/>
              <w:rPr>
                <w:color w:val="000000" w:themeColor="text1"/>
                <w:kern w:val="0"/>
                <w:highlight w:val="none"/>
              </w:rPr>
            </w:pPr>
            <w:r>
              <w:rPr>
                <w:color w:val="000000" w:themeColor="text1"/>
                <w:kern w:val="0"/>
                <w:highlight w:val="none"/>
              </w:rPr>
              <w:t>Ⅲ</w:t>
            </w:r>
          </w:p>
        </w:tc>
        <w:tc>
          <w:tcPr>
            <w:tcW w:w="564" w:type="pct"/>
            <w:shd w:val="clear" w:color="auto" w:fill="auto"/>
            <w:noWrap/>
            <w:vAlign w:val="center"/>
          </w:tcPr>
          <w:p>
            <w:pPr>
              <w:pStyle w:val="63"/>
              <w:ind w:firstLine="0" w:firstLineChars="0"/>
              <w:rPr>
                <w:color w:val="000000" w:themeColor="text1"/>
                <w:szCs w:val="21"/>
                <w:highlight w:val="none"/>
              </w:rPr>
            </w:pPr>
            <w:r>
              <w:rPr>
                <w:rFonts w:hint="eastAsia"/>
                <w:color w:val="000000" w:themeColor="text1"/>
                <w:szCs w:val="21"/>
                <w:highlight w:val="none"/>
                <w:lang w:val="en-US" w:eastAsia="zh-CN"/>
              </w:rPr>
              <w:t>17.1734</w:t>
            </w:r>
          </w:p>
        </w:tc>
        <w:tc>
          <w:tcPr>
            <w:tcW w:w="600"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较轻</w:t>
            </w:r>
          </w:p>
        </w:tc>
        <w:tc>
          <w:tcPr>
            <w:tcW w:w="54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评估区其余区域</w:t>
            </w:r>
          </w:p>
        </w:tc>
        <w:tc>
          <w:tcPr>
            <w:tcW w:w="732"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损失小，治理较容易</w:t>
            </w:r>
          </w:p>
        </w:tc>
        <w:tc>
          <w:tcPr>
            <w:tcW w:w="1317" w:type="pct"/>
            <w:shd w:val="clear" w:color="auto" w:fill="auto"/>
            <w:vAlign w:val="center"/>
          </w:tcPr>
          <w:p>
            <w:pPr>
              <w:pStyle w:val="63"/>
              <w:rPr>
                <w:color w:val="000000" w:themeColor="text1"/>
                <w:kern w:val="0"/>
                <w:highlight w:val="none"/>
              </w:rPr>
            </w:pPr>
            <w:r>
              <w:rPr>
                <w:rFonts w:hint="eastAsia"/>
                <w:color w:val="000000" w:themeColor="text1"/>
                <w:kern w:val="0"/>
                <w:highlight w:val="none"/>
              </w:rPr>
              <w:t>加强矿山地质环境监测，设立长期观测点对各含水层进行水位和水质监测</w:t>
            </w:r>
          </w:p>
        </w:tc>
      </w:tr>
    </w:tbl>
    <w:p>
      <w:pPr>
        <w:rPr>
          <w:color w:val="000000" w:themeColor="text1"/>
          <w:highlight w:val="none"/>
        </w:rPr>
      </w:pPr>
      <w:r>
        <w:rPr>
          <w:color w:val="000000" w:themeColor="text1"/>
          <w:highlight w:val="none"/>
        </w:rPr>
        <w:t>2、土地复垦范围</w:t>
      </w:r>
    </w:p>
    <w:p>
      <w:pPr>
        <w:rPr>
          <w:color w:val="000000" w:themeColor="text1"/>
          <w:highlight w:val="none"/>
        </w:rPr>
      </w:pPr>
      <w:r>
        <w:rPr>
          <w:color w:val="000000" w:themeColor="text1"/>
          <w:highlight w:val="none"/>
        </w:rPr>
        <w:t>复垦区为</w:t>
      </w:r>
      <w:r>
        <w:rPr>
          <w:rFonts w:hint="eastAsia"/>
          <w:color w:val="000000" w:themeColor="text1"/>
          <w:highlight w:val="none"/>
          <w:lang w:eastAsia="zh-CN"/>
        </w:rPr>
        <w:t>三江镇战旗石灰石矿</w:t>
      </w:r>
      <w:r>
        <w:rPr>
          <w:color w:val="000000" w:themeColor="text1"/>
          <w:highlight w:val="none"/>
        </w:rPr>
        <w:t>生产项目损毁土地</w:t>
      </w:r>
      <w:r>
        <w:rPr>
          <w:rFonts w:hint="eastAsia"/>
          <w:color w:val="000000" w:themeColor="text1"/>
          <w:highlight w:val="none"/>
        </w:rPr>
        <w:t>范围</w:t>
      </w:r>
      <w:r>
        <w:rPr>
          <w:color w:val="000000" w:themeColor="text1"/>
          <w:highlight w:val="none"/>
        </w:rPr>
        <w:t>构成，包括主要为压占和挖损损毁范围。</w:t>
      </w:r>
    </w:p>
    <w:p>
      <w:pPr>
        <w:ind w:firstLine="472"/>
        <w:rPr>
          <w:color w:val="000000" w:themeColor="text1"/>
          <w:highlight w:val="none"/>
        </w:rPr>
      </w:pPr>
      <w:r>
        <w:rPr>
          <w:rFonts w:hint="eastAsia"/>
          <w:color w:val="000000" w:themeColor="text1"/>
          <w:spacing w:val="-2"/>
          <w:highlight w:val="none"/>
          <w:lang w:eastAsia="zh-CN"/>
        </w:rPr>
        <w:t>三江镇战旗石灰石矿</w:t>
      </w:r>
      <w:r>
        <w:rPr>
          <w:color w:val="000000" w:themeColor="text1"/>
          <w:spacing w:val="-2"/>
          <w:highlight w:val="none"/>
        </w:rPr>
        <w:t>项目复垦区面积共</w:t>
      </w:r>
      <w:r>
        <w:rPr>
          <w:rFonts w:hint="eastAsia"/>
          <w:color w:val="000000" w:themeColor="text1"/>
          <w:spacing w:val="-2"/>
          <w:highlight w:val="none"/>
          <w:lang w:eastAsia="zh-CN"/>
        </w:rPr>
        <w:t>9.5224</w:t>
      </w:r>
      <w:r>
        <w:rPr>
          <w:color w:val="000000" w:themeColor="text1"/>
          <w:spacing w:val="-2"/>
          <w:highlight w:val="none"/>
        </w:rPr>
        <w:t>hm</w:t>
      </w:r>
      <w:r>
        <w:rPr>
          <w:color w:val="000000" w:themeColor="text1"/>
          <w:spacing w:val="-2"/>
          <w:highlight w:val="none"/>
          <w:vertAlign w:val="superscript"/>
        </w:rPr>
        <w:t>2</w:t>
      </w:r>
      <w:r>
        <w:rPr>
          <w:color w:val="000000" w:themeColor="text1"/>
          <w:spacing w:val="-2"/>
          <w:highlight w:val="none"/>
        </w:rPr>
        <w:t>：</w:t>
      </w:r>
      <w:r>
        <w:rPr>
          <w:color w:val="000000" w:themeColor="text1"/>
          <w:highlight w:val="none"/>
        </w:rPr>
        <w:t>主要是露天采场占地面积</w:t>
      </w:r>
      <w:r>
        <w:rPr>
          <w:rFonts w:hint="eastAsia"/>
          <w:color w:val="000000" w:themeColor="text1"/>
          <w:highlight w:val="none"/>
          <w:lang w:eastAsia="zh-CN"/>
        </w:rPr>
        <w:t>8.9779</w:t>
      </w:r>
      <w:r>
        <w:rPr>
          <w:rFonts w:hint="eastAsia"/>
          <w:color w:val="000000" w:themeColor="text1"/>
          <w:highlight w:val="none"/>
        </w:rPr>
        <w:t>hm</w:t>
      </w:r>
      <w:r>
        <w:rPr>
          <w:rFonts w:hint="eastAsia"/>
          <w:color w:val="000000" w:themeColor="text1"/>
          <w:highlight w:val="none"/>
          <w:vertAlign w:val="superscript"/>
        </w:rPr>
        <w:t>2</w:t>
      </w:r>
      <w:r>
        <w:rPr>
          <w:rFonts w:hint="eastAsia"/>
          <w:color w:val="000000" w:themeColor="text1"/>
          <w:highlight w:val="none"/>
        </w:rPr>
        <w:t>，矿山公路</w:t>
      </w:r>
      <w:r>
        <w:rPr>
          <w:color w:val="000000" w:themeColor="text1"/>
          <w:highlight w:val="none"/>
        </w:rPr>
        <w:t>占地面积</w:t>
      </w:r>
      <w:r>
        <w:rPr>
          <w:rFonts w:hint="eastAsia"/>
          <w:color w:val="000000" w:themeColor="text1"/>
          <w:highlight w:val="none"/>
          <w:lang w:eastAsia="zh-CN"/>
        </w:rPr>
        <w:t>0.5465</w:t>
      </w:r>
      <w:r>
        <w:rPr>
          <w:rFonts w:hint="eastAsia"/>
          <w:color w:val="000000" w:themeColor="text1"/>
          <w:highlight w:val="none"/>
        </w:rPr>
        <w:t>hm</w:t>
      </w:r>
      <w:r>
        <w:rPr>
          <w:rFonts w:hint="eastAsia"/>
          <w:color w:val="000000" w:themeColor="text1"/>
          <w:highlight w:val="none"/>
          <w:vertAlign w:val="superscript"/>
        </w:rPr>
        <w:t>2</w:t>
      </w:r>
      <w:r>
        <w:rPr>
          <w:color w:val="000000" w:themeColor="text1"/>
          <w:spacing w:val="-2"/>
          <w:highlight w:val="none"/>
        </w:rPr>
        <w:t>。</w:t>
      </w:r>
      <w:r>
        <w:rPr>
          <w:rFonts w:hint="eastAsia"/>
          <w:color w:val="000000" w:themeColor="text1"/>
          <w:highlight w:val="none"/>
        </w:rPr>
        <w:t>经</w:t>
      </w:r>
      <w:r>
        <w:rPr>
          <w:color w:val="000000" w:themeColor="text1"/>
          <w:highlight w:val="none"/>
        </w:rPr>
        <w:t>与当地村民委员会商议后</w:t>
      </w:r>
      <w:r>
        <w:rPr>
          <w:rFonts w:hint="eastAsia"/>
          <w:color w:val="000000" w:themeColor="text1"/>
          <w:highlight w:val="none"/>
        </w:rPr>
        <w:t>，</w:t>
      </w:r>
      <w:r>
        <w:rPr>
          <w:rFonts w:hint="eastAsia"/>
          <w:color w:val="000000" w:themeColor="text1"/>
          <w:highlight w:val="none"/>
          <w:lang w:eastAsia="zh-CN"/>
        </w:rPr>
        <w:t>将对所有临时用地区域进行复垦</w:t>
      </w:r>
      <w:r>
        <w:rPr>
          <w:rFonts w:hint="eastAsia"/>
          <w:color w:val="000000" w:themeColor="text1"/>
          <w:highlight w:val="none"/>
        </w:rPr>
        <w:t>。因此，本项目复垦责任范围面积为</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rFonts w:hint="eastAsia"/>
          <w:color w:val="000000" w:themeColor="text1"/>
          <w:highlight w:val="none"/>
        </w:rPr>
        <w:t>。</w:t>
      </w:r>
    </w:p>
    <w:p>
      <w:pPr>
        <w:pStyle w:val="5"/>
        <w:spacing w:before="82" w:after="82"/>
        <w:rPr>
          <w:color w:val="000000" w:themeColor="text1"/>
          <w:highlight w:val="none"/>
        </w:rPr>
      </w:pPr>
      <w:bookmarkStart w:id="303" w:name="_Toc3556"/>
      <w:r>
        <w:rPr>
          <w:color w:val="000000" w:themeColor="text1"/>
          <w:highlight w:val="none"/>
        </w:rPr>
        <w:t>9.1.4矿山地质环境治理与土地复垦工作部署</w:t>
      </w:r>
      <w:bookmarkEnd w:id="303"/>
    </w:p>
    <w:p>
      <w:pPr>
        <w:rPr>
          <w:color w:val="000000" w:themeColor="text1"/>
          <w:highlight w:val="none"/>
        </w:rPr>
      </w:pPr>
      <w:r>
        <w:rPr>
          <w:color w:val="000000" w:themeColor="text1"/>
          <w:highlight w:val="none"/>
        </w:rPr>
        <w:t>1、矿山地质环境治理工作部署</w:t>
      </w:r>
    </w:p>
    <w:p>
      <w:pPr>
        <w:rPr>
          <w:color w:val="000000" w:themeColor="text1"/>
          <w:highlight w:val="none"/>
        </w:rPr>
      </w:pPr>
      <w:r>
        <w:rPr>
          <w:color w:val="000000" w:themeColor="text1"/>
          <w:highlight w:val="none"/>
        </w:rPr>
        <w:t>根据矿山地质灾害现状分析与预测评估，本矿山地质灾害问题主要为</w:t>
      </w:r>
      <w:r>
        <w:rPr>
          <w:rFonts w:hint="eastAsia"/>
          <w:color w:val="000000" w:themeColor="text1"/>
          <w:highlight w:val="none"/>
        </w:rPr>
        <w:t>露天采场高边坡可能引发崩塌、滑坡</w:t>
      </w:r>
      <w:r>
        <w:rPr>
          <w:color w:val="000000" w:themeColor="text1"/>
          <w:highlight w:val="none"/>
        </w:rPr>
        <w:t>。含水层破坏及水土污染治理以监测预防为主，不单独设置治理工程，在矿山地质环境监测章节中布设了相应的监测工程。</w:t>
      </w:r>
    </w:p>
    <w:p>
      <w:pPr>
        <w:rPr>
          <w:color w:val="000000" w:themeColor="text1"/>
          <w:highlight w:val="none"/>
        </w:rPr>
      </w:pPr>
      <w:r>
        <w:rPr>
          <w:color w:val="000000" w:themeColor="text1"/>
          <w:highlight w:val="none"/>
        </w:rPr>
        <w:t>本方案服务年限内，地质灾害监测</w:t>
      </w:r>
      <w:r>
        <w:rPr>
          <w:rFonts w:hint="eastAsia"/>
          <w:color w:val="000000" w:themeColor="text1"/>
          <w:highlight w:val="none"/>
          <w:lang w:val="en-US" w:eastAsia="zh-CN"/>
        </w:rPr>
        <w:t>132</w:t>
      </w:r>
      <w:r>
        <w:rPr>
          <w:rFonts w:hint="eastAsia"/>
          <w:color w:val="000000" w:themeColor="text1"/>
          <w:highlight w:val="none"/>
        </w:rPr>
        <w:t>次，</w:t>
      </w:r>
      <w:r>
        <w:rPr>
          <w:color w:val="000000" w:themeColor="text1"/>
          <w:highlight w:val="none"/>
        </w:rPr>
        <w:t>地下水水位监测</w:t>
      </w:r>
      <w:r>
        <w:rPr>
          <w:rFonts w:hint="eastAsia"/>
          <w:color w:val="000000" w:themeColor="text1"/>
          <w:highlight w:val="none"/>
          <w:lang w:val="en-US" w:eastAsia="zh-CN"/>
        </w:rPr>
        <w:t>48</w:t>
      </w:r>
      <w:r>
        <w:rPr>
          <w:color w:val="000000" w:themeColor="text1"/>
          <w:highlight w:val="none"/>
        </w:rPr>
        <w:t>点•次；地下水水质监测</w:t>
      </w:r>
      <w:r>
        <w:rPr>
          <w:rFonts w:hint="eastAsia"/>
          <w:color w:val="000000" w:themeColor="text1"/>
          <w:highlight w:val="none"/>
          <w:lang w:val="en-US" w:eastAsia="zh-CN"/>
        </w:rPr>
        <w:t>8</w:t>
      </w:r>
      <w:r>
        <w:rPr>
          <w:color w:val="000000" w:themeColor="text1"/>
          <w:highlight w:val="none"/>
        </w:rPr>
        <w:t>点•次；地表水水质监测</w:t>
      </w:r>
      <w:r>
        <w:rPr>
          <w:rFonts w:hint="eastAsia"/>
          <w:color w:val="000000" w:themeColor="text1"/>
          <w:highlight w:val="none"/>
          <w:lang w:val="en-US" w:eastAsia="zh-CN"/>
        </w:rPr>
        <w:t>8</w:t>
      </w:r>
      <w:r>
        <w:rPr>
          <w:color w:val="000000" w:themeColor="text1"/>
          <w:highlight w:val="none"/>
        </w:rPr>
        <w:t>点•次；水土污染监测</w:t>
      </w:r>
      <w:r>
        <w:rPr>
          <w:rFonts w:hint="eastAsia"/>
          <w:color w:val="000000" w:themeColor="text1"/>
          <w:highlight w:val="none"/>
          <w:lang w:val="en-US" w:eastAsia="zh-CN"/>
        </w:rPr>
        <w:t>8</w:t>
      </w:r>
      <w:r>
        <w:rPr>
          <w:color w:val="000000" w:themeColor="text1"/>
          <w:highlight w:val="none"/>
        </w:rPr>
        <w:t>点•次。</w:t>
      </w:r>
    </w:p>
    <w:p>
      <w:pPr>
        <w:rPr>
          <w:color w:val="000000" w:themeColor="text1"/>
          <w:highlight w:val="none"/>
        </w:rPr>
      </w:pPr>
      <w:r>
        <w:rPr>
          <w:color w:val="000000" w:themeColor="text1"/>
          <w:highlight w:val="none"/>
        </w:rPr>
        <w:t>2、土地复垦工作部署</w:t>
      </w:r>
    </w:p>
    <w:p>
      <w:pPr>
        <w:rPr>
          <w:color w:val="000000" w:themeColor="text1"/>
          <w:highlight w:val="none"/>
        </w:rPr>
      </w:pPr>
      <w:r>
        <w:rPr>
          <w:color w:val="000000" w:themeColor="text1"/>
          <w:highlight w:val="none"/>
        </w:rPr>
        <w:t>根据土地复垦适宜性评价结果，结合复垦区实际情况，确定了复垦区各复垦单元的复垦方向，复垦为</w:t>
      </w:r>
      <w:r>
        <w:rPr>
          <w:rFonts w:hint="eastAsia"/>
          <w:color w:val="000000" w:themeColor="text1"/>
          <w:highlight w:val="none"/>
          <w:lang w:eastAsia="zh-CN"/>
        </w:rPr>
        <w:t>乔木林地</w:t>
      </w:r>
      <w:r>
        <w:rPr>
          <w:rFonts w:hint="eastAsia"/>
          <w:color w:val="000000" w:themeColor="text1"/>
          <w:highlight w:val="none"/>
        </w:rPr>
        <w:t>、</w:t>
      </w:r>
      <w:r>
        <w:rPr>
          <w:rFonts w:hint="eastAsia"/>
          <w:color w:val="000000" w:themeColor="text1"/>
          <w:highlight w:val="none"/>
          <w:lang w:eastAsia="zh-CN"/>
        </w:rPr>
        <w:t>其他草地</w:t>
      </w:r>
      <w:r>
        <w:rPr>
          <w:color w:val="000000" w:themeColor="text1"/>
          <w:highlight w:val="none"/>
        </w:rPr>
        <w:t>。复垦责任范围</w:t>
      </w:r>
      <w:r>
        <w:rPr>
          <w:rFonts w:hint="eastAsia"/>
          <w:color w:val="000000" w:themeColor="text1"/>
          <w:highlight w:val="none"/>
          <w:lang w:eastAsia="zh-CN"/>
        </w:rPr>
        <w:t>9.5224</w:t>
      </w:r>
      <w:r>
        <w:rPr>
          <w:color w:val="000000" w:themeColor="text1"/>
          <w:highlight w:val="none"/>
        </w:rPr>
        <w:t>hm</w:t>
      </w:r>
      <w:r>
        <w:rPr>
          <w:color w:val="000000" w:themeColor="text1"/>
          <w:highlight w:val="none"/>
          <w:vertAlign w:val="superscript"/>
        </w:rPr>
        <w:t>2</w:t>
      </w:r>
      <w:r>
        <w:rPr>
          <w:color w:val="000000" w:themeColor="text1"/>
          <w:highlight w:val="none"/>
        </w:rPr>
        <w:t>，通过复垦工程实现全部复垦，复垦率100%。</w:t>
      </w:r>
    </w:p>
    <w:p>
      <w:pPr>
        <w:rPr>
          <w:color w:val="000000" w:themeColor="text1"/>
          <w:highlight w:val="none"/>
        </w:rPr>
      </w:pPr>
      <w:r>
        <w:rPr>
          <w:color w:val="000000" w:themeColor="text1"/>
          <w:highlight w:val="none"/>
        </w:rPr>
        <w:t>土地复垦工程主要包括土壤重构工程、植被重建工程、配套工程、监测与管护工程。</w:t>
      </w:r>
    </w:p>
    <w:p>
      <w:pPr>
        <w:pStyle w:val="5"/>
        <w:spacing w:before="82" w:after="82"/>
        <w:rPr>
          <w:color w:val="000000" w:themeColor="text1"/>
          <w:highlight w:val="none"/>
        </w:rPr>
      </w:pPr>
      <w:bookmarkStart w:id="304" w:name="_Toc20999"/>
      <w:r>
        <w:rPr>
          <w:color w:val="000000" w:themeColor="text1"/>
          <w:highlight w:val="none"/>
        </w:rPr>
        <w:t>9.1.5矿山地质环境治理与土地复垦投资估算</w:t>
      </w:r>
      <w:bookmarkEnd w:id="304"/>
    </w:p>
    <w:p>
      <w:pPr>
        <w:rPr>
          <w:rFonts w:hint="eastAsia" w:eastAsia="宋体"/>
          <w:color w:val="000000" w:themeColor="text1"/>
          <w:kern w:val="0"/>
          <w:highlight w:val="none"/>
          <w:lang w:eastAsia="zh-CN"/>
        </w:rPr>
      </w:pPr>
      <w:r>
        <w:rPr>
          <w:color w:val="000000" w:themeColor="text1"/>
          <w:highlight w:val="none"/>
        </w:rPr>
        <w:t>本项目由地质环境治理工程和土地复垦工程两个预算组成，</w:t>
      </w:r>
      <w:r>
        <w:rPr>
          <w:rFonts w:hint="eastAsia"/>
          <w:color w:val="000000" w:themeColor="text1"/>
          <w:highlight w:val="none"/>
          <w:lang w:eastAsia="zh-CN"/>
        </w:rPr>
        <w:t>动态</w:t>
      </w:r>
      <w:r>
        <w:rPr>
          <w:color w:val="000000" w:themeColor="text1"/>
          <w:highlight w:val="none"/>
        </w:rPr>
        <w:t>总投资</w:t>
      </w:r>
      <w:r>
        <w:rPr>
          <w:rFonts w:hint="eastAsia"/>
          <w:color w:val="000000" w:themeColor="text1"/>
          <w:highlight w:val="none"/>
          <w:lang w:val="en-US" w:eastAsia="zh-CN"/>
        </w:rPr>
        <w:t>158.40</w:t>
      </w:r>
      <w:r>
        <w:rPr>
          <w:color w:val="000000" w:themeColor="text1"/>
          <w:highlight w:val="none"/>
        </w:rPr>
        <w:t>万元</w:t>
      </w:r>
      <w:r>
        <w:rPr>
          <w:rFonts w:hint="eastAsia"/>
          <w:color w:val="000000" w:themeColor="text1"/>
          <w:highlight w:val="none"/>
          <w:lang w:eastAsia="zh-CN"/>
        </w:rPr>
        <w:t>，静态总投资</w:t>
      </w:r>
      <w:r>
        <w:rPr>
          <w:color w:val="000000" w:themeColor="text1"/>
          <w:highlight w:val="none"/>
        </w:rPr>
        <w:t>为</w:t>
      </w:r>
      <w:r>
        <w:rPr>
          <w:rFonts w:hint="eastAsia"/>
          <w:color w:val="000000" w:themeColor="text1"/>
          <w:highlight w:val="none"/>
          <w:lang w:val="en-US" w:eastAsia="zh-CN"/>
        </w:rPr>
        <w:t>126.957</w:t>
      </w:r>
      <w:r>
        <w:rPr>
          <w:color w:val="000000" w:themeColor="text1"/>
          <w:highlight w:val="none"/>
        </w:rPr>
        <w:t>万元。其中矿山地质环境保护与治理、监测总投资估算</w:t>
      </w:r>
      <w:r>
        <w:rPr>
          <w:rFonts w:hint="eastAsia"/>
          <w:color w:val="000000" w:themeColor="text1"/>
          <w:highlight w:val="none"/>
          <w:lang w:eastAsia="zh-CN"/>
        </w:rPr>
        <w:t>动态总投资</w:t>
      </w:r>
      <w:r>
        <w:rPr>
          <w:color w:val="000000" w:themeColor="text1"/>
          <w:highlight w:val="none"/>
        </w:rPr>
        <w:t>为</w:t>
      </w:r>
      <w:r>
        <w:rPr>
          <w:rFonts w:hint="eastAsia"/>
          <w:color w:val="000000" w:themeColor="text1"/>
          <w:highlight w:val="none"/>
          <w:lang w:eastAsia="zh-CN"/>
        </w:rPr>
        <w:t>34.971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静态总投资</w:t>
      </w:r>
      <w:r>
        <w:rPr>
          <w:color w:val="000000" w:themeColor="text1"/>
          <w:highlight w:val="none"/>
        </w:rPr>
        <w:t>为</w:t>
      </w:r>
      <w:r>
        <w:rPr>
          <w:rFonts w:hint="eastAsia"/>
          <w:color w:val="000000" w:themeColor="text1"/>
          <w:highlight w:val="none"/>
          <w:lang w:val="en-US" w:eastAsia="zh-CN"/>
        </w:rPr>
        <w:t>31.831</w:t>
      </w:r>
      <w:r>
        <w:rPr>
          <w:color w:val="000000" w:themeColor="text1"/>
          <w:highlight w:val="none"/>
        </w:rPr>
        <w:t>万元</w:t>
      </w:r>
      <w:r>
        <w:rPr>
          <w:rFonts w:hint="eastAsia"/>
          <w:color w:val="000000" w:themeColor="text1"/>
          <w:highlight w:val="none"/>
          <w:lang w:eastAsia="zh-CN"/>
        </w:rPr>
        <w:t>；</w:t>
      </w:r>
      <w:r>
        <w:rPr>
          <w:color w:val="000000" w:themeColor="text1"/>
          <w:highlight w:val="none"/>
        </w:rPr>
        <w:t>其中</w:t>
      </w:r>
      <w:r>
        <w:rPr>
          <w:rFonts w:hint="eastAsia"/>
          <w:color w:val="000000" w:themeColor="text1"/>
          <w:kern w:val="0"/>
          <w:highlight w:val="none"/>
          <w:lang w:val="en-US" w:eastAsia="zh-CN"/>
        </w:rPr>
        <w:t>矿山</w:t>
      </w:r>
      <w:r>
        <w:rPr>
          <w:rFonts w:hint="eastAsia"/>
          <w:color w:val="000000" w:themeColor="text1"/>
          <w:highlight w:val="none"/>
          <w:lang w:eastAsia="zh-CN"/>
        </w:rPr>
        <w:t>主体建筑工程</w:t>
      </w:r>
      <w:r>
        <w:rPr>
          <w:rFonts w:hint="eastAsia"/>
          <w:color w:val="000000" w:themeColor="text1"/>
          <w:highlight w:val="none"/>
          <w:lang w:val="en-US" w:eastAsia="zh-CN"/>
        </w:rPr>
        <w:t>10.025万元，</w:t>
      </w:r>
      <w:r>
        <w:rPr>
          <w:rFonts w:hint="eastAsia"/>
          <w:color w:val="000000" w:themeColor="text1"/>
          <w:kern w:val="0"/>
          <w:highlight w:val="none"/>
          <w:lang w:val="en-US" w:eastAsia="zh-CN"/>
        </w:rPr>
        <w:t>地质环境监测工程费</w:t>
      </w:r>
      <w:r>
        <w:rPr>
          <w:color w:val="000000" w:themeColor="text1"/>
          <w:highlight w:val="none"/>
        </w:rPr>
        <w:t>用</w:t>
      </w:r>
      <w:r>
        <w:rPr>
          <w:rFonts w:hint="eastAsia"/>
          <w:color w:val="000000" w:themeColor="text1"/>
          <w:highlight w:val="none"/>
          <w:lang w:eastAsia="zh-CN"/>
        </w:rPr>
        <w:t>15.420</w:t>
      </w:r>
      <w:r>
        <w:rPr>
          <w:rFonts w:hint="eastAsia"/>
          <w:color w:val="000000" w:themeColor="text1"/>
          <w:highlight w:val="none"/>
        </w:rPr>
        <w:t>万元，独立费</w:t>
      </w:r>
      <w:r>
        <w:rPr>
          <w:rFonts w:hint="eastAsia"/>
          <w:color w:val="000000" w:themeColor="text1"/>
          <w:highlight w:val="none"/>
          <w:lang w:eastAsia="zh-CN"/>
        </w:rPr>
        <w:t>4.028</w:t>
      </w:r>
      <w:r>
        <w:rPr>
          <w:rFonts w:hint="eastAsia"/>
          <w:color w:val="000000" w:themeColor="text1"/>
          <w:highlight w:val="none"/>
        </w:rPr>
        <w:t>万元，基本预备费</w:t>
      </w:r>
      <w:r>
        <w:rPr>
          <w:rFonts w:hint="eastAsia"/>
          <w:color w:val="000000" w:themeColor="text1"/>
          <w:highlight w:val="none"/>
          <w:lang w:eastAsia="zh-CN"/>
        </w:rPr>
        <w:t>2.358</w:t>
      </w:r>
      <w:r>
        <w:rPr>
          <w:rFonts w:hint="eastAsia"/>
          <w:color w:val="000000" w:themeColor="text1"/>
          <w:highlight w:val="none"/>
        </w:rPr>
        <w:t>万元</w:t>
      </w:r>
      <w:r>
        <w:rPr>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3.14万元</w:t>
      </w:r>
      <w:r>
        <w:rPr>
          <w:color w:val="000000" w:themeColor="text1"/>
          <w:highlight w:val="none"/>
        </w:rPr>
        <w:t>；</w:t>
      </w:r>
      <w:r>
        <w:rPr>
          <w:rFonts w:hint="eastAsia"/>
          <w:color w:val="000000" w:themeColor="text1"/>
          <w:highlight w:val="none"/>
          <w:lang w:eastAsia="zh-CN"/>
        </w:rPr>
        <w:t>土地复垦动态</w:t>
      </w:r>
      <w:r>
        <w:rPr>
          <w:color w:val="000000" w:themeColor="text1"/>
          <w:highlight w:val="none"/>
        </w:rPr>
        <w:t>总投资</w:t>
      </w:r>
      <w:r>
        <w:rPr>
          <w:rFonts w:hint="eastAsia"/>
          <w:color w:val="000000" w:themeColor="text1"/>
          <w:highlight w:val="none"/>
          <w:lang w:val="en-US" w:eastAsia="zh-CN"/>
        </w:rPr>
        <w:t>123.429</w:t>
      </w:r>
      <w:r>
        <w:rPr>
          <w:color w:val="000000" w:themeColor="text1"/>
          <w:highlight w:val="none"/>
        </w:rPr>
        <w:t>万元，静态总投资</w:t>
      </w:r>
      <w:r>
        <w:rPr>
          <w:rFonts w:hint="eastAsia"/>
          <w:color w:val="000000" w:themeColor="text1"/>
          <w:highlight w:val="none"/>
          <w:lang w:val="en-US" w:eastAsia="zh-CN"/>
        </w:rPr>
        <w:t>95.126</w:t>
      </w:r>
      <w:r>
        <w:rPr>
          <w:color w:val="000000" w:themeColor="text1"/>
          <w:highlight w:val="none"/>
        </w:rPr>
        <w:t>万元，其中工程施工费</w:t>
      </w:r>
      <w:r>
        <w:rPr>
          <w:rFonts w:hint="eastAsia"/>
          <w:color w:val="000000" w:themeColor="text1"/>
          <w:highlight w:val="none"/>
          <w:lang w:val="en-US" w:eastAsia="zh-CN"/>
        </w:rPr>
        <w:t>68.447</w:t>
      </w:r>
      <w:r>
        <w:rPr>
          <w:color w:val="000000" w:themeColor="text1"/>
          <w:highlight w:val="none"/>
        </w:rPr>
        <w:t>万元，其它费用</w:t>
      </w:r>
      <w:r>
        <w:rPr>
          <w:rFonts w:hint="eastAsia"/>
          <w:color w:val="000000" w:themeColor="text1"/>
          <w:highlight w:val="none"/>
          <w:lang w:val="en-US" w:eastAsia="zh-CN"/>
        </w:rPr>
        <w:t>17.320</w:t>
      </w:r>
      <w:r>
        <w:rPr>
          <w:color w:val="000000" w:themeColor="text1"/>
          <w:highlight w:val="none"/>
        </w:rPr>
        <w:t>万元，监测与管护费</w:t>
      </w:r>
      <w:r>
        <w:rPr>
          <w:rFonts w:hint="eastAsia"/>
          <w:color w:val="000000" w:themeColor="text1"/>
          <w:highlight w:val="none"/>
          <w:lang w:val="en-US" w:eastAsia="zh-CN"/>
        </w:rPr>
        <w:t>6.588</w:t>
      </w:r>
      <w:r>
        <w:rPr>
          <w:color w:val="000000" w:themeColor="text1"/>
          <w:highlight w:val="none"/>
        </w:rPr>
        <w:t>万元，基本预备费</w:t>
      </w:r>
      <w:r>
        <w:rPr>
          <w:rFonts w:hint="eastAsia"/>
          <w:color w:val="000000" w:themeColor="text1"/>
          <w:highlight w:val="none"/>
          <w:lang w:val="en-US" w:eastAsia="zh-CN"/>
        </w:rPr>
        <w:t>2.771</w:t>
      </w:r>
      <w:r>
        <w:rPr>
          <w:color w:val="000000" w:themeColor="text1"/>
          <w:highlight w:val="none"/>
        </w:rPr>
        <w:t>万元</w:t>
      </w:r>
      <w:r>
        <w:rPr>
          <w:rFonts w:hint="eastAsia"/>
          <w:color w:val="000000" w:themeColor="text1"/>
          <w:highlight w:val="none"/>
        </w:rPr>
        <w:t>，</w:t>
      </w:r>
      <w:r>
        <w:rPr>
          <w:rFonts w:hint="eastAsia"/>
          <w:color w:val="000000" w:themeColor="text1"/>
          <w:highlight w:val="none"/>
          <w:lang w:eastAsia="zh-CN"/>
        </w:rPr>
        <w:t>价差预备费</w:t>
      </w:r>
      <w:r>
        <w:rPr>
          <w:rFonts w:hint="eastAsia"/>
          <w:color w:val="000000" w:themeColor="text1"/>
          <w:highlight w:val="none"/>
          <w:lang w:val="en-US" w:eastAsia="zh-CN"/>
        </w:rPr>
        <w:t>28.303</w:t>
      </w:r>
      <w:r>
        <w:rPr>
          <w:rFonts w:hint="eastAsia"/>
          <w:color w:val="000000" w:themeColor="text1"/>
          <w:highlight w:val="none"/>
        </w:rPr>
        <w:t>万元；</w:t>
      </w:r>
      <w:r>
        <w:rPr>
          <w:rFonts w:hint="eastAsia" w:ascii="Times New Roman" w:hAnsi="Times New Roman" w:eastAsia="宋体" w:cs="Times New Roman"/>
          <w:color w:val="auto"/>
          <w:sz w:val="24"/>
          <w:szCs w:val="22"/>
          <w:lang w:val="en-US" w:eastAsia="zh-CN"/>
        </w:rPr>
        <w:t>按复垦责任范围面积</w:t>
      </w:r>
      <w:r>
        <w:rPr>
          <w:rFonts w:hint="eastAsia" w:cs="Times New Roman"/>
          <w:color w:val="auto"/>
          <w:sz w:val="24"/>
          <w:szCs w:val="22"/>
          <w:lang w:val="en-US" w:eastAsia="zh-CN"/>
        </w:rPr>
        <w:t>9.5224</w:t>
      </w:r>
      <w:r>
        <w:rPr>
          <w:rFonts w:hint="eastAsia" w:ascii="Times New Roman" w:hAnsi="Times New Roman" w:eastAsia="宋体" w:cs="Times New Roman"/>
          <w:color w:val="auto"/>
          <w:sz w:val="24"/>
          <w:szCs w:val="22"/>
          <w:lang w:val="en-US" w:eastAsia="zh-CN"/>
        </w:rPr>
        <w:t>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计算，单位动态投资为</w:t>
      </w:r>
      <w:r>
        <w:rPr>
          <w:rFonts w:hint="eastAsia" w:cs="Times New Roman"/>
          <w:color w:val="auto"/>
          <w:sz w:val="24"/>
          <w:szCs w:val="22"/>
          <w:lang w:val="en-US" w:eastAsia="zh-CN"/>
        </w:rPr>
        <w:t>12.962</w:t>
      </w:r>
      <w:r>
        <w:rPr>
          <w:rFonts w:hint="eastAsia" w:ascii="Times New Roman" w:hAnsi="Times New Roman" w:eastAsia="宋体" w:cs="Times New Roman"/>
          <w:color w:val="auto"/>
          <w:sz w:val="24"/>
          <w:szCs w:val="22"/>
          <w:lang w:val="en-US" w:eastAsia="zh-CN"/>
        </w:rPr>
        <w:t>万元/hm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w:t>
      </w:r>
      <w:r>
        <w:rPr>
          <w:rFonts w:hint="eastAsia" w:cs="Times New Roman"/>
          <w:color w:val="auto"/>
          <w:sz w:val="24"/>
          <w:szCs w:val="22"/>
          <w:lang w:val="en-US" w:eastAsia="zh-CN"/>
        </w:rPr>
        <w:t>8641</w:t>
      </w:r>
      <w:r>
        <w:rPr>
          <w:rFonts w:hint="eastAsia" w:ascii="Times New Roman" w:hAnsi="Times New Roman" w:eastAsia="宋体" w:cs="Times New Roman"/>
          <w:color w:val="auto"/>
          <w:sz w:val="24"/>
          <w:szCs w:val="22"/>
          <w:lang w:val="en-US" w:eastAsia="zh-CN"/>
        </w:rPr>
        <w:t>元/亩），单位静态投资为</w:t>
      </w:r>
      <w:r>
        <w:rPr>
          <w:rFonts w:hint="eastAsia" w:cs="Times New Roman"/>
          <w:color w:val="auto"/>
          <w:sz w:val="24"/>
          <w:szCs w:val="22"/>
          <w:lang w:val="en-US" w:eastAsia="zh-CN"/>
        </w:rPr>
        <w:t>9.990</w:t>
      </w:r>
      <w:r>
        <w:rPr>
          <w:rFonts w:hint="eastAsia" w:ascii="Times New Roman" w:hAnsi="Times New Roman" w:eastAsia="宋体" w:cs="Times New Roman"/>
          <w:color w:val="auto"/>
          <w:sz w:val="24"/>
          <w:szCs w:val="22"/>
          <w:lang w:val="en-US" w:eastAsia="zh-CN"/>
        </w:rPr>
        <w:t>万元/hm</w:t>
      </w:r>
      <w:r>
        <w:rPr>
          <w:rFonts w:hint="eastAsia" w:ascii="Times New Roman" w:hAnsi="Times New Roman" w:eastAsia="宋体" w:cs="Times New Roman"/>
          <w:color w:val="auto"/>
          <w:sz w:val="24"/>
          <w:szCs w:val="22"/>
          <w:vertAlign w:val="superscript"/>
          <w:lang w:val="en-US" w:eastAsia="zh-CN"/>
        </w:rPr>
        <w:t>2</w:t>
      </w:r>
      <w:r>
        <w:rPr>
          <w:rFonts w:hint="eastAsia" w:ascii="Times New Roman" w:hAnsi="Times New Roman" w:eastAsia="宋体" w:cs="Times New Roman"/>
          <w:color w:val="auto"/>
          <w:sz w:val="24"/>
          <w:szCs w:val="22"/>
          <w:lang w:val="en-US" w:eastAsia="zh-CN"/>
        </w:rPr>
        <w:t>（</w:t>
      </w:r>
      <w:r>
        <w:rPr>
          <w:rFonts w:hint="eastAsia" w:cs="Times New Roman"/>
          <w:color w:val="auto"/>
          <w:sz w:val="24"/>
          <w:szCs w:val="22"/>
          <w:lang w:val="en-US" w:eastAsia="zh-CN"/>
        </w:rPr>
        <w:t>6660</w:t>
      </w:r>
      <w:r>
        <w:rPr>
          <w:rFonts w:hint="eastAsia" w:ascii="Times New Roman" w:hAnsi="Times New Roman" w:eastAsia="宋体" w:cs="Times New Roman"/>
          <w:color w:val="auto"/>
          <w:sz w:val="24"/>
          <w:szCs w:val="22"/>
          <w:lang w:val="en-US" w:eastAsia="zh-CN"/>
        </w:rPr>
        <w:t>元/亩）。</w:t>
      </w:r>
    </w:p>
    <w:p>
      <w:pPr>
        <w:pStyle w:val="4"/>
        <w:spacing w:before="82" w:after="82"/>
        <w:rPr>
          <w:color w:val="000000" w:themeColor="text1"/>
          <w:highlight w:val="none"/>
        </w:rPr>
      </w:pPr>
      <w:bookmarkStart w:id="305" w:name="_Toc29465"/>
      <w:r>
        <w:rPr>
          <w:color w:val="000000" w:themeColor="text1"/>
          <w:highlight w:val="none"/>
        </w:rPr>
        <w:t>9.2</w:t>
      </w:r>
      <w:r>
        <w:rPr>
          <w:rFonts w:ascii="宋体" w:hAnsi="宋体"/>
          <w:color w:val="000000" w:themeColor="text1"/>
          <w:highlight w:val="none"/>
        </w:rPr>
        <w:t>建议</w:t>
      </w:r>
      <w:bookmarkEnd w:id="305"/>
    </w:p>
    <w:p>
      <w:pPr>
        <w:rPr>
          <w:color w:val="000000" w:themeColor="text1"/>
          <w:highlight w:val="none"/>
        </w:rPr>
      </w:pPr>
      <w:r>
        <w:rPr>
          <w:color w:val="000000" w:themeColor="text1"/>
          <w:highlight w:val="none"/>
        </w:rPr>
        <w:t>1、矿山生产过程中，严格按照矿山地质环境保护与土地复垦方案要求执行，</w:t>
      </w:r>
      <w:r>
        <w:rPr>
          <w:rFonts w:hint="eastAsia"/>
          <w:color w:val="000000" w:themeColor="text1"/>
          <w:highlight w:val="none"/>
        </w:rPr>
        <w:t>做到“在开发中保护，在保护中开发”，</w:t>
      </w:r>
      <w:r>
        <w:rPr>
          <w:color w:val="000000" w:themeColor="text1"/>
          <w:highlight w:val="none"/>
        </w:rPr>
        <w:t>最大限度地减少矿产资源开发对地质环境的影响，促进矿业活动的持续发展。</w:t>
      </w:r>
    </w:p>
    <w:p>
      <w:pPr>
        <w:rPr>
          <w:color w:val="000000" w:themeColor="text1"/>
          <w:highlight w:val="none"/>
          <w:lang w:val="en-GB"/>
        </w:rPr>
      </w:pPr>
      <w:r>
        <w:rPr>
          <w:rFonts w:hint="eastAsia"/>
          <w:color w:val="000000" w:themeColor="text1"/>
          <w:highlight w:val="none"/>
        </w:rPr>
        <w:t>2</w:t>
      </w:r>
      <w:r>
        <w:rPr>
          <w:color w:val="000000" w:themeColor="text1"/>
          <w:highlight w:val="none"/>
          <w:lang w:val="en-GB"/>
        </w:rPr>
        <w:t>、本方案不代替工程勘查工作、环境影响评价等相关工作，也不代替最终矿山地质环境治理工程和土地复垦工程施工图设计。建议矿山企业在进行地质环境治理工程和土地复垦工程时，委托相关单位对矿山地质环境影响区和土地复垦区进行专项工程勘察、设计。</w:t>
      </w:r>
    </w:p>
    <w:p>
      <w:pPr>
        <w:rPr>
          <w:color w:val="000000" w:themeColor="text1"/>
          <w:highlight w:val="none"/>
          <w:lang w:val="en-GB"/>
        </w:rPr>
      </w:pPr>
      <w:r>
        <w:rPr>
          <w:rFonts w:hint="eastAsia"/>
          <w:color w:val="000000" w:themeColor="text1"/>
          <w:highlight w:val="none"/>
        </w:rPr>
        <w:t>3</w:t>
      </w:r>
      <w:r>
        <w:rPr>
          <w:color w:val="000000" w:themeColor="text1"/>
          <w:highlight w:val="none"/>
          <w:lang w:val="en-GB"/>
        </w:rPr>
        <w:t>、建立矿山地质灾害及环境问题监测系统，并始终贯穿于矿山开发的全过程，坚持边开发、边治理的原则，最大限度地减少矿山开采对环境的影响。</w:t>
      </w:r>
    </w:p>
    <w:p>
      <w:pPr>
        <w:rPr>
          <w:color w:val="000000" w:themeColor="text1"/>
          <w:highlight w:val="none"/>
          <w:lang w:val="en-GB"/>
        </w:rPr>
      </w:pPr>
      <w:r>
        <w:rPr>
          <w:rFonts w:hint="eastAsia"/>
          <w:color w:val="000000" w:themeColor="text1"/>
          <w:highlight w:val="none"/>
        </w:rPr>
        <w:t>4</w:t>
      </w:r>
      <w:r>
        <w:rPr>
          <w:color w:val="000000" w:themeColor="text1"/>
          <w:highlight w:val="none"/>
          <w:lang w:val="en-GB"/>
        </w:rPr>
        <w:t>、由于本矿山生产年限较长时间，在未来开采过程中影响矿山生产及地质环境、土地复垦的因素很多，建议依据矿山生产实际变化情况对本方案进行及时修订，并调整治理措施以达到最佳效果。</w:t>
      </w:r>
    </w:p>
    <w:p>
      <w:pPr>
        <w:rPr>
          <w:color w:val="000000" w:themeColor="text1"/>
          <w:highlight w:val="none"/>
          <w:lang w:val="en-GB"/>
        </w:rPr>
      </w:pPr>
      <w:r>
        <w:rPr>
          <w:rFonts w:hint="eastAsia"/>
          <w:color w:val="000000" w:themeColor="text1"/>
          <w:highlight w:val="none"/>
        </w:rPr>
        <w:t>5</w:t>
      </w:r>
      <w:r>
        <w:rPr>
          <w:color w:val="000000" w:themeColor="text1"/>
          <w:highlight w:val="none"/>
          <w:lang w:val="en-GB"/>
        </w:rPr>
        <w:t>、矿方按本方案进行矿山环境治理和土地复垦过程中要不断积累资料和经验，为下一个规划期方案编制提供可靠数据，更好的为矿山建设服务。</w:t>
      </w:r>
    </w:p>
    <w:p>
      <w:pPr>
        <w:rPr>
          <w:color w:val="000000" w:themeColor="text1"/>
          <w:highlight w:val="none"/>
          <w:lang w:val="en-GB"/>
        </w:rPr>
      </w:pPr>
      <w:r>
        <w:rPr>
          <w:rFonts w:hint="eastAsia"/>
          <w:color w:val="000000" w:themeColor="text1"/>
          <w:highlight w:val="none"/>
        </w:rPr>
        <w:t>6</w:t>
      </w:r>
      <w:r>
        <w:rPr>
          <w:color w:val="000000" w:themeColor="text1"/>
          <w:highlight w:val="none"/>
          <w:lang w:val="en-GB"/>
        </w:rPr>
        <w:t>、建议矿山在生产过程中加强工程地质勘查工作，预防发生滑坡、崩塌和泥石流灾害，并编制应急预案，发生重大事故时立即启动相应应急预案，做到防患于未然。</w:t>
      </w:r>
    </w:p>
    <w:p>
      <w:pPr>
        <w:rPr>
          <w:color w:val="000000" w:themeColor="text1"/>
          <w:highlight w:val="none"/>
        </w:rPr>
      </w:pPr>
      <w:r>
        <w:rPr>
          <w:rFonts w:hint="eastAsia"/>
          <w:color w:val="000000" w:themeColor="text1"/>
          <w:highlight w:val="none"/>
        </w:rPr>
        <w:t>7</w:t>
      </w:r>
      <w:r>
        <w:rPr>
          <w:color w:val="000000" w:themeColor="text1"/>
          <w:highlight w:val="none"/>
        </w:rPr>
        <w:t>、建议加强矿山排水、尾矿水的检测、综合治理及利用工作。本项目运行期间，应加强尾矿水和含水层的监测，防范可能的含水层水质污染的发生。</w:t>
      </w:r>
    </w:p>
    <w:p>
      <w:pPr>
        <w:rPr>
          <w:color w:val="000000" w:themeColor="text1"/>
          <w:highlight w:val="none"/>
          <w:lang w:val="en-GB"/>
        </w:rPr>
      </w:pPr>
      <w:r>
        <w:rPr>
          <w:rFonts w:hint="eastAsia"/>
          <w:color w:val="000000" w:themeColor="text1"/>
          <w:highlight w:val="none"/>
        </w:rPr>
        <w:t>8</w:t>
      </w:r>
      <w:r>
        <w:rPr>
          <w:color w:val="000000" w:themeColor="text1"/>
          <w:highlight w:val="none"/>
          <w:lang w:val="en-GB"/>
        </w:rPr>
        <w:t>、在矿山地质环境治理工程和土地复垦工程实施过程中要不断积累资料，为今后全面恢复矿山地质环境和土地复垦提供基础资料。</w:t>
      </w:r>
    </w:p>
    <w:p>
      <w:pPr>
        <w:rPr>
          <w:color w:val="000000" w:themeColor="text1"/>
          <w:highlight w:val="none"/>
        </w:rPr>
      </w:pPr>
      <w:r>
        <w:rPr>
          <w:rFonts w:hint="eastAsia"/>
          <w:color w:val="000000" w:themeColor="text1"/>
          <w:highlight w:val="none"/>
        </w:rPr>
        <w:t>9、矿</w:t>
      </w:r>
      <w:r>
        <w:rPr>
          <w:color w:val="000000" w:themeColor="text1"/>
          <w:highlight w:val="none"/>
        </w:rPr>
        <w:t>山在后期的生产建设过程中，应该加强地质灾害的监测预警，有条件的情况下配备目前较先进的监测仪器，对地质灾害进行预测，并设置健全的预警系统和相关的应急预案，一旦监测到地质灾害预兆，便可发出预警信号提醒各方人员，并及时采取防治措施。并加大地质灾害宣传力度，提高工作人员及周边村民的安全意识，由于矿山地质灾害复杂多变，且面积较大，仅靠矿山单方向监测还不够全面，发挥人民群众共同监测与预防，做到群测群防，形成严密的监测网络。</w:t>
      </w:r>
    </w:p>
    <w:p>
      <w:pPr>
        <w:rPr>
          <w:color w:val="000000" w:themeColor="text1"/>
          <w:highlight w:val="none"/>
        </w:rPr>
      </w:pPr>
      <w:r>
        <w:rPr>
          <w:rFonts w:hint="eastAsia"/>
          <w:color w:val="000000" w:themeColor="text1"/>
          <w:highlight w:val="none"/>
        </w:rPr>
        <w:t>10</w:t>
      </w:r>
      <w:r>
        <w:rPr>
          <w:color w:val="000000" w:themeColor="text1"/>
          <w:highlight w:val="none"/>
        </w:rPr>
        <w:t>、对设计单位、施工单位、监测单位、监理单位等，建议严格按照相关法律、法规、规范、规程等要求工作，保证本方案有效地实施。</w:t>
      </w:r>
    </w:p>
    <w:p>
      <w:pPr>
        <w:rPr>
          <w:color w:val="000000" w:themeColor="text1"/>
          <w:highlight w:val="none"/>
        </w:rPr>
      </w:pPr>
      <w:r>
        <w:rPr>
          <w:rFonts w:hint="eastAsia"/>
          <w:color w:val="000000" w:themeColor="text1"/>
          <w:highlight w:val="none"/>
        </w:rPr>
        <w:t>11</w:t>
      </w:r>
      <w:r>
        <w:rPr>
          <w:color w:val="000000" w:themeColor="text1"/>
          <w:highlight w:val="none"/>
        </w:rPr>
        <w:t>、矿山环境影响是动态的，在实施矿山环境治理和土地复垦过程中对于资金的概算，依据各行业工程收费标准和当地人工费进行概算，根据现在市场物价和社会经济发展趋势，本方案估算资金为已知矿山环境治理和土地复垦部分，经济估算在近期时间内，暂时是合理的，治理期限以5年为一个阶段，5年后对本方案进行重新修订。如果矿山在采矿证到期时办理采矿证延续，则矿山需对本方案重新编制或修编。</w:t>
      </w:r>
    </w:p>
    <w:sectPr>
      <w:pgSz w:w="11905" w:h="16838"/>
      <w:pgMar w:top="1440" w:right="1803" w:bottom="1440" w:left="1803" w:header="624" w:footer="624" w:gutter="0"/>
      <w:cols w:space="0" w:num="1"/>
      <w:docGrid w:type="linesAndChar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   \* MERGEFORMAT</w:instrText>
    </w:r>
    <w:r>
      <w:fldChar w:fldCharType="separate"/>
    </w:r>
    <w:r>
      <w:rPr>
        <w:lang w:val="zh-CN"/>
      </w:rPr>
      <w:t>V</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810520"/>
    </w:sdtPr>
    <w:sdtContent>
      <w:p>
        <w:pPr>
          <w:pStyle w:val="14"/>
          <w:ind w:firstLine="360"/>
          <w:jc w:val="center"/>
        </w:pPr>
        <w:r>
          <w:fldChar w:fldCharType="begin"/>
        </w:r>
        <w:r>
          <w:instrText xml:space="preserve">PAGE   \* MERGEFORMAT</w:instrText>
        </w:r>
        <w:r>
          <w:fldChar w:fldCharType="separate"/>
        </w:r>
        <w:r>
          <w:rPr>
            <w:lang w:val="zh-CN"/>
          </w:rPr>
          <w:t>9</w:t>
        </w:r>
        <w:r>
          <w:rPr>
            <w:lang w:val="zh-C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810521"/>
    </w:sdtPr>
    <w:sdtContent>
      <w:p>
        <w:pPr>
          <w:pStyle w:val="14"/>
          <w:ind w:firstLine="360"/>
          <w:jc w:val="center"/>
        </w:pPr>
        <w:r>
          <w:fldChar w:fldCharType="begin"/>
        </w:r>
        <w:r>
          <w:instrText xml:space="preserve">PAGE   \* MERGEFORMAT</w:instrText>
        </w:r>
        <w:r>
          <w:fldChar w:fldCharType="separate"/>
        </w:r>
        <w:r>
          <w:rPr>
            <w:lang w:val="zh-CN"/>
          </w:rPr>
          <w:t>157</w:t>
        </w:r>
        <w:r>
          <w:rPr>
            <w:lang w:val="zh-CN"/>
          </w:rPr>
          <w:fldChar w:fldCharType="end"/>
        </w:r>
      </w:p>
    </w:sdtContent>
  </w:sdt>
  <w:p>
    <w:pPr>
      <w:pStyle w:val="14"/>
      <w:ind w:firstLine="360"/>
      <w:rPr>
        <w:rFonts w:hint="eastAsia" w:eastAsia="宋体"/>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r>
      <w:rPr>
        <w:rFonts w:hint="eastAsia"/>
      </w:rPr>
      <w:t>广元市</w:t>
    </w:r>
    <w:r>
      <w:rPr>
        <w:rFonts w:hint="eastAsia"/>
        <w:lang w:eastAsia="zh-CN"/>
      </w:rPr>
      <w:t>旺苍县华隆建材有限公司三江镇战旗石灰石矿</w:t>
    </w:r>
    <w:r>
      <w:rPr>
        <w:rFonts w:hint="eastAsia"/>
      </w:rPr>
      <w:t>矿山地质环境保护与土地复垦方案正式成果</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r>
      <w:rPr>
        <w:rFonts w:hint="eastAsia"/>
      </w:rPr>
      <w:t>广元市</w:t>
    </w:r>
    <w:r>
      <w:rPr>
        <w:rFonts w:hint="eastAsia"/>
        <w:lang w:eastAsia="zh-CN"/>
      </w:rPr>
      <w:t>旺苍县华隆建材有限公司三江镇战旗石灰石矿</w:t>
    </w:r>
    <w:r>
      <w:rPr>
        <w:rFonts w:hint="eastAsia"/>
      </w:rPr>
      <w:t>矿山地质环境保护与土地复垦方案正式成果</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alignBordersAndEdges w:val="1"/>
  <w:bordersDoNotSurroundHeader w:val="0"/>
  <w:bordersDoNotSurroundFooter w:val="0"/>
  <w:hideSpellingErrors/>
  <w:hideGrammaticalErrors/>
  <w:documentProtection w:enforcement="0"/>
  <w:defaultTabStop w:val="420"/>
  <w:drawingGridHorizontalSpacing w:val="120"/>
  <w:drawingGridVerticalSpacing w:val="33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zliNjRiNzkyMWI5NzZhOGU2YjMyYzFjNDdiMmE2MjAifQ=="/>
  </w:docVars>
  <w:rsids>
    <w:rsidRoot w:val="00932090"/>
    <w:rsid w:val="000007D1"/>
    <w:rsid w:val="000007EA"/>
    <w:rsid w:val="00000AEE"/>
    <w:rsid w:val="00000EC6"/>
    <w:rsid w:val="000016A4"/>
    <w:rsid w:val="00001E7F"/>
    <w:rsid w:val="00002234"/>
    <w:rsid w:val="00002A6F"/>
    <w:rsid w:val="0000307E"/>
    <w:rsid w:val="0000380A"/>
    <w:rsid w:val="000040AE"/>
    <w:rsid w:val="0000423B"/>
    <w:rsid w:val="000042ED"/>
    <w:rsid w:val="00005548"/>
    <w:rsid w:val="0000689D"/>
    <w:rsid w:val="000068F5"/>
    <w:rsid w:val="00006FD2"/>
    <w:rsid w:val="00007173"/>
    <w:rsid w:val="00007336"/>
    <w:rsid w:val="00007913"/>
    <w:rsid w:val="00007A55"/>
    <w:rsid w:val="000102EE"/>
    <w:rsid w:val="00010532"/>
    <w:rsid w:val="00011121"/>
    <w:rsid w:val="000119D5"/>
    <w:rsid w:val="00011A1A"/>
    <w:rsid w:val="00011A34"/>
    <w:rsid w:val="00011A97"/>
    <w:rsid w:val="00011CA3"/>
    <w:rsid w:val="00011D13"/>
    <w:rsid w:val="000120E9"/>
    <w:rsid w:val="00012186"/>
    <w:rsid w:val="00012377"/>
    <w:rsid w:val="00012449"/>
    <w:rsid w:val="00012836"/>
    <w:rsid w:val="000128B1"/>
    <w:rsid w:val="000135B8"/>
    <w:rsid w:val="000136E0"/>
    <w:rsid w:val="00013F9E"/>
    <w:rsid w:val="0001450C"/>
    <w:rsid w:val="0001457A"/>
    <w:rsid w:val="000150EC"/>
    <w:rsid w:val="000150F8"/>
    <w:rsid w:val="00015940"/>
    <w:rsid w:val="00016032"/>
    <w:rsid w:val="00016104"/>
    <w:rsid w:val="000165B1"/>
    <w:rsid w:val="00016EA0"/>
    <w:rsid w:val="00017AE7"/>
    <w:rsid w:val="000209D4"/>
    <w:rsid w:val="000209F1"/>
    <w:rsid w:val="00020AE2"/>
    <w:rsid w:val="00020D56"/>
    <w:rsid w:val="000220EA"/>
    <w:rsid w:val="0002318A"/>
    <w:rsid w:val="000232EB"/>
    <w:rsid w:val="00023DC9"/>
    <w:rsid w:val="00023E25"/>
    <w:rsid w:val="00025409"/>
    <w:rsid w:val="00025B6E"/>
    <w:rsid w:val="00025D1C"/>
    <w:rsid w:val="00026267"/>
    <w:rsid w:val="00026931"/>
    <w:rsid w:val="00027759"/>
    <w:rsid w:val="00030094"/>
    <w:rsid w:val="00030A03"/>
    <w:rsid w:val="00030B73"/>
    <w:rsid w:val="000311D1"/>
    <w:rsid w:val="000318BB"/>
    <w:rsid w:val="00031C96"/>
    <w:rsid w:val="0003272A"/>
    <w:rsid w:val="000327E8"/>
    <w:rsid w:val="00032FA5"/>
    <w:rsid w:val="00033B5F"/>
    <w:rsid w:val="00033E81"/>
    <w:rsid w:val="000342F7"/>
    <w:rsid w:val="00035035"/>
    <w:rsid w:val="0003534B"/>
    <w:rsid w:val="00035B47"/>
    <w:rsid w:val="00035FDE"/>
    <w:rsid w:val="00036475"/>
    <w:rsid w:val="00036F1E"/>
    <w:rsid w:val="0003704D"/>
    <w:rsid w:val="000372BC"/>
    <w:rsid w:val="0004056E"/>
    <w:rsid w:val="00040BD3"/>
    <w:rsid w:val="00040CDB"/>
    <w:rsid w:val="00041B15"/>
    <w:rsid w:val="00041DE0"/>
    <w:rsid w:val="00041E0E"/>
    <w:rsid w:val="00041EA8"/>
    <w:rsid w:val="00042E6B"/>
    <w:rsid w:val="000432CA"/>
    <w:rsid w:val="00043917"/>
    <w:rsid w:val="00043928"/>
    <w:rsid w:val="0004414E"/>
    <w:rsid w:val="0004464A"/>
    <w:rsid w:val="00044F36"/>
    <w:rsid w:val="000450C4"/>
    <w:rsid w:val="0004548E"/>
    <w:rsid w:val="000459C5"/>
    <w:rsid w:val="00045A73"/>
    <w:rsid w:val="00045E00"/>
    <w:rsid w:val="000461B6"/>
    <w:rsid w:val="000461E5"/>
    <w:rsid w:val="0004660C"/>
    <w:rsid w:val="000477BD"/>
    <w:rsid w:val="00047935"/>
    <w:rsid w:val="00047DDA"/>
    <w:rsid w:val="000503B3"/>
    <w:rsid w:val="000505CD"/>
    <w:rsid w:val="00050A1F"/>
    <w:rsid w:val="0005161C"/>
    <w:rsid w:val="00051ADD"/>
    <w:rsid w:val="00051CC0"/>
    <w:rsid w:val="00051FD5"/>
    <w:rsid w:val="000523DD"/>
    <w:rsid w:val="000529A6"/>
    <w:rsid w:val="00052E12"/>
    <w:rsid w:val="00052F73"/>
    <w:rsid w:val="00053303"/>
    <w:rsid w:val="000536B4"/>
    <w:rsid w:val="00053B49"/>
    <w:rsid w:val="00053FD8"/>
    <w:rsid w:val="00053FFE"/>
    <w:rsid w:val="0005411D"/>
    <w:rsid w:val="000541CE"/>
    <w:rsid w:val="00054259"/>
    <w:rsid w:val="00054EF3"/>
    <w:rsid w:val="000559C6"/>
    <w:rsid w:val="00055D37"/>
    <w:rsid w:val="00055ED0"/>
    <w:rsid w:val="00056030"/>
    <w:rsid w:val="0005633A"/>
    <w:rsid w:val="00056E36"/>
    <w:rsid w:val="00057A6E"/>
    <w:rsid w:val="00057B98"/>
    <w:rsid w:val="0006023D"/>
    <w:rsid w:val="00060249"/>
    <w:rsid w:val="000602B3"/>
    <w:rsid w:val="00060B04"/>
    <w:rsid w:val="000610E8"/>
    <w:rsid w:val="00061766"/>
    <w:rsid w:val="00061BBF"/>
    <w:rsid w:val="00061C34"/>
    <w:rsid w:val="00061F58"/>
    <w:rsid w:val="00061F8D"/>
    <w:rsid w:val="00062144"/>
    <w:rsid w:val="0006221D"/>
    <w:rsid w:val="0006230F"/>
    <w:rsid w:val="00062417"/>
    <w:rsid w:val="00062E5E"/>
    <w:rsid w:val="00063DE2"/>
    <w:rsid w:val="0006445C"/>
    <w:rsid w:val="000644C0"/>
    <w:rsid w:val="00064C3C"/>
    <w:rsid w:val="00064E97"/>
    <w:rsid w:val="00064FD9"/>
    <w:rsid w:val="000650AD"/>
    <w:rsid w:val="0006571B"/>
    <w:rsid w:val="00066160"/>
    <w:rsid w:val="0006618B"/>
    <w:rsid w:val="000663C2"/>
    <w:rsid w:val="00066748"/>
    <w:rsid w:val="00066822"/>
    <w:rsid w:val="0006694A"/>
    <w:rsid w:val="000671B8"/>
    <w:rsid w:val="000671E2"/>
    <w:rsid w:val="00067486"/>
    <w:rsid w:val="0006772C"/>
    <w:rsid w:val="0006783A"/>
    <w:rsid w:val="0007049E"/>
    <w:rsid w:val="0007050F"/>
    <w:rsid w:val="0007084D"/>
    <w:rsid w:val="00070BAD"/>
    <w:rsid w:val="000712DE"/>
    <w:rsid w:val="000717C2"/>
    <w:rsid w:val="00071BDC"/>
    <w:rsid w:val="00071F9B"/>
    <w:rsid w:val="00072605"/>
    <w:rsid w:val="0007296B"/>
    <w:rsid w:val="00072A2F"/>
    <w:rsid w:val="00073B25"/>
    <w:rsid w:val="00074018"/>
    <w:rsid w:val="000747CE"/>
    <w:rsid w:val="00074884"/>
    <w:rsid w:val="00074BC0"/>
    <w:rsid w:val="00074FDB"/>
    <w:rsid w:val="000753C7"/>
    <w:rsid w:val="0007556B"/>
    <w:rsid w:val="00075CD5"/>
    <w:rsid w:val="00076A6B"/>
    <w:rsid w:val="000777B1"/>
    <w:rsid w:val="00077997"/>
    <w:rsid w:val="000779B8"/>
    <w:rsid w:val="000779E4"/>
    <w:rsid w:val="00077B8E"/>
    <w:rsid w:val="00077D44"/>
    <w:rsid w:val="00080275"/>
    <w:rsid w:val="000808F6"/>
    <w:rsid w:val="00080A17"/>
    <w:rsid w:val="00080A6B"/>
    <w:rsid w:val="00080E1E"/>
    <w:rsid w:val="00080E5F"/>
    <w:rsid w:val="0008130C"/>
    <w:rsid w:val="000813F3"/>
    <w:rsid w:val="00081ABF"/>
    <w:rsid w:val="00081E3F"/>
    <w:rsid w:val="00082222"/>
    <w:rsid w:val="000825FF"/>
    <w:rsid w:val="00082692"/>
    <w:rsid w:val="00082B3F"/>
    <w:rsid w:val="000839A5"/>
    <w:rsid w:val="000850EF"/>
    <w:rsid w:val="00086037"/>
    <w:rsid w:val="000863A0"/>
    <w:rsid w:val="00086ADC"/>
    <w:rsid w:val="00087CAA"/>
    <w:rsid w:val="000903EC"/>
    <w:rsid w:val="00090464"/>
    <w:rsid w:val="00090753"/>
    <w:rsid w:val="00091225"/>
    <w:rsid w:val="000912C1"/>
    <w:rsid w:val="00091526"/>
    <w:rsid w:val="00091548"/>
    <w:rsid w:val="00091C0B"/>
    <w:rsid w:val="00091CC4"/>
    <w:rsid w:val="0009260B"/>
    <w:rsid w:val="00092ED6"/>
    <w:rsid w:val="00092F21"/>
    <w:rsid w:val="00093DDB"/>
    <w:rsid w:val="00093F9C"/>
    <w:rsid w:val="00094184"/>
    <w:rsid w:val="00094AA4"/>
    <w:rsid w:val="000950DF"/>
    <w:rsid w:val="0009554D"/>
    <w:rsid w:val="0009559D"/>
    <w:rsid w:val="0009579A"/>
    <w:rsid w:val="00095B7E"/>
    <w:rsid w:val="00095D57"/>
    <w:rsid w:val="00095FD4"/>
    <w:rsid w:val="000964CD"/>
    <w:rsid w:val="0009669D"/>
    <w:rsid w:val="0009715A"/>
    <w:rsid w:val="000974BE"/>
    <w:rsid w:val="00097558"/>
    <w:rsid w:val="000977A1"/>
    <w:rsid w:val="00097ABD"/>
    <w:rsid w:val="000A073E"/>
    <w:rsid w:val="000A0AFF"/>
    <w:rsid w:val="000A0B6C"/>
    <w:rsid w:val="000A102F"/>
    <w:rsid w:val="000A156E"/>
    <w:rsid w:val="000A1634"/>
    <w:rsid w:val="000A185D"/>
    <w:rsid w:val="000A19AB"/>
    <w:rsid w:val="000A1C23"/>
    <w:rsid w:val="000A1C49"/>
    <w:rsid w:val="000A1DA3"/>
    <w:rsid w:val="000A20B1"/>
    <w:rsid w:val="000A2342"/>
    <w:rsid w:val="000A2882"/>
    <w:rsid w:val="000A2AFA"/>
    <w:rsid w:val="000A2F68"/>
    <w:rsid w:val="000A320D"/>
    <w:rsid w:val="000A321A"/>
    <w:rsid w:val="000A3269"/>
    <w:rsid w:val="000A34A5"/>
    <w:rsid w:val="000A3654"/>
    <w:rsid w:val="000A399C"/>
    <w:rsid w:val="000A3D92"/>
    <w:rsid w:val="000A3E3C"/>
    <w:rsid w:val="000A4401"/>
    <w:rsid w:val="000A44D4"/>
    <w:rsid w:val="000A6419"/>
    <w:rsid w:val="000A7293"/>
    <w:rsid w:val="000A7A39"/>
    <w:rsid w:val="000A7D20"/>
    <w:rsid w:val="000A7E5E"/>
    <w:rsid w:val="000B07B2"/>
    <w:rsid w:val="000B12CF"/>
    <w:rsid w:val="000B1679"/>
    <w:rsid w:val="000B1A24"/>
    <w:rsid w:val="000B1D93"/>
    <w:rsid w:val="000B1DEB"/>
    <w:rsid w:val="000B231F"/>
    <w:rsid w:val="000B2805"/>
    <w:rsid w:val="000B36CD"/>
    <w:rsid w:val="000B3FBD"/>
    <w:rsid w:val="000B417B"/>
    <w:rsid w:val="000B4709"/>
    <w:rsid w:val="000B52FF"/>
    <w:rsid w:val="000B5301"/>
    <w:rsid w:val="000B5416"/>
    <w:rsid w:val="000B55AB"/>
    <w:rsid w:val="000B596D"/>
    <w:rsid w:val="000B6EB7"/>
    <w:rsid w:val="000B733A"/>
    <w:rsid w:val="000B7591"/>
    <w:rsid w:val="000B77F6"/>
    <w:rsid w:val="000B7B3E"/>
    <w:rsid w:val="000C014D"/>
    <w:rsid w:val="000C0B64"/>
    <w:rsid w:val="000C160C"/>
    <w:rsid w:val="000C1713"/>
    <w:rsid w:val="000C1976"/>
    <w:rsid w:val="000C1AE9"/>
    <w:rsid w:val="000C1D8A"/>
    <w:rsid w:val="000C2201"/>
    <w:rsid w:val="000C29AA"/>
    <w:rsid w:val="000C2F12"/>
    <w:rsid w:val="000C46B6"/>
    <w:rsid w:val="000C474A"/>
    <w:rsid w:val="000C483F"/>
    <w:rsid w:val="000C4A17"/>
    <w:rsid w:val="000C4A41"/>
    <w:rsid w:val="000C52D2"/>
    <w:rsid w:val="000C5A25"/>
    <w:rsid w:val="000C5D34"/>
    <w:rsid w:val="000C6675"/>
    <w:rsid w:val="000C6FA8"/>
    <w:rsid w:val="000C757E"/>
    <w:rsid w:val="000C7600"/>
    <w:rsid w:val="000D0E4D"/>
    <w:rsid w:val="000D13CD"/>
    <w:rsid w:val="000D2151"/>
    <w:rsid w:val="000D26EC"/>
    <w:rsid w:val="000D3216"/>
    <w:rsid w:val="000D383E"/>
    <w:rsid w:val="000D3B75"/>
    <w:rsid w:val="000D3E71"/>
    <w:rsid w:val="000D47F7"/>
    <w:rsid w:val="000D489C"/>
    <w:rsid w:val="000D4B77"/>
    <w:rsid w:val="000D4CF5"/>
    <w:rsid w:val="000D4DAB"/>
    <w:rsid w:val="000D5FF7"/>
    <w:rsid w:val="000D611C"/>
    <w:rsid w:val="000D647A"/>
    <w:rsid w:val="000D73F6"/>
    <w:rsid w:val="000D7B41"/>
    <w:rsid w:val="000E015B"/>
    <w:rsid w:val="000E017F"/>
    <w:rsid w:val="000E1010"/>
    <w:rsid w:val="000E1245"/>
    <w:rsid w:val="000E1B8C"/>
    <w:rsid w:val="000E1D07"/>
    <w:rsid w:val="000E1FB8"/>
    <w:rsid w:val="000E20CE"/>
    <w:rsid w:val="000E24B4"/>
    <w:rsid w:val="000E2578"/>
    <w:rsid w:val="000E2775"/>
    <w:rsid w:val="000E2E2A"/>
    <w:rsid w:val="000E2E6A"/>
    <w:rsid w:val="000E36CF"/>
    <w:rsid w:val="000E3960"/>
    <w:rsid w:val="000E4018"/>
    <w:rsid w:val="000E48A8"/>
    <w:rsid w:val="000E48C4"/>
    <w:rsid w:val="000E4F63"/>
    <w:rsid w:val="000E5260"/>
    <w:rsid w:val="000E560A"/>
    <w:rsid w:val="000E6440"/>
    <w:rsid w:val="000E7040"/>
    <w:rsid w:val="000E73A4"/>
    <w:rsid w:val="000E78EA"/>
    <w:rsid w:val="000E79FF"/>
    <w:rsid w:val="000E7CDA"/>
    <w:rsid w:val="000F009C"/>
    <w:rsid w:val="000F05E2"/>
    <w:rsid w:val="000F0AA2"/>
    <w:rsid w:val="000F17B5"/>
    <w:rsid w:val="000F1ACC"/>
    <w:rsid w:val="000F1C5C"/>
    <w:rsid w:val="000F1ED9"/>
    <w:rsid w:val="000F22C0"/>
    <w:rsid w:val="000F2671"/>
    <w:rsid w:val="000F2832"/>
    <w:rsid w:val="000F3061"/>
    <w:rsid w:val="000F39A7"/>
    <w:rsid w:val="000F3C58"/>
    <w:rsid w:val="000F47D1"/>
    <w:rsid w:val="000F4EFB"/>
    <w:rsid w:val="000F5219"/>
    <w:rsid w:val="000F5941"/>
    <w:rsid w:val="000F6519"/>
    <w:rsid w:val="000F6984"/>
    <w:rsid w:val="000F6B5B"/>
    <w:rsid w:val="000F7222"/>
    <w:rsid w:val="000F78EC"/>
    <w:rsid w:val="000F7AC6"/>
    <w:rsid w:val="000F7ACC"/>
    <w:rsid w:val="000F7E1B"/>
    <w:rsid w:val="0010013E"/>
    <w:rsid w:val="0010049B"/>
    <w:rsid w:val="0010090A"/>
    <w:rsid w:val="00100F67"/>
    <w:rsid w:val="001011A0"/>
    <w:rsid w:val="0010197E"/>
    <w:rsid w:val="00101BD7"/>
    <w:rsid w:val="00101BE6"/>
    <w:rsid w:val="00102887"/>
    <w:rsid w:val="001028F4"/>
    <w:rsid w:val="00102F38"/>
    <w:rsid w:val="001031F6"/>
    <w:rsid w:val="001037B8"/>
    <w:rsid w:val="00103F18"/>
    <w:rsid w:val="001041C5"/>
    <w:rsid w:val="00104259"/>
    <w:rsid w:val="00104669"/>
    <w:rsid w:val="00104683"/>
    <w:rsid w:val="00104EF1"/>
    <w:rsid w:val="00104F2D"/>
    <w:rsid w:val="00105A27"/>
    <w:rsid w:val="00106358"/>
    <w:rsid w:val="00106861"/>
    <w:rsid w:val="00106885"/>
    <w:rsid w:val="001069F1"/>
    <w:rsid w:val="001070C8"/>
    <w:rsid w:val="00107C6B"/>
    <w:rsid w:val="00107FA0"/>
    <w:rsid w:val="0011056A"/>
    <w:rsid w:val="00110828"/>
    <w:rsid w:val="001109E9"/>
    <w:rsid w:val="00110B09"/>
    <w:rsid w:val="001111CA"/>
    <w:rsid w:val="001114CC"/>
    <w:rsid w:val="00111778"/>
    <w:rsid w:val="00111EE7"/>
    <w:rsid w:val="00112BFF"/>
    <w:rsid w:val="0011300B"/>
    <w:rsid w:val="00113ABF"/>
    <w:rsid w:val="00113D1D"/>
    <w:rsid w:val="0011446C"/>
    <w:rsid w:val="0011464F"/>
    <w:rsid w:val="0011468F"/>
    <w:rsid w:val="00115454"/>
    <w:rsid w:val="00115837"/>
    <w:rsid w:val="00116774"/>
    <w:rsid w:val="00116993"/>
    <w:rsid w:val="00116BBE"/>
    <w:rsid w:val="001174F5"/>
    <w:rsid w:val="0011775A"/>
    <w:rsid w:val="001178B3"/>
    <w:rsid w:val="00117903"/>
    <w:rsid w:val="0012070D"/>
    <w:rsid w:val="00120B19"/>
    <w:rsid w:val="00120B3F"/>
    <w:rsid w:val="00120DEF"/>
    <w:rsid w:val="00120FB6"/>
    <w:rsid w:val="001212C6"/>
    <w:rsid w:val="00121B4F"/>
    <w:rsid w:val="0012206C"/>
    <w:rsid w:val="00122522"/>
    <w:rsid w:val="001225DF"/>
    <w:rsid w:val="00122B99"/>
    <w:rsid w:val="00122E13"/>
    <w:rsid w:val="0012325F"/>
    <w:rsid w:val="001233C0"/>
    <w:rsid w:val="00123A2C"/>
    <w:rsid w:val="00124D35"/>
    <w:rsid w:val="001250A8"/>
    <w:rsid w:val="00125755"/>
    <w:rsid w:val="00125CD4"/>
    <w:rsid w:val="00126523"/>
    <w:rsid w:val="001269C5"/>
    <w:rsid w:val="00126B1D"/>
    <w:rsid w:val="00126B91"/>
    <w:rsid w:val="0012779E"/>
    <w:rsid w:val="00130468"/>
    <w:rsid w:val="00130693"/>
    <w:rsid w:val="0013082D"/>
    <w:rsid w:val="00130AC4"/>
    <w:rsid w:val="00130B8B"/>
    <w:rsid w:val="00130E54"/>
    <w:rsid w:val="00130F9A"/>
    <w:rsid w:val="00131C6F"/>
    <w:rsid w:val="00131F10"/>
    <w:rsid w:val="00131FEA"/>
    <w:rsid w:val="00132365"/>
    <w:rsid w:val="001327A5"/>
    <w:rsid w:val="0013290B"/>
    <w:rsid w:val="00132AC5"/>
    <w:rsid w:val="001331DD"/>
    <w:rsid w:val="00133208"/>
    <w:rsid w:val="001333B0"/>
    <w:rsid w:val="0013346D"/>
    <w:rsid w:val="001337CA"/>
    <w:rsid w:val="00133A5D"/>
    <w:rsid w:val="00133B10"/>
    <w:rsid w:val="00133FDB"/>
    <w:rsid w:val="00134246"/>
    <w:rsid w:val="001344FD"/>
    <w:rsid w:val="00134847"/>
    <w:rsid w:val="00135040"/>
    <w:rsid w:val="00135283"/>
    <w:rsid w:val="0013614A"/>
    <w:rsid w:val="00136155"/>
    <w:rsid w:val="00136410"/>
    <w:rsid w:val="001368BA"/>
    <w:rsid w:val="001370B5"/>
    <w:rsid w:val="00140521"/>
    <w:rsid w:val="001415C6"/>
    <w:rsid w:val="001417FE"/>
    <w:rsid w:val="0014180F"/>
    <w:rsid w:val="00141EAF"/>
    <w:rsid w:val="0014299B"/>
    <w:rsid w:val="00142CF3"/>
    <w:rsid w:val="00142EAF"/>
    <w:rsid w:val="0014369F"/>
    <w:rsid w:val="00143B49"/>
    <w:rsid w:val="0014404E"/>
    <w:rsid w:val="00144AFC"/>
    <w:rsid w:val="00144FB0"/>
    <w:rsid w:val="001452DB"/>
    <w:rsid w:val="001460E4"/>
    <w:rsid w:val="00146454"/>
    <w:rsid w:val="0014660D"/>
    <w:rsid w:val="00146811"/>
    <w:rsid w:val="00146AAA"/>
    <w:rsid w:val="00150335"/>
    <w:rsid w:val="00150BC1"/>
    <w:rsid w:val="00150BF0"/>
    <w:rsid w:val="0015126B"/>
    <w:rsid w:val="001515FC"/>
    <w:rsid w:val="00152182"/>
    <w:rsid w:val="00152F4E"/>
    <w:rsid w:val="00153655"/>
    <w:rsid w:val="0015369E"/>
    <w:rsid w:val="00153BD0"/>
    <w:rsid w:val="00154056"/>
    <w:rsid w:val="0015406E"/>
    <w:rsid w:val="00154643"/>
    <w:rsid w:val="00154846"/>
    <w:rsid w:val="00154A84"/>
    <w:rsid w:val="001555E9"/>
    <w:rsid w:val="00156D7D"/>
    <w:rsid w:val="00156F97"/>
    <w:rsid w:val="001571C3"/>
    <w:rsid w:val="001574E5"/>
    <w:rsid w:val="001576CE"/>
    <w:rsid w:val="00157C09"/>
    <w:rsid w:val="00157FFD"/>
    <w:rsid w:val="00160543"/>
    <w:rsid w:val="001607A8"/>
    <w:rsid w:val="00160873"/>
    <w:rsid w:val="00160B69"/>
    <w:rsid w:val="00160F7C"/>
    <w:rsid w:val="00161878"/>
    <w:rsid w:val="00161CA3"/>
    <w:rsid w:val="001620F7"/>
    <w:rsid w:val="00162123"/>
    <w:rsid w:val="001621E9"/>
    <w:rsid w:val="00162289"/>
    <w:rsid w:val="00162311"/>
    <w:rsid w:val="00162BA9"/>
    <w:rsid w:val="00162E5C"/>
    <w:rsid w:val="001630C1"/>
    <w:rsid w:val="001633BF"/>
    <w:rsid w:val="00163699"/>
    <w:rsid w:val="00163A47"/>
    <w:rsid w:val="00163AD0"/>
    <w:rsid w:val="001640DF"/>
    <w:rsid w:val="00164167"/>
    <w:rsid w:val="001647FD"/>
    <w:rsid w:val="00164A2F"/>
    <w:rsid w:val="00164D3D"/>
    <w:rsid w:val="00164DC5"/>
    <w:rsid w:val="001650BE"/>
    <w:rsid w:val="0016579C"/>
    <w:rsid w:val="00166281"/>
    <w:rsid w:val="00166844"/>
    <w:rsid w:val="00166911"/>
    <w:rsid w:val="00166A27"/>
    <w:rsid w:val="00166B38"/>
    <w:rsid w:val="00166BA9"/>
    <w:rsid w:val="00166F66"/>
    <w:rsid w:val="001673A2"/>
    <w:rsid w:val="0017040B"/>
    <w:rsid w:val="00170879"/>
    <w:rsid w:val="00170910"/>
    <w:rsid w:val="0017098C"/>
    <w:rsid w:val="00170F5D"/>
    <w:rsid w:val="00170F7E"/>
    <w:rsid w:val="00171A03"/>
    <w:rsid w:val="00171D2D"/>
    <w:rsid w:val="001720D7"/>
    <w:rsid w:val="00172590"/>
    <w:rsid w:val="001729AD"/>
    <w:rsid w:val="00172F9F"/>
    <w:rsid w:val="0017315D"/>
    <w:rsid w:val="0017345B"/>
    <w:rsid w:val="001737E3"/>
    <w:rsid w:val="00174627"/>
    <w:rsid w:val="00175698"/>
    <w:rsid w:val="00175EFE"/>
    <w:rsid w:val="001760D6"/>
    <w:rsid w:val="00176320"/>
    <w:rsid w:val="001776C2"/>
    <w:rsid w:val="00177AFA"/>
    <w:rsid w:val="001803EC"/>
    <w:rsid w:val="0018063F"/>
    <w:rsid w:val="00180A18"/>
    <w:rsid w:val="00180C90"/>
    <w:rsid w:val="00180FCB"/>
    <w:rsid w:val="00181927"/>
    <w:rsid w:val="00181B75"/>
    <w:rsid w:val="00182083"/>
    <w:rsid w:val="00182317"/>
    <w:rsid w:val="00182815"/>
    <w:rsid w:val="00182B09"/>
    <w:rsid w:val="00182BDB"/>
    <w:rsid w:val="00182C4F"/>
    <w:rsid w:val="00182CF1"/>
    <w:rsid w:val="00182D83"/>
    <w:rsid w:val="0018309F"/>
    <w:rsid w:val="0018315D"/>
    <w:rsid w:val="00183A6C"/>
    <w:rsid w:val="00184119"/>
    <w:rsid w:val="001841BC"/>
    <w:rsid w:val="00184B4E"/>
    <w:rsid w:val="001854C1"/>
    <w:rsid w:val="001854DD"/>
    <w:rsid w:val="00185D5D"/>
    <w:rsid w:val="00186AEA"/>
    <w:rsid w:val="001871A7"/>
    <w:rsid w:val="001876CC"/>
    <w:rsid w:val="001879CE"/>
    <w:rsid w:val="00187C43"/>
    <w:rsid w:val="00190461"/>
    <w:rsid w:val="00190744"/>
    <w:rsid w:val="00190943"/>
    <w:rsid w:val="00190ADE"/>
    <w:rsid w:val="00190CB0"/>
    <w:rsid w:val="00190E08"/>
    <w:rsid w:val="00191101"/>
    <w:rsid w:val="00191718"/>
    <w:rsid w:val="00192511"/>
    <w:rsid w:val="00192642"/>
    <w:rsid w:val="00192682"/>
    <w:rsid w:val="001926C5"/>
    <w:rsid w:val="00192856"/>
    <w:rsid w:val="00192B9F"/>
    <w:rsid w:val="00193242"/>
    <w:rsid w:val="00193F95"/>
    <w:rsid w:val="001940E4"/>
    <w:rsid w:val="00194281"/>
    <w:rsid w:val="00194584"/>
    <w:rsid w:val="001945B4"/>
    <w:rsid w:val="00194691"/>
    <w:rsid w:val="00194AD1"/>
    <w:rsid w:val="00195E33"/>
    <w:rsid w:val="00195FD6"/>
    <w:rsid w:val="001964A0"/>
    <w:rsid w:val="0019650A"/>
    <w:rsid w:val="001973F6"/>
    <w:rsid w:val="00197587"/>
    <w:rsid w:val="00197CA3"/>
    <w:rsid w:val="00197D38"/>
    <w:rsid w:val="001A0627"/>
    <w:rsid w:val="001A0B96"/>
    <w:rsid w:val="001A1153"/>
    <w:rsid w:val="001A13B5"/>
    <w:rsid w:val="001A187F"/>
    <w:rsid w:val="001A18BA"/>
    <w:rsid w:val="001A1971"/>
    <w:rsid w:val="001A1A6A"/>
    <w:rsid w:val="001A1A8E"/>
    <w:rsid w:val="001A1AD7"/>
    <w:rsid w:val="001A1BC0"/>
    <w:rsid w:val="001A1BEE"/>
    <w:rsid w:val="001A1D36"/>
    <w:rsid w:val="001A2D45"/>
    <w:rsid w:val="001A2DC5"/>
    <w:rsid w:val="001A30C1"/>
    <w:rsid w:val="001A342A"/>
    <w:rsid w:val="001A3DDC"/>
    <w:rsid w:val="001A461D"/>
    <w:rsid w:val="001A48E0"/>
    <w:rsid w:val="001A523A"/>
    <w:rsid w:val="001A55C7"/>
    <w:rsid w:val="001A55DE"/>
    <w:rsid w:val="001A55F3"/>
    <w:rsid w:val="001A5C14"/>
    <w:rsid w:val="001A5E34"/>
    <w:rsid w:val="001A693D"/>
    <w:rsid w:val="001A6DD7"/>
    <w:rsid w:val="001A705F"/>
    <w:rsid w:val="001A73CF"/>
    <w:rsid w:val="001A771C"/>
    <w:rsid w:val="001A7B28"/>
    <w:rsid w:val="001B01EE"/>
    <w:rsid w:val="001B0860"/>
    <w:rsid w:val="001B0B6D"/>
    <w:rsid w:val="001B0FC4"/>
    <w:rsid w:val="001B1335"/>
    <w:rsid w:val="001B15C0"/>
    <w:rsid w:val="001B1BD7"/>
    <w:rsid w:val="001B2007"/>
    <w:rsid w:val="001B239C"/>
    <w:rsid w:val="001B2A1E"/>
    <w:rsid w:val="001B370B"/>
    <w:rsid w:val="001B3F84"/>
    <w:rsid w:val="001B4302"/>
    <w:rsid w:val="001B4DF0"/>
    <w:rsid w:val="001B55EC"/>
    <w:rsid w:val="001B5E85"/>
    <w:rsid w:val="001B6245"/>
    <w:rsid w:val="001B6F2F"/>
    <w:rsid w:val="001B6F63"/>
    <w:rsid w:val="001B7415"/>
    <w:rsid w:val="001B7486"/>
    <w:rsid w:val="001B769E"/>
    <w:rsid w:val="001B7A03"/>
    <w:rsid w:val="001B7E41"/>
    <w:rsid w:val="001C087E"/>
    <w:rsid w:val="001C0A1F"/>
    <w:rsid w:val="001C167D"/>
    <w:rsid w:val="001C1E7B"/>
    <w:rsid w:val="001C2044"/>
    <w:rsid w:val="001C2326"/>
    <w:rsid w:val="001C3565"/>
    <w:rsid w:val="001C3B49"/>
    <w:rsid w:val="001C3D27"/>
    <w:rsid w:val="001C3E31"/>
    <w:rsid w:val="001C41C8"/>
    <w:rsid w:val="001C49DD"/>
    <w:rsid w:val="001C5525"/>
    <w:rsid w:val="001C5CFB"/>
    <w:rsid w:val="001C6C26"/>
    <w:rsid w:val="001C6CD9"/>
    <w:rsid w:val="001C702E"/>
    <w:rsid w:val="001C7653"/>
    <w:rsid w:val="001C7705"/>
    <w:rsid w:val="001C78B7"/>
    <w:rsid w:val="001C7D00"/>
    <w:rsid w:val="001C7D13"/>
    <w:rsid w:val="001C7F81"/>
    <w:rsid w:val="001D004F"/>
    <w:rsid w:val="001D02C5"/>
    <w:rsid w:val="001D030E"/>
    <w:rsid w:val="001D0969"/>
    <w:rsid w:val="001D0D75"/>
    <w:rsid w:val="001D0F75"/>
    <w:rsid w:val="001D114C"/>
    <w:rsid w:val="001D1699"/>
    <w:rsid w:val="001D1847"/>
    <w:rsid w:val="001D185C"/>
    <w:rsid w:val="001D1C72"/>
    <w:rsid w:val="001D1D05"/>
    <w:rsid w:val="001D1E2D"/>
    <w:rsid w:val="001D234C"/>
    <w:rsid w:val="001D2BEA"/>
    <w:rsid w:val="001D2D24"/>
    <w:rsid w:val="001D31A2"/>
    <w:rsid w:val="001D31B4"/>
    <w:rsid w:val="001D320D"/>
    <w:rsid w:val="001D3A3A"/>
    <w:rsid w:val="001D3F97"/>
    <w:rsid w:val="001D4146"/>
    <w:rsid w:val="001D418F"/>
    <w:rsid w:val="001D491C"/>
    <w:rsid w:val="001D4F8F"/>
    <w:rsid w:val="001D5DBD"/>
    <w:rsid w:val="001D605F"/>
    <w:rsid w:val="001D6551"/>
    <w:rsid w:val="001D674A"/>
    <w:rsid w:val="001D6787"/>
    <w:rsid w:val="001D7244"/>
    <w:rsid w:val="001D7F96"/>
    <w:rsid w:val="001E012E"/>
    <w:rsid w:val="001E02EC"/>
    <w:rsid w:val="001E04F1"/>
    <w:rsid w:val="001E0E35"/>
    <w:rsid w:val="001E125F"/>
    <w:rsid w:val="001E132B"/>
    <w:rsid w:val="001E1E07"/>
    <w:rsid w:val="001E2279"/>
    <w:rsid w:val="001E2937"/>
    <w:rsid w:val="001E30B5"/>
    <w:rsid w:val="001E43B9"/>
    <w:rsid w:val="001E4B5A"/>
    <w:rsid w:val="001E4F58"/>
    <w:rsid w:val="001E6120"/>
    <w:rsid w:val="001E63E6"/>
    <w:rsid w:val="001E668F"/>
    <w:rsid w:val="001E6834"/>
    <w:rsid w:val="001E6AAB"/>
    <w:rsid w:val="001E6E3A"/>
    <w:rsid w:val="001E7066"/>
    <w:rsid w:val="001E71AD"/>
    <w:rsid w:val="001E7333"/>
    <w:rsid w:val="001E7954"/>
    <w:rsid w:val="001E7D6A"/>
    <w:rsid w:val="001E7E79"/>
    <w:rsid w:val="001F07DB"/>
    <w:rsid w:val="001F0A9A"/>
    <w:rsid w:val="001F0CB5"/>
    <w:rsid w:val="001F1023"/>
    <w:rsid w:val="001F155E"/>
    <w:rsid w:val="001F1739"/>
    <w:rsid w:val="001F19EC"/>
    <w:rsid w:val="001F220F"/>
    <w:rsid w:val="001F2568"/>
    <w:rsid w:val="001F2A7C"/>
    <w:rsid w:val="001F2FDA"/>
    <w:rsid w:val="001F3107"/>
    <w:rsid w:val="001F31A5"/>
    <w:rsid w:val="001F370D"/>
    <w:rsid w:val="001F44F0"/>
    <w:rsid w:val="001F482E"/>
    <w:rsid w:val="001F4B43"/>
    <w:rsid w:val="001F52C4"/>
    <w:rsid w:val="001F5462"/>
    <w:rsid w:val="001F562E"/>
    <w:rsid w:val="001F6E6E"/>
    <w:rsid w:val="002002ED"/>
    <w:rsid w:val="00201061"/>
    <w:rsid w:val="0020113E"/>
    <w:rsid w:val="00201420"/>
    <w:rsid w:val="0020175F"/>
    <w:rsid w:val="002032DC"/>
    <w:rsid w:val="00203585"/>
    <w:rsid w:val="002038E4"/>
    <w:rsid w:val="00203939"/>
    <w:rsid w:val="00203BEC"/>
    <w:rsid w:val="00203F84"/>
    <w:rsid w:val="002044F3"/>
    <w:rsid w:val="002045FA"/>
    <w:rsid w:val="00204C1C"/>
    <w:rsid w:val="00204CD2"/>
    <w:rsid w:val="00204F82"/>
    <w:rsid w:val="00205225"/>
    <w:rsid w:val="002059EF"/>
    <w:rsid w:val="002065A1"/>
    <w:rsid w:val="002066F7"/>
    <w:rsid w:val="00206C66"/>
    <w:rsid w:val="00206C68"/>
    <w:rsid w:val="00207591"/>
    <w:rsid w:val="00210196"/>
    <w:rsid w:val="0021049C"/>
    <w:rsid w:val="0021091B"/>
    <w:rsid w:val="00210D98"/>
    <w:rsid w:val="00210DD2"/>
    <w:rsid w:val="0021189D"/>
    <w:rsid w:val="0021197E"/>
    <w:rsid w:val="00211B7E"/>
    <w:rsid w:val="00211DB3"/>
    <w:rsid w:val="00211E19"/>
    <w:rsid w:val="00212293"/>
    <w:rsid w:val="00212CD1"/>
    <w:rsid w:val="00212D21"/>
    <w:rsid w:val="00213523"/>
    <w:rsid w:val="0021364E"/>
    <w:rsid w:val="00213C3E"/>
    <w:rsid w:val="00213F22"/>
    <w:rsid w:val="00214B97"/>
    <w:rsid w:val="00214DDD"/>
    <w:rsid w:val="002155ED"/>
    <w:rsid w:val="00215625"/>
    <w:rsid w:val="00215AAA"/>
    <w:rsid w:val="0021602F"/>
    <w:rsid w:val="00216866"/>
    <w:rsid w:val="00216B0E"/>
    <w:rsid w:val="00216C4E"/>
    <w:rsid w:val="00216E09"/>
    <w:rsid w:val="00216E50"/>
    <w:rsid w:val="00216EF9"/>
    <w:rsid w:val="00216FA5"/>
    <w:rsid w:val="0021762D"/>
    <w:rsid w:val="0022054E"/>
    <w:rsid w:val="00220B1E"/>
    <w:rsid w:val="00220B39"/>
    <w:rsid w:val="0022107C"/>
    <w:rsid w:val="0022163C"/>
    <w:rsid w:val="002219F5"/>
    <w:rsid w:val="00221E0F"/>
    <w:rsid w:val="002220A1"/>
    <w:rsid w:val="00222EEB"/>
    <w:rsid w:val="0022307D"/>
    <w:rsid w:val="0022336A"/>
    <w:rsid w:val="00223E0F"/>
    <w:rsid w:val="00224481"/>
    <w:rsid w:val="00224532"/>
    <w:rsid w:val="00225358"/>
    <w:rsid w:val="002256BE"/>
    <w:rsid w:val="002264B6"/>
    <w:rsid w:val="00227186"/>
    <w:rsid w:val="0023006B"/>
    <w:rsid w:val="002300D3"/>
    <w:rsid w:val="00230D42"/>
    <w:rsid w:val="00231B53"/>
    <w:rsid w:val="00231FC2"/>
    <w:rsid w:val="00232078"/>
    <w:rsid w:val="00233204"/>
    <w:rsid w:val="00233552"/>
    <w:rsid w:val="00233689"/>
    <w:rsid w:val="002336E7"/>
    <w:rsid w:val="00233A17"/>
    <w:rsid w:val="00233DF3"/>
    <w:rsid w:val="00234195"/>
    <w:rsid w:val="002341E5"/>
    <w:rsid w:val="00234267"/>
    <w:rsid w:val="002344F9"/>
    <w:rsid w:val="00234CC3"/>
    <w:rsid w:val="002363F8"/>
    <w:rsid w:val="00236559"/>
    <w:rsid w:val="00236FFF"/>
    <w:rsid w:val="00237384"/>
    <w:rsid w:val="00237CA0"/>
    <w:rsid w:val="002404B4"/>
    <w:rsid w:val="002405C7"/>
    <w:rsid w:val="00240F57"/>
    <w:rsid w:val="00241034"/>
    <w:rsid w:val="002410BD"/>
    <w:rsid w:val="002412C6"/>
    <w:rsid w:val="00241BA3"/>
    <w:rsid w:val="00241C2A"/>
    <w:rsid w:val="0024204C"/>
    <w:rsid w:val="0024222C"/>
    <w:rsid w:val="0024247E"/>
    <w:rsid w:val="002424D1"/>
    <w:rsid w:val="00242817"/>
    <w:rsid w:val="0024299A"/>
    <w:rsid w:val="00242A24"/>
    <w:rsid w:val="00242CD0"/>
    <w:rsid w:val="00243347"/>
    <w:rsid w:val="00243CC9"/>
    <w:rsid w:val="00244350"/>
    <w:rsid w:val="0024466D"/>
    <w:rsid w:val="002450EE"/>
    <w:rsid w:val="00245C90"/>
    <w:rsid w:val="00245FC8"/>
    <w:rsid w:val="002468AD"/>
    <w:rsid w:val="00246C0C"/>
    <w:rsid w:val="00247020"/>
    <w:rsid w:val="00247728"/>
    <w:rsid w:val="00247DAF"/>
    <w:rsid w:val="002503C9"/>
    <w:rsid w:val="00250555"/>
    <w:rsid w:val="00250E48"/>
    <w:rsid w:val="00251143"/>
    <w:rsid w:val="00251159"/>
    <w:rsid w:val="00251B57"/>
    <w:rsid w:val="00252476"/>
    <w:rsid w:val="00252697"/>
    <w:rsid w:val="00252841"/>
    <w:rsid w:val="00252854"/>
    <w:rsid w:val="00252C6D"/>
    <w:rsid w:val="0025307F"/>
    <w:rsid w:val="00253468"/>
    <w:rsid w:val="00254659"/>
    <w:rsid w:val="002549D8"/>
    <w:rsid w:val="00255515"/>
    <w:rsid w:val="002558E0"/>
    <w:rsid w:val="002567E3"/>
    <w:rsid w:val="00257AB7"/>
    <w:rsid w:val="00257DD6"/>
    <w:rsid w:val="00257E97"/>
    <w:rsid w:val="0026005F"/>
    <w:rsid w:val="00260465"/>
    <w:rsid w:val="00260C12"/>
    <w:rsid w:val="002612CE"/>
    <w:rsid w:val="002612FB"/>
    <w:rsid w:val="00261D03"/>
    <w:rsid w:val="00262067"/>
    <w:rsid w:val="00262924"/>
    <w:rsid w:val="00262EBB"/>
    <w:rsid w:val="002630DC"/>
    <w:rsid w:val="00263514"/>
    <w:rsid w:val="002636D1"/>
    <w:rsid w:val="00263D72"/>
    <w:rsid w:val="00263E5A"/>
    <w:rsid w:val="00263EE7"/>
    <w:rsid w:val="002640C8"/>
    <w:rsid w:val="002642D8"/>
    <w:rsid w:val="002646D9"/>
    <w:rsid w:val="0026520F"/>
    <w:rsid w:val="00265B4D"/>
    <w:rsid w:val="002666D6"/>
    <w:rsid w:val="0026679F"/>
    <w:rsid w:val="00266830"/>
    <w:rsid w:val="00267038"/>
    <w:rsid w:val="0026737A"/>
    <w:rsid w:val="00267E3C"/>
    <w:rsid w:val="00270771"/>
    <w:rsid w:val="00270CAB"/>
    <w:rsid w:val="00271007"/>
    <w:rsid w:val="002715BD"/>
    <w:rsid w:val="0027194A"/>
    <w:rsid w:val="00271B6D"/>
    <w:rsid w:val="00271EE2"/>
    <w:rsid w:val="00271FA3"/>
    <w:rsid w:val="00272404"/>
    <w:rsid w:val="002726FF"/>
    <w:rsid w:val="0027273F"/>
    <w:rsid w:val="002728E0"/>
    <w:rsid w:val="00272CA5"/>
    <w:rsid w:val="00272D85"/>
    <w:rsid w:val="00272EB3"/>
    <w:rsid w:val="002732B4"/>
    <w:rsid w:val="00273402"/>
    <w:rsid w:val="00273637"/>
    <w:rsid w:val="00273672"/>
    <w:rsid w:val="00273DB4"/>
    <w:rsid w:val="002740D2"/>
    <w:rsid w:val="0027419D"/>
    <w:rsid w:val="0027432C"/>
    <w:rsid w:val="002744D7"/>
    <w:rsid w:val="002748E9"/>
    <w:rsid w:val="00274A69"/>
    <w:rsid w:val="00274E65"/>
    <w:rsid w:val="002751F0"/>
    <w:rsid w:val="00275352"/>
    <w:rsid w:val="00275603"/>
    <w:rsid w:val="00275626"/>
    <w:rsid w:val="00275A04"/>
    <w:rsid w:val="00275ED6"/>
    <w:rsid w:val="00276337"/>
    <w:rsid w:val="00276EB1"/>
    <w:rsid w:val="00277AD4"/>
    <w:rsid w:val="00277B8B"/>
    <w:rsid w:val="0028010C"/>
    <w:rsid w:val="002803E7"/>
    <w:rsid w:val="002806DE"/>
    <w:rsid w:val="0028151F"/>
    <w:rsid w:val="00281C3C"/>
    <w:rsid w:val="00281FE6"/>
    <w:rsid w:val="00282BB8"/>
    <w:rsid w:val="00282DB0"/>
    <w:rsid w:val="00282ED3"/>
    <w:rsid w:val="00283519"/>
    <w:rsid w:val="00284E21"/>
    <w:rsid w:val="0028540F"/>
    <w:rsid w:val="00285439"/>
    <w:rsid w:val="002857BB"/>
    <w:rsid w:val="002863B0"/>
    <w:rsid w:val="002869CE"/>
    <w:rsid w:val="00286CC0"/>
    <w:rsid w:val="00286D53"/>
    <w:rsid w:val="00287A2E"/>
    <w:rsid w:val="00287B15"/>
    <w:rsid w:val="00287E3D"/>
    <w:rsid w:val="00287EC4"/>
    <w:rsid w:val="002901F7"/>
    <w:rsid w:val="00290208"/>
    <w:rsid w:val="002903BA"/>
    <w:rsid w:val="0029194C"/>
    <w:rsid w:val="002920E3"/>
    <w:rsid w:val="00292135"/>
    <w:rsid w:val="00292CCC"/>
    <w:rsid w:val="00292EFE"/>
    <w:rsid w:val="00292FDE"/>
    <w:rsid w:val="002937DC"/>
    <w:rsid w:val="002938BF"/>
    <w:rsid w:val="002939FA"/>
    <w:rsid w:val="00293C23"/>
    <w:rsid w:val="00293D27"/>
    <w:rsid w:val="00293FF7"/>
    <w:rsid w:val="002940B3"/>
    <w:rsid w:val="002942A1"/>
    <w:rsid w:val="0029436B"/>
    <w:rsid w:val="002945C4"/>
    <w:rsid w:val="00294D1F"/>
    <w:rsid w:val="00294F6A"/>
    <w:rsid w:val="00295379"/>
    <w:rsid w:val="002955C2"/>
    <w:rsid w:val="002955C8"/>
    <w:rsid w:val="002959CC"/>
    <w:rsid w:val="00295D14"/>
    <w:rsid w:val="0029613B"/>
    <w:rsid w:val="002966E2"/>
    <w:rsid w:val="002967D7"/>
    <w:rsid w:val="002969A6"/>
    <w:rsid w:val="002969BB"/>
    <w:rsid w:val="002972BD"/>
    <w:rsid w:val="00297336"/>
    <w:rsid w:val="002975BF"/>
    <w:rsid w:val="002977C1"/>
    <w:rsid w:val="002A04C9"/>
    <w:rsid w:val="002A0655"/>
    <w:rsid w:val="002A07B7"/>
    <w:rsid w:val="002A0952"/>
    <w:rsid w:val="002A0D4B"/>
    <w:rsid w:val="002A0E3E"/>
    <w:rsid w:val="002A1127"/>
    <w:rsid w:val="002A1373"/>
    <w:rsid w:val="002A139B"/>
    <w:rsid w:val="002A253E"/>
    <w:rsid w:val="002A25E6"/>
    <w:rsid w:val="002A2BD2"/>
    <w:rsid w:val="002A2C13"/>
    <w:rsid w:val="002A36D6"/>
    <w:rsid w:val="002A40C0"/>
    <w:rsid w:val="002A478C"/>
    <w:rsid w:val="002A481D"/>
    <w:rsid w:val="002A4AA7"/>
    <w:rsid w:val="002A4F17"/>
    <w:rsid w:val="002A5229"/>
    <w:rsid w:val="002A5A08"/>
    <w:rsid w:val="002A63DB"/>
    <w:rsid w:val="002A6512"/>
    <w:rsid w:val="002A7050"/>
    <w:rsid w:val="002A70D5"/>
    <w:rsid w:val="002A7393"/>
    <w:rsid w:val="002B02B1"/>
    <w:rsid w:val="002B0870"/>
    <w:rsid w:val="002B1C14"/>
    <w:rsid w:val="002B1D12"/>
    <w:rsid w:val="002B23C1"/>
    <w:rsid w:val="002B2510"/>
    <w:rsid w:val="002B251E"/>
    <w:rsid w:val="002B25BE"/>
    <w:rsid w:val="002B2D7C"/>
    <w:rsid w:val="002B3100"/>
    <w:rsid w:val="002B3519"/>
    <w:rsid w:val="002B367E"/>
    <w:rsid w:val="002B5186"/>
    <w:rsid w:val="002B6CD9"/>
    <w:rsid w:val="002B6DAF"/>
    <w:rsid w:val="002B6FCA"/>
    <w:rsid w:val="002B70F5"/>
    <w:rsid w:val="002B798F"/>
    <w:rsid w:val="002B79A9"/>
    <w:rsid w:val="002B7C65"/>
    <w:rsid w:val="002C0725"/>
    <w:rsid w:val="002C0EF7"/>
    <w:rsid w:val="002C109B"/>
    <w:rsid w:val="002C13BB"/>
    <w:rsid w:val="002C172C"/>
    <w:rsid w:val="002C1DC3"/>
    <w:rsid w:val="002C2239"/>
    <w:rsid w:val="002C27DF"/>
    <w:rsid w:val="002C2A0B"/>
    <w:rsid w:val="002C3558"/>
    <w:rsid w:val="002C3CE9"/>
    <w:rsid w:val="002C48BD"/>
    <w:rsid w:val="002C4F1A"/>
    <w:rsid w:val="002C585A"/>
    <w:rsid w:val="002C58B8"/>
    <w:rsid w:val="002C5A92"/>
    <w:rsid w:val="002C5FE8"/>
    <w:rsid w:val="002C6348"/>
    <w:rsid w:val="002C637D"/>
    <w:rsid w:val="002C646B"/>
    <w:rsid w:val="002C6664"/>
    <w:rsid w:val="002C68EB"/>
    <w:rsid w:val="002C693E"/>
    <w:rsid w:val="002C6BCE"/>
    <w:rsid w:val="002C7E34"/>
    <w:rsid w:val="002C7E4D"/>
    <w:rsid w:val="002D0764"/>
    <w:rsid w:val="002D083A"/>
    <w:rsid w:val="002D0F51"/>
    <w:rsid w:val="002D10B9"/>
    <w:rsid w:val="002D13C0"/>
    <w:rsid w:val="002D1DFE"/>
    <w:rsid w:val="002D234E"/>
    <w:rsid w:val="002D27B9"/>
    <w:rsid w:val="002D2923"/>
    <w:rsid w:val="002D2BE0"/>
    <w:rsid w:val="002D2D34"/>
    <w:rsid w:val="002D2DEE"/>
    <w:rsid w:val="002D3903"/>
    <w:rsid w:val="002D4F40"/>
    <w:rsid w:val="002D52D3"/>
    <w:rsid w:val="002D5A75"/>
    <w:rsid w:val="002D5A95"/>
    <w:rsid w:val="002D5B68"/>
    <w:rsid w:val="002D5DF3"/>
    <w:rsid w:val="002D6129"/>
    <w:rsid w:val="002D678F"/>
    <w:rsid w:val="002D701A"/>
    <w:rsid w:val="002D750E"/>
    <w:rsid w:val="002D7D1B"/>
    <w:rsid w:val="002E00F7"/>
    <w:rsid w:val="002E0564"/>
    <w:rsid w:val="002E0AA3"/>
    <w:rsid w:val="002E0CFF"/>
    <w:rsid w:val="002E103F"/>
    <w:rsid w:val="002E116D"/>
    <w:rsid w:val="002E12FE"/>
    <w:rsid w:val="002E18C1"/>
    <w:rsid w:val="002E1AF5"/>
    <w:rsid w:val="002E1D00"/>
    <w:rsid w:val="002E2A92"/>
    <w:rsid w:val="002E30E6"/>
    <w:rsid w:val="002E3446"/>
    <w:rsid w:val="002E3E29"/>
    <w:rsid w:val="002E3EBA"/>
    <w:rsid w:val="002E4A18"/>
    <w:rsid w:val="002E5428"/>
    <w:rsid w:val="002E5890"/>
    <w:rsid w:val="002E58D7"/>
    <w:rsid w:val="002E5C32"/>
    <w:rsid w:val="002E70DC"/>
    <w:rsid w:val="002E7AC5"/>
    <w:rsid w:val="002E7D32"/>
    <w:rsid w:val="002E7F29"/>
    <w:rsid w:val="002F0124"/>
    <w:rsid w:val="002F0670"/>
    <w:rsid w:val="002F1433"/>
    <w:rsid w:val="002F24F1"/>
    <w:rsid w:val="002F2DD0"/>
    <w:rsid w:val="002F369D"/>
    <w:rsid w:val="002F3C1C"/>
    <w:rsid w:val="002F57E0"/>
    <w:rsid w:val="002F5C20"/>
    <w:rsid w:val="002F6148"/>
    <w:rsid w:val="002F67D8"/>
    <w:rsid w:val="002F6F67"/>
    <w:rsid w:val="002F705C"/>
    <w:rsid w:val="002F718C"/>
    <w:rsid w:val="002F7A91"/>
    <w:rsid w:val="002F7EA8"/>
    <w:rsid w:val="0030004D"/>
    <w:rsid w:val="003000C7"/>
    <w:rsid w:val="003007AF"/>
    <w:rsid w:val="00300A3A"/>
    <w:rsid w:val="00300F6A"/>
    <w:rsid w:val="00300F80"/>
    <w:rsid w:val="003013A1"/>
    <w:rsid w:val="00302018"/>
    <w:rsid w:val="00302FAF"/>
    <w:rsid w:val="00302FF3"/>
    <w:rsid w:val="00304172"/>
    <w:rsid w:val="0030449E"/>
    <w:rsid w:val="00304886"/>
    <w:rsid w:val="00305663"/>
    <w:rsid w:val="00305BEE"/>
    <w:rsid w:val="00305DE7"/>
    <w:rsid w:val="00305FB4"/>
    <w:rsid w:val="003062D2"/>
    <w:rsid w:val="003063C7"/>
    <w:rsid w:val="0030691A"/>
    <w:rsid w:val="00306982"/>
    <w:rsid w:val="00306B8F"/>
    <w:rsid w:val="00307AC7"/>
    <w:rsid w:val="00307DA4"/>
    <w:rsid w:val="00310202"/>
    <w:rsid w:val="00310600"/>
    <w:rsid w:val="00310857"/>
    <w:rsid w:val="00310A90"/>
    <w:rsid w:val="00310BE6"/>
    <w:rsid w:val="003112B2"/>
    <w:rsid w:val="003114A8"/>
    <w:rsid w:val="00311590"/>
    <w:rsid w:val="0031166B"/>
    <w:rsid w:val="00311FC7"/>
    <w:rsid w:val="00312522"/>
    <w:rsid w:val="003127E4"/>
    <w:rsid w:val="00312BD9"/>
    <w:rsid w:val="00312F64"/>
    <w:rsid w:val="0031318B"/>
    <w:rsid w:val="0031379E"/>
    <w:rsid w:val="00313C1D"/>
    <w:rsid w:val="0031403D"/>
    <w:rsid w:val="00314155"/>
    <w:rsid w:val="003141D1"/>
    <w:rsid w:val="00315030"/>
    <w:rsid w:val="00315061"/>
    <w:rsid w:val="00315543"/>
    <w:rsid w:val="00315B8D"/>
    <w:rsid w:val="003161BF"/>
    <w:rsid w:val="003172D2"/>
    <w:rsid w:val="003173B0"/>
    <w:rsid w:val="003173E6"/>
    <w:rsid w:val="0031784E"/>
    <w:rsid w:val="0032055B"/>
    <w:rsid w:val="00320835"/>
    <w:rsid w:val="003212BF"/>
    <w:rsid w:val="00321D59"/>
    <w:rsid w:val="00321D99"/>
    <w:rsid w:val="00322224"/>
    <w:rsid w:val="00322A88"/>
    <w:rsid w:val="00322F3F"/>
    <w:rsid w:val="0032316A"/>
    <w:rsid w:val="003232AC"/>
    <w:rsid w:val="00324823"/>
    <w:rsid w:val="00324ABA"/>
    <w:rsid w:val="003251CA"/>
    <w:rsid w:val="003251DD"/>
    <w:rsid w:val="0032549E"/>
    <w:rsid w:val="003255AC"/>
    <w:rsid w:val="0032576E"/>
    <w:rsid w:val="003257FB"/>
    <w:rsid w:val="0032605A"/>
    <w:rsid w:val="003262E9"/>
    <w:rsid w:val="00326816"/>
    <w:rsid w:val="00326DB2"/>
    <w:rsid w:val="00327137"/>
    <w:rsid w:val="00327463"/>
    <w:rsid w:val="00327766"/>
    <w:rsid w:val="003302F5"/>
    <w:rsid w:val="00330595"/>
    <w:rsid w:val="00330993"/>
    <w:rsid w:val="00330EC7"/>
    <w:rsid w:val="00330F67"/>
    <w:rsid w:val="00331238"/>
    <w:rsid w:val="00331273"/>
    <w:rsid w:val="00331437"/>
    <w:rsid w:val="00331864"/>
    <w:rsid w:val="003318A6"/>
    <w:rsid w:val="00332256"/>
    <w:rsid w:val="0033249C"/>
    <w:rsid w:val="003327DE"/>
    <w:rsid w:val="00332CAC"/>
    <w:rsid w:val="00332DE3"/>
    <w:rsid w:val="00333291"/>
    <w:rsid w:val="00334247"/>
    <w:rsid w:val="00334AE9"/>
    <w:rsid w:val="003355FD"/>
    <w:rsid w:val="00335898"/>
    <w:rsid w:val="0033597D"/>
    <w:rsid w:val="00335E66"/>
    <w:rsid w:val="00335F61"/>
    <w:rsid w:val="0033633B"/>
    <w:rsid w:val="0033696A"/>
    <w:rsid w:val="00336D82"/>
    <w:rsid w:val="00336DD1"/>
    <w:rsid w:val="00336F4F"/>
    <w:rsid w:val="00337AEA"/>
    <w:rsid w:val="00340616"/>
    <w:rsid w:val="003406A9"/>
    <w:rsid w:val="00340768"/>
    <w:rsid w:val="00340A38"/>
    <w:rsid w:val="00340E18"/>
    <w:rsid w:val="00340E49"/>
    <w:rsid w:val="00341516"/>
    <w:rsid w:val="00341660"/>
    <w:rsid w:val="003418CC"/>
    <w:rsid w:val="00342331"/>
    <w:rsid w:val="003424E8"/>
    <w:rsid w:val="00343379"/>
    <w:rsid w:val="003442EF"/>
    <w:rsid w:val="003443FC"/>
    <w:rsid w:val="003445CD"/>
    <w:rsid w:val="0034536B"/>
    <w:rsid w:val="00345A5D"/>
    <w:rsid w:val="00345CD6"/>
    <w:rsid w:val="00345E3E"/>
    <w:rsid w:val="00345F5B"/>
    <w:rsid w:val="00346602"/>
    <w:rsid w:val="00346B97"/>
    <w:rsid w:val="003475D2"/>
    <w:rsid w:val="00350738"/>
    <w:rsid w:val="00351347"/>
    <w:rsid w:val="003514A8"/>
    <w:rsid w:val="003516F4"/>
    <w:rsid w:val="00351B18"/>
    <w:rsid w:val="00351F45"/>
    <w:rsid w:val="0035225A"/>
    <w:rsid w:val="0035298D"/>
    <w:rsid w:val="003531F4"/>
    <w:rsid w:val="0035444D"/>
    <w:rsid w:val="003549F7"/>
    <w:rsid w:val="00354BAB"/>
    <w:rsid w:val="00354BC5"/>
    <w:rsid w:val="00355013"/>
    <w:rsid w:val="003558A6"/>
    <w:rsid w:val="00355C55"/>
    <w:rsid w:val="00356935"/>
    <w:rsid w:val="00357655"/>
    <w:rsid w:val="00357A2D"/>
    <w:rsid w:val="00357AEB"/>
    <w:rsid w:val="00360323"/>
    <w:rsid w:val="0036048E"/>
    <w:rsid w:val="003608CC"/>
    <w:rsid w:val="00360EE4"/>
    <w:rsid w:val="00361128"/>
    <w:rsid w:val="003617E7"/>
    <w:rsid w:val="003623F4"/>
    <w:rsid w:val="00362F27"/>
    <w:rsid w:val="003630B3"/>
    <w:rsid w:val="00363342"/>
    <w:rsid w:val="003633BF"/>
    <w:rsid w:val="00363A2C"/>
    <w:rsid w:val="00363EF7"/>
    <w:rsid w:val="003645F3"/>
    <w:rsid w:val="00364A74"/>
    <w:rsid w:val="00364AFB"/>
    <w:rsid w:val="00364F29"/>
    <w:rsid w:val="00364FAB"/>
    <w:rsid w:val="0036542B"/>
    <w:rsid w:val="00366B7D"/>
    <w:rsid w:val="00366CE3"/>
    <w:rsid w:val="00366E59"/>
    <w:rsid w:val="00367758"/>
    <w:rsid w:val="003679D9"/>
    <w:rsid w:val="003701C5"/>
    <w:rsid w:val="00370967"/>
    <w:rsid w:val="00370CC2"/>
    <w:rsid w:val="00370DC5"/>
    <w:rsid w:val="003719BA"/>
    <w:rsid w:val="00371A80"/>
    <w:rsid w:val="00371CC5"/>
    <w:rsid w:val="0037237D"/>
    <w:rsid w:val="003726EE"/>
    <w:rsid w:val="00372B56"/>
    <w:rsid w:val="00372B6F"/>
    <w:rsid w:val="00372BCC"/>
    <w:rsid w:val="00372D57"/>
    <w:rsid w:val="00373067"/>
    <w:rsid w:val="003734A2"/>
    <w:rsid w:val="00373930"/>
    <w:rsid w:val="00373938"/>
    <w:rsid w:val="00373C6F"/>
    <w:rsid w:val="00373CD3"/>
    <w:rsid w:val="003742B7"/>
    <w:rsid w:val="003742F4"/>
    <w:rsid w:val="0037439D"/>
    <w:rsid w:val="00374C6E"/>
    <w:rsid w:val="003751C6"/>
    <w:rsid w:val="00375A1B"/>
    <w:rsid w:val="00375DD1"/>
    <w:rsid w:val="00375F97"/>
    <w:rsid w:val="003760DC"/>
    <w:rsid w:val="003761D9"/>
    <w:rsid w:val="00376922"/>
    <w:rsid w:val="00377098"/>
    <w:rsid w:val="003770FA"/>
    <w:rsid w:val="00377424"/>
    <w:rsid w:val="0037742E"/>
    <w:rsid w:val="00377B61"/>
    <w:rsid w:val="00377E10"/>
    <w:rsid w:val="00377E6D"/>
    <w:rsid w:val="00377EEB"/>
    <w:rsid w:val="00380A31"/>
    <w:rsid w:val="00380EF8"/>
    <w:rsid w:val="0038101D"/>
    <w:rsid w:val="00381246"/>
    <w:rsid w:val="003814A3"/>
    <w:rsid w:val="003814F9"/>
    <w:rsid w:val="003815EB"/>
    <w:rsid w:val="0038164A"/>
    <w:rsid w:val="003816EC"/>
    <w:rsid w:val="003822AD"/>
    <w:rsid w:val="00382427"/>
    <w:rsid w:val="003826B5"/>
    <w:rsid w:val="003826BA"/>
    <w:rsid w:val="00382AA4"/>
    <w:rsid w:val="00382C6F"/>
    <w:rsid w:val="00382F93"/>
    <w:rsid w:val="003832CE"/>
    <w:rsid w:val="00383559"/>
    <w:rsid w:val="00383774"/>
    <w:rsid w:val="00383A8E"/>
    <w:rsid w:val="00383B0A"/>
    <w:rsid w:val="00383D25"/>
    <w:rsid w:val="003849D9"/>
    <w:rsid w:val="00385781"/>
    <w:rsid w:val="00385C53"/>
    <w:rsid w:val="0038668A"/>
    <w:rsid w:val="0038669D"/>
    <w:rsid w:val="00386A79"/>
    <w:rsid w:val="00386D95"/>
    <w:rsid w:val="00386EB5"/>
    <w:rsid w:val="00386F76"/>
    <w:rsid w:val="00387821"/>
    <w:rsid w:val="0038792B"/>
    <w:rsid w:val="00387EFC"/>
    <w:rsid w:val="00390216"/>
    <w:rsid w:val="003902AA"/>
    <w:rsid w:val="00390942"/>
    <w:rsid w:val="00392377"/>
    <w:rsid w:val="003924BA"/>
    <w:rsid w:val="00392555"/>
    <w:rsid w:val="0039286F"/>
    <w:rsid w:val="00392CC7"/>
    <w:rsid w:val="00392E16"/>
    <w:rsid w:val="00392ED5"/>
    <w:rsid w:val="003945DC"/>
    <w:rsid w:val="00394685"/>
    <w:rsid w:val="00395130"/>
    <w:rsid w:val="0039536B"/>
    <w:rsid w:val="003958AD"/>
    <w:rsid w:val="00396867"/>
    <w:rsid w:val="0039695A"/>
    <w:rsid w:val="00396EC4"/>
    <w:rsid w:val="00397053"/>
    <w:rsid w:val="0039716C"/>
    <w:rsid w:val="00397430"/>
    <w:rsid w:val="003975B4"/>
    <w:rsid w:val="003A0083"/>
    <w:rsid w:val="003A02E7"/>
    <w:rsid w:val="003A0C4C"/>
    <w:rsid w:val="003A0DA6"/>
    <w:rsid w:val="003A1291"/>
    <w:rsid w:val="003A169B"/>
    <w:rsid w:val="003A1913"/>
    <w:rsid w:val="003A1AA2"/>
    <w:rsid w:val="003A20C2"/>
    <w:rsid w:val="003A2748"/>
    <w:rsid w:val="003A27C8"/>
    <w:rsid w:val="003A28A9"/>
    <w:rsid w:val="003A2F38"/>
    <w:rsid w:val="003A3051"/>
    <w:rsid w:val="003A3066"/>
    <w:rsid w:val="003A3ACC"/>
    <w:rsid w:val="003A400A"/>
    <w:rsid w:val="003A44EE"/>
    <w:rsid w:val="003A46F4"/>
    <w:rsid w:val="003A487F"/>
    <w:rsid w:val="003A512D"/>
    <w:rsid w:val="003A5448"/>
    <w:rsid w:val="003A5D1C"/>
    <w:rsid w:val="003A5E0B"/>
    <w:rsid w:val="003A622A"/>
    <w:rsid w:val="003A66C0"/>
    <w:rsid w:val="003A68BD"/>
    <w:rsid w:val="003A6C0F"/>
    <w:rsid w:val="003A7735"/>
    <w:rsid w:val="003A7885"/>
    <w:rsid w:val="003A7F70"/>
    <w:rsid w:val="003B0107"/>
    <w:rsid w:val="003B0487"/>
    <w:rsid w:val="003B0738"/>
    <w:rsid w:val="003B1415"/>
    <w:rsid w:val="003B1A31"/>
    <w:rsid w:val="003B1B37"/>
    <w:rsid w:val="003B1D78"/>
    <w:rsid w:val="003B1D7F"/>
    <w:rsid w:val="003B27B2"/>
    <w:rsid w:val="003B3A8D"/>
    <w:rsid w:val="003B3BBB"/>
    <w:rsid w:val="003B3CEB"/>
    <w:rsid w:val="003B46B7"/>
    <w:rsid w:val="003B4A18"/>
    <w:rsid w:val="003B5870"/>
    <w:rsid w:val="003B5A1C"/>
    <w:rsid w:val="003B5D41"/>
    <w:rsid w:val="003B5F98"/>
    <w:rsid w:val="003B64E0"/>
    <w:rsid w:val="003B71DE"/>
    <w:rsid w:val="003B781D"/>
    <w:rsid w:val="003C0504"/>
    <w:rsid w:val="003C0D81"/>
    <w:rsid w:val="003C138B"/>
    <w:rsid w:val="003C14FE"/>
    <w:rsid w:val="003C19FF"/>
    <w:rsid w:val="003C21CE"/>
    <w:rsid w:val="003C2599"/>
    <w:rsid w:val="003C2CF6"/>
    <w:rsid w:val="003C327A"/>
    <w:rsid w:val="003C39DA"/>
    <w:rsid w:val="003C4379"/>
    <w:rsid w:val="003C558A"/>
    <w:rsid w:val="003C567C"/>
    <w:rsid w:val="003C5BB3"/>
    <w:rsid w:val="003C5DD5"/>
    <w:rsid w:val="003C60C0"/>
    <w:rsid w:val="003C6132"/>
    <w:rsid w:val="003C66FB"/>
    <w:rsid w:val="003C6BC1"/>
    <w:rsid w:val="003C6D96"/>
    <w:rsid w:val="003C7470"/>
    <w:rsid w:val="003C75A6"/>
    <w:rsid w:val="003C79F4"/>
    <w:rsid w:val="003C7AB3"/>
    <w:rsid w:val="003C7C2F"/>
    <w:rsid w:val="003C7E23"/>
    <w:rsid w:val="003D02A0"/>
    <w:rsid w:val="003D0328"/>
    <w:rsid w:val="003D05BE"/>
    <w:rsid w:val="003D10BE"/>
    <w:rsid w:val="003D12AF"/>
    <w:rsid w:val="003D13C6"/>
    <w:rsid w:val="003D1AB1"/>
    <w:rsid w:val="003D1E3C"/>
    <w:rsid w:val="003D247A"/>
    <w:rsid w:val="003D2D72"/>
    <w:rsid w:val="003D2DB5"/>
    <w:rsid w:val="003D32A8"/>
    <w:rsid w:val="003D3508"/>
    <w:rsid w:val="003D362B"/>
    <w:rsid w:val="003D39BC"/>
    <w:rsid w:val="003D3B4F"/>
    <w:rsid w:val="003D3E58"/>
    <w:rsid w:val="003D4016"/>
    <w:rsid w:val="003D4AFA"/>
    <w:rsid w:val="003D540B"/>
    <w:rsid w:val="003D5BBA"/>
    <w:rsid w:val="003D5E8B"/>
    <w:rsid w:val="003D5E9E"/>
    <w:rsid w:val="003D6417"/>
    <w:rsid w:val="003D6FDE"/>
    <w:rsid w:val="003D728E"/>
    <w:rsid w:val="003D7881"/>
    <w:rsid w:val="003D7960"/>
    <w:rsid w:val="003E071F"/>
    <w:rsid w:val="003E0811"/>
    <w:rsid w:val="003E0BB8"/>
    <w:rsid w:val="003E1627"/>
    <w:rsid w:val="003E17CF"/>
    <w:rsid w:val="003E17DE"/>
    <w:rsid w:val="003E231A"/>
    <w:rsid w:val="003E237D"/>
    <w:rsid w:val="003E2748"/>
    <w:rsid w:val="003E3223"/>
    <w:rsid w:val="003E37A1"/>
    <w:rsid w:val="003E3EB5"/>
    <w:rsid w:val="003E51BB"/>
    <w:rsid w:val="003E568B"/>
    <w:rsid w:val="003E58B5"/>
    <w:rsid w:val="003E6039"/>
    <w:rsid w:val="003E6203"/>
    <w:rsid w:val="003E64C6"/>
    <w:rsid w:val="003E69C2"/>
    <w:rsid w:val="003E70F9"/>
    <w:rsid w:val="003E727C"/>
    <w:rsid w:val="003E729E"/>
    <w:rsid w:val="003E781C"/>
    <w:rsid w:val="003E7CFB"/>
    <w:rsid w:val="003E7F2F"/>
    <w:rsid w:val="003F0009"/>
    <w:rsid w:val="003F0A99"/>
    <w:rsid w:val="003F1239"/>
    <w:rsid w:val="003F138B"/>
    <w:rsid w:val="003F1B96"/>
    <w:rsid w:val="003F26CC"/>
    <w:rsid w:val="003F378C"/>
    <w:rsid w:val="003F4188"/>
    <w:rsid w:val="003F47FC"/>
    <w:rsid w:val="003F51D9"/>
    <w:rsid w:val="003F5A7E"/>
    <w:rsid w:val="003F5DD2"/>
    <w:rsid w:val="003F6BE8"/>
    <w:rsid w:val="003F701C"/>
    <w:rsid w:val="003F7134"/>
    <w:rsid w:val="003F74A1"/>
    <w:rsid w:val="003F7F3A"/>
    <w:rsid w:val="0040085C"/>
    <w:rsid w:val="00400918"/>
    <w:rsid w:val="00400CEE"/>
    <w:rsid w:val="00400EA0"/>
    <w:rsid w:val="00400EE5"/>
    <w:rsid w:val="004010E9"/>
    <w:rsid w:val="0040117C"/>
    <w:rsid w:val="00401253"/>
    <w:rsid w:val="004019A5"/>
    <w:rsid w:val="00401FD4"/>
    <w:rsid w:val="0040205B"/>
    <w:rsid w:val="004021D7"/>
    <w:rsid w:val="00402851"/>
    <w:rsid w:val="00402DD3"/>
    <w:rsid w:val="00402E78"/>
    <w:rsid w:val="00402ECF"/>
    <w:rsid w:val="004034DC"/>
    <w:rsid w:val="00403682"/>
    <w:rsid w:val="004039CB"/>
    <w:rsid w:val="00403D53"/>
    <w:rsid w:val="0040463B"/>
    <w:rsid w:val="0040479D"/>
    <w:rsid w:val="00404FAA"/>
    <w:rsid w:val="0040510D"/>
    <w:rsid w:val="00405111"/>
    <w:rsid w:val="004058CD"/>
    <w:rsid w:val="0040624E"/>
    <w:rsid w:val="004064CC"/>
    <w:rsid w:val="004066F3"/>
    <w:rsid w:val="00406DBC"/>
    <w:rsid w:val="004073C5"/>
    <w:rsid w:val="004104C1"/>
    <w:rsid w:val="004112EA"/>
    <w:rsid w:val="004117D1"/>
    <w:rsid w:val="004119EE"/>
    <w:rsid w:val="00411AC1"/>
    <w:rsid w:val="00411BEA"/>
    <w:rsid w:val="0041225D"/>
    <w:rsid w:val="0041283C"/>
    <w:rsid w:val="004129FA"/>
    <w:rsid w:val="00413770"/>
    <w:rsid w:val="004148E7"/>
    <w:rsid w:val="00414F62"/>
    <w:rsid w:val="004152D8"/>
    <w:rsid w:val="004153AB"/>
    <w:rsid w:val="00415FFB"/>
    <w:rsid w:val="004160B2"/>
    <w:rsid w:val="00416A2F"/>
    <w:rsid w:val="00416A4E"/>
    <w:rsid w:val="00416CC0"/>
    <w:rsid w:val="00417298"/>
    <w:rsid w:val="00417BAC"/>
    <w:rsid w:val="0042018C"/>
    <w:rsid w:val="004201A9"/>
    <w:rsid w:val="00421BEC"/>
    <w:rsid w:val="004224DD"/>
    <w:rsid w:val="00422756"/>
    <w:rsid w:val="004235FC"/>
    <w:rsid w:val="004236FE"/>
    <w:rsid w:val="004237ED"/>
    <w:rsid w:val="00423BAD"/>
    <w:rsid w:val="004244DE"/>
    <w:rsid w:val="00424BE3"/>
    <w:rsid w:val="00424FB4"/>
    <w:rsid w:val="00425161"/>
    <w:rsid w:val="0042648E"/>
    <w:rsid w:val="00426BD5"/>
    <w:rsid w:val="00426EA7"/>
    <w:rsid w:val="004274F0"/>
    <w:rsid w:val="00427B07"/>
    <w:rsid w:val="00430947"/>
    <w:rsid w:val="00430D5E"/>
    <w:rsid w:val="00430F6E"/>
    <w:rsid w:val="00430FCE"/>
    <w:rsid w:val="004312D1"/>
    <w:rsid w:val="00431B57"/>
    <w:rsid w:val="00431CF2"/>
    <w:rsid w:val="00431F4A"/>
    <w:rsid w:val="004321B3"/>
    <w:rsid w:val="0043235F"/>
    <w:rsid w:val="0043259F"/>
    <w:rsid w:val="004330C0"/>
    <w:rsid w:val="004333D3"/>
    <w:rsid w:val="00433EF0"/>
    <w:rsid w:val="004345B5"/>
    <w:rsid w:val="00434B91"/>
    <w:rsid w:val="00434D30"/>
    <w:rsid w:val="00434E2A"/>
    <w:rsid w:val="00434F75"/>
    <w:rsid w:val="00434F8C"/>
    <w:rsid w:val="00434FEB"/>
    <w:rsid w:val="004354A3"/>
    <w:rsid w:val="00435B34"/>
    <w:rsid w:val="004365C4"/>
    <w:rsid w:val="00436995"/>
    <w:rsid w:val="00437019"/>
    <w:rsid w:val="00437323"/>
    <w:rsid w:val="004378B0"/>
    <w:rsid w:val="004379EB"/>
    <w:rsid w:val="00437AA4"/>
    <w:rsid w:val="00437D39"/>
    <w:rsid w:val="00440876"/>
    <w:rsid w:val="0044098C"/>
    <w:rsid w:val="00440BE7"/>
    <w:rsid w:val="00440F44"/>
    <w:rsid w:val="00441153"/>
    <w:rsid w:val="004413A0"/>
    <w:rsid w:val="004416B7"/>
    <w:rsid w:val="00441BEE"/>
    <w:rsid w:val="00441D39"/>
    <w:rsid w:val="004420BE"/>
    <w:rsid w:val="0044269C"/>
    <w:rsid w:val="004431CE"/>
    <w:rsid w:val="00443714"/>
    <w:rsid w:val="00443917"/>
    <w:rsid w:val="00443EC7"/>
    <w:rsid w:val="00444543"/>
    <w:rsid w:val="004452B0"/>
    <w:rsid w:val="00446187"/>
    <w:rsid w:val="00446EDD"/>
    <w:rsid w:val="004476CC"/>
    <w:rsid w:val="0044771E"/>
    <w:rsid w:val="00447EB4"/>
    <w:rsid w:val="0045067C"/>
    <w:rsid w:val="00450708"/>
    <w:rsid w:val="0045084E"/>
    <w:rsid w:val="00450878"/>
    <w:rsid w:val="00450E75"/>
    <w:rsid w:val="0045185E"/>
    <w:rsid w:val="004518FA"/>
    <w:rsid w:val="00451D52"/>
    <w:rsid w:val="00451DD5"/>
    <w:rsid w:val="004522EE"/>
    <w:rsid w:val="0045261D"/>
    <w:rsid w:val="004526C6"/>
    <w:rsid w:val="004527F3"/>
    <w:rsid w:val="0045336A"/>
    <w:rsid w:val="004535CE"/>
    <w:rsid w:val="0045362B"/>
    <w:rsid w:val="004536B5"/>
    <w:rsid w:val="00453D5F"/>
    <w:rsid w:val="00453D84"/>
    <w:rsid w:val="0045410A"/>
    <w:rsid w:val="00454147"/>
    <w:rsid w:val="00454831"/>
    <w:rsid w:val="00454962"/>
    <w:rsid w:val="00455174"/>
    <w:rsid w:val="00455FA1"/>
    <w:rsid w:val="0045622E"/>
    <w:rsid w:val="00456853"/>
    <w:rsid w:val="00456B44"/>
    <w:rsid w:val="00456C39"/>
    <w:rsid w:val="00457037"/>
    <w:rsid w:val="00457A9B"/>
    <w:rsid w:val="00460D55"/>
    <w:rsid w:val="0046110F"/>
    <w:rsid w:val="00461BE0"/>
    <w:rsid w:val="00462524"/>
    <w:rsid w:val="004625B7"/>
    <w:rsid w:val="00462A6A"/>
    <w:rsid w:val="00462F96"/>
    <w:rsid w:val="00463B0E"/>
    <w:rsid w:val="00464039"/>
    <w:rsid w:val="00464056"/>
    <w:rsid w:val="0046432A"/>
    <w:rsid w:val="004643E8"/>
    <w:rsid w:val="0046441E"/>
    <w:rsid w:val="00464712"/>
    <w:rsid w:val="00464C57"/>
    <w:rsid w:val="00465F41"/>
    <w:rsid w:val="00465F45"/>
    <w:rsid w:val="00466354"/>
    <w:rsid w:val="0046669D"/>
    <w:rsid w:val="00466AA6"/>
    <w:rsid w:val="00466FFB"/>
    <w:rsid w:val="0046717C"/>
    <w:rsid w:val="0046756E"/>
    <w:rsid w:val="00467901"/>
    <w:rsid w:val="00467A57"/>
    <w:rsid w:val="00467B5D"/>
    <w:rsid w:val="00467E73"/>
    <w:rsid w:val="004706D1"/>
    <w:rsid w:val="00470892"/>
    <w:rsid w:val="00470930"/>
    <w:rsid w:val="00471278"/>
    <w:rsid w:val="00471308"/>
    <w:rsid w:val="00471DD7"/>
    <w:rsid w:val="0047214F"/>
    <w:rsid w:val="004724BA"/>
    <w:rsid w:val="00472887"/>
    <w:rsid w:val="00472D7B"/>
    <w:rsid w:val="00472F07"/>
    <w:rsid w:val="00473344"/>
    <w:rsid w:val="00473F48"/>
    <w:rsid w:val="00473F5C"/>
    <w:rsid w:val="00473F60"/>
    <w:rsid w:val="0047442A"/>
    <w:rsid w:val="00474433"/>
    <w:rsid w:val="004746EF"/>
    <w:rsid w:val="0047474D"/>
    <w:rsid w:val="004747E4"/>
    <w:rsid w:val="00475002"/>
    <w:rsid w:val="00476113"/>
    <w:rsid w:val="004762B8"/>
    <w:rsid w:val="00476429"/>
    <w:rsid w:val="00476593"/>
    <w:rsid w:val="00476C31"/>
    <w:rsid w:val="00476F84"/>
    <w:rsid w:val="004774C9"/>
    <w:rsid w:val="00477F41"/>
    <w:rsid w:val="0048029E"/>
    <w:rsid w:val="0048063D"/>
    <w:rsid w:val="004807C3"/>
    <w:rsid w:val="00480EF1"/>
    <w:rsid w:val="0048115D"/>
    <w:rsid w:val="00481379"/>
    <w:rsid w:val="00481B1D"/>
    <w:rsid w:val="00481C73"/>
    <w:rsid w:val="00481FAC"/>
    <w:rsid w:val="0048226F"/>
    <w:rsid w:val="00482486"/>
    <w:rsid w:val="00482766"/>
    <w:rsid w:val="00482885"/>
    <w:rsid w:val="00483091"/>
    <w:rsid w:val="0048312F"/>
    <w:rsid w:val="00483A8A"/>
    <w:rsid w:val="00483B62"/>
    <w:rsid w:val="00483BAF"/>
    <w:rsid w:val="0048406C"/>
    <w:rsid w:val="004842FF"/>
    <w:rsid w:val="00484D88"/>
    <w:rsid w:val="00485BB1"/>
    <w:rsid w:val="0048620A"/>
    <w:rsid w:val="0048633A"/>
    <w:rsid w:val="00487DFA"/>
    <w:rsid w:val="004904B6"/>
    <w:rsid w:val="004909A5"/>
    <w:rsid w:val="00490AE8"/>
    <w:rsid w:val="00490D41"/>
    <w:rsid w:val="00490F69"/>
    <w:rsid w:val="00491196"/>
    <w:rsid w:val="004913F5"/>
    <w:rsid w:val="004914FD"/>
    <w:rsid w:val="00491E44"/>
    <w:rsid w:val="00491F22"/>
    <w:rsid w:val="00492270"/>
    <w:rsid w:val="00492ECA"/>
    <w:rsid w:val="004935DF"/>
    <w:rsid w:val="00493712"/>
    <w:rsid w:val="00493D26"/>
    <w:rsid w:val="00495941"/>
    <w:rsid w:val="004965E8"/>
    <w:rsid w:val="00496968"/>
    <w:rsid w:val="00496E2E"/>
    <w:rsid w:val="00496FE8"/>
    <w:rsid w:val="00497476"/>
    <w:rsid w:val="00497A52"/>
    <w:rsid w:val="00497B92"/>
    <w:rsid w:val="004A0DBF"/>
    <w:rsid w:val="004A1496"/>
    <w:rsid w:val="004A1652"/>
    <w:rsid w:val="004A173D"/>
    <w:rsid w:val="004A17CC"/>
    <w:rsid w:val="004A19D5"/>
    <w:rsid w:val="004A259E"/>
    <w:rsid w:val="004A2874"/>
    <w:rsid w:val="004A2AC7"/>
    <w:rsid w:val="004A2BC6"/>
    <w:rsid w:val="004A2FC9"/>
    <w:rsid w:val="004A3393"/>
    <w:rsid w:val="004A3FD2"/>
    <w:rsid w:val="004A400F"/>
    <w:rsid w:val="004A4680"/>
    <w:rsid w:val="004A4C45"/>
    <w:rsid w:val="004A4CB4"/>
    <w:rsid w:val="004A56B5"/>
    <w:rsid w:val="004A5975"/>
    <w:rsid w:val="004A65DA"/>
    <w:rsid w:val="004A69EA"/>
    <w:rsid w:val="004A6D8B"/>
    <w:rsid w:val="004A70B7"/>
    <w:rsid w:val="004A72D0"/>
    <w:rsid w:val="004A7F2F"/>
    <w:rsid w:val="004B00BC"/>
    <w:rsid w:val="004B0563"/>
    <w:rsid w:val="004B05B8"/>
    <w:rsid w:val="004B0710"/>
    <w:rsid w:val="004B0A8B"/>
    <w:rsid w:val="004B0B41"/>
    <w:rsid w:val="004B12D1"/>
    <w:rsid w:val="004B1847"/>
    <w:rsid w:val="004B2178"/>
    <w:rsid w:val="004B34D5"/>
    <w:rsid w:val="004B3C5D"/>
    <w:rsid w:val="004B3DC1"/>
    <w:rsid w:val="004B45DF"/>
    <w:rsid w:val="004B4AA9"/>
    <w:rsid w:val="004B4AC0"/>
    <w:rsid w:val="004B4D05"/>
    <w:rsid w:val="004B4E1A"/>
    <w:rsid w:val="004B4F87"/>
    <w:rsid w:val="004B5622"/>
    <w:rsid w:val="004B5AD7"/>
    <w:rsid w:val="004B60AC"/>
    <w:rsid w:val="004B6667"/>
    <w:rsid w:val="004B71CA"/>
    <w:rsid w:val="004B737C"/>
    <w:rsid w:val="004B743F"/>
    <w:rsid w:val="004B7637"/>
    <w:rsid w:val="004B7B4A"/>
    <w:rsid w:val="004B7B98"/>
    <w:rsid w:val="004B7D8F"/>
    <w:rsid w:val="004C0B1C"/>
    <w:rsid w:val="004C0E5D"/>
    <w:rsid w:val="004C14C5"/>
    <w:rsid w:val="004C1767"/>
    <w:rsid w:val="004C1D67"/>
    <w:rsid w:val="004C2472"/>
    <w:rsid w:val="004C27FB"/>
    <w:rsid w:val="004C2F7B"/>
    <w:rsid w:val="004C3BBD"/>
    <w:rsid w:val="004C3CA6"/>
    <w:rsid w:val="004C4050"/>
    <w:rsid w:val="004C4293"/>
    <w:rsid w:val="004C44CE"/>
    <w:rsid w:val="004C45EA"/>
    <w:rsid w:val="004C4992"/>
    <w:rsid w:val="004C583C"/>
    <w:rsid w:val="004C5B78"/>
    <w:rsid w:val="004C5F0C"/>
    <w:rsid w:val="004C6540"/>
    <w:rsid w:val="004C657A"/>
    <w:rsid w:val="004C72B3"/>
    <w:rsid w:val="004C78BE"/>
    <w:rsid w:val="004C7F95"/>
    <w:rsid w:val="004D06CC"/>
    <w:rsid w:val="004D0A2B"/>
    <w:rsid w:val="004D0EDF"/>
    <w:rsid w:val="004D1BE7"/>
    <w:rsid w:val="004D25DE"/>
    <w:rsid w:val="004D29E1"/>
    <w:rsid w:val="004D2BAF"/>
    <w:rsid w:val="004D346C"/>
    <w:rsid w:val="004D3518"/>
    <w:rsid w:val="004D35F7"/>
    <w:rsid w:val="004D37C3"/>
    <w:rsid w:val="004D3D89"/>
    <w:rsid w:val="004D3E30"/>
    <w:rsid w:val="004D40B8"/>
    <w:rsid w:val="004D44B5"/>
    <w:rsid w:val="004D4644"/>
    <w:rsid w:val="004D4794"/>
    <w:rsid w:val="004D4A4B"/>
    <w:rsid w:val="004D4DD8"/>
    <w:rsid w:val="004D7031"/>
    <w:rsid w:val="004D763D"/>
    <w:rsid w:val="004D787E"/>
    <w:rsid w:val="004D7DA6"/>
    <w:rsid w:val="004E06F2"/>
    <w:rsid w:val="004E0D3C"/>
    <w:rsid w:val="004E0D93"/>
    <w:rsid w:val="004E0E48"/>
    <w:rsid w:val="004E1242"/>
    <w:rsid w:val="004E1399"/>
    <w:rsid w:val="004E1431"/>
    <w:rsid w:val="004E1F2E"/>
    <w:rsid w:val="004E200C"/>
    <w:rsid w:val="004E228B"/>
    <w:rsid w:val="004E306A"/>
    <w:rsid w:val="004E3BDA"/>
    <w:rsid w:val="004E3C77"/>
    <w:rsid w:val="004E4176"/>
    <w:rsid w:val="004E4376"/>
    <w:rsid w:val="004E491E"/>
    <w:rsid w:val="004E4B44"/>
    <w:rsid w:val="004E4CA5"/>
    <w:rsid w:val="004E572D"/>
    <w:rsid w:val="004E5A24"/>
    <w:rsid w:val="004E5CF9"/>
    <w:rsid w:val="004E5E19"/>
    <w:rsid w:val="004E5F40"/>
    <w:rsid w:val="004E60C7"/>
    <w:rsid w:val="004E6413"/>
    <w:rsid w:val="004E660C"/>
    <w:rsid w:val="004E6B37"/>
    <w:rsid w:val="004E73BD"/>
    <w:rsid w:val="004F0B2F"/>
    <w:rsid w:val="004F101F"/>
    <w:rsid w:val="004F1677"/>
    <w:rsid w:val="004F1AEF"/>
    <w:rsid w:val="004F251B"/>
    <w:rsid w:val="004F4E7B"/>
    <w:rsid w:val="004F5096"/>
    <w:rsid w:val="004F5FF3"/>
    <w:rsid w:val="004F6175"/>
    <w:rsid w:val="004F6E78"/>
    <w:rsid w:val="004F71DB"/>
    <w:rsid w:val="004F72D1"/>
    <w:rsid w:val="004F7739"/>
    <w:rsid w:val="004F77D8"/>
    <w:rsid w:val="004F7CE0"/>
    <w:rsid w:val="004F7DE0"/>
    <w:rsid w:val="005002DE"/>
    <w:rsid w:val="00500354"/>
    <w:rsid w:val="005004B3"/>
    <w:rsid w:val="005007B3"/>
    <w:rsid w:val="00500C8D"/>
    <w:rsid w:val="00500EC9"/>
    <w:rsid w:val="005014F3"/>
    <w:rsid w:val="00501525"/>
    <w:rsid w:val="00501916"/>
    <w:rsid w:val="005023B6"/>
    <w:rsid w:val="0050273E"/>
    <w:rsid w:val="00502C95"/>
    <w:rsid w:val="00502DB7"/>
    <w:rsid w:val="00502E87"/>
    <w:rsid w:val="00503703"/>
    <w:rsid w:val="005041BC"/>
    <w:rsid w:val="00504484"/>
    <w:rsid w:val="00504B4B"/>
    <w:rsid w:val="00504BFB"/>
    <w:rsid w:val="00504ED5"/>
    <w:rsid w:val="00504EE7"/>
    <w:rsid w:val="00505468"/>
    <w:rsid w:val="0050560C"/>
    <w:rsid w:val="0050589E"/>
    <w:rsid w:val="00505D0A"/>
    <w:rsid w:val="0050680A"/>
    <w:rsid w:val="00506AA5"/>
    <w:rsid w:val="00507176"/>
    <w:rsid w:val="005073FE"/>
    <w:rsid w:val="005074CE"/>
    <w:rsid w:val="00507E01"/>
    <w:rsid w:val="00511107"/>
    <w:rsid w:val="005111B3"/>
    <w:rsid w:val="00511869"/>
    <w:rsid w:val="00511BC7"/>
    <w:rsid w:val="00511E2E"/>
    <w:rsid w:val="005131C6"/>
    <w:rsid w:val="0051377F"/>
    <w:rsid w:val="0051393C"/>
    <w:rsid w:val="00513A07"/>
    <w:rsid w:val="00514078"/>
    <w:rsid w:val="005142E1"/>
    <w:rsid w:val="00514364"/>
    <w:rsid w:val="005143F8"/>
    <w:rsid w:val="0051471E"/>
    <w:rsid w:val="00514741"/>
    <w:rsid w:val="00514B98"/>
    <w:rsid w:val="0051506E"/>
    <w:rsid w:val="00515C75"/>
    <w:rsid w:val="005167D8"/>
    <w:rsid w:val="005172FD"/>
    <w:rsid w:val="00517F35"/>
    <w:rsid w:val="005201B3"/>
    <w:rsid w:val="0052024F"/>
    <w:rsid w:val="0052032C"/>
    <w:rsid w:val="00520B4B"/>
    <w:rsid w:val="00521677"/>
    <w:rsid w:val="005216D1"/>
    <w:rsid w:val="005218AD"/>
    <w:rsid w:val="00521C19"/>
    <w:rsid w:val="00522037"/>
    <w:rsid w:val="00522260"/>
    <w:rsid w:val="00522FF9"/>
    <w:rsid w:val="005230EC"/>
    <w:rsid w:val="005234E7"/>
    <w:rsid w:val="00523A8E"/>
    <w:rsid w:val="00523ACE"/>
    <w:rsid w:val="005242C2"/>
    <w:rsid w:val="00524652"/>
    <w:rsid w:val="0052478D"/>
    <w:rsid w:val="00524C4F"/>
    <w:rsid w:val="00524E6A"/>
    <w:rsid w:val="00525036"/>
    <w:rsid w:val="0052573B"/>
    <w:rsid w:val="00525849"/>
    <w:rsid w:val="00525AAC"/>
    <w:rsid w:val="00525BF1"/>
    <w:rsid w:val="00525DB4"/>
    <w:rsid w:val="00525EE2"/>
    <w:rsid w:val="00526462"/>
    <w:rsid w:val="00526669"/>
    <w:rsid w:val="00526E62"/>
    <w:rsid w:val="00527230"/>
    <w:rsid w:val="00527345"/>
    <w:rsid w:val="0052746C"/>
    <w:rsid w:val="00527EBE"/>
    <w:rsid w:val="00530781"/>
    <w:rsid w:val="005309FD"/>
    <w:rsid w:val="00531152"/>
    <w:rsid w:val="00531714"/>
    <w:rsid w:val="0053204D"/>
    <w:rsid w:val="00532977"/>
    <w:rsid w:val="005337CC"/>
    <w:rsid w:val="005337E0"/>
    <w:rsid w:val="00533E06"/>
    <w:rsid w:val="00534832"/>
    <w:rsid w:val="00534DA8"/>
    <w:rsid w:val="00535B75"/>
    <w:rsid w:val="0053612A"/>
    <w:rsid w:val="005361CF"/>
    <w:rsid w:val="005363CD"/>
    <w:rsid w:val="005364C6"/>
    <w:rsid w:val="0053694E"/>
    <w:rsid w:val="00536BD0"/>
    <w:rsid w:val="0053731D"/>
    <w:rsid w:val="005375EF"/>
    <w:rsid w:val="00537A8C"/>
    <w:rsid w:val="00537D4F"/>
    <w:rsid w:val="00537D65"/>
    <w:rsid w:val="00537F24"/>
    <w:rsid w:val="0054032D"/>
    <w:rsid w:val="0054040E"/>
    <w:rsid w:val="00540F88"/>
    <w:rsid w:val="00541CBB"/>
    <w:rsid w:val="0054220B"/>
    <w:rsid w:val="005429A4"/>
    <w:rsid w:val="0054317B"/>
    <w:rsid w:val="005436D4"/>
    <w:rsid w:val="0054386E"/>
    <w:rsid w:val="00543DCA"/>
    <w:rsid w:val="00544050"/>
    <w:rsid w:val="005445F2"/>
    <w:rsid w:val="00544B91"/>
    <w:rsid w:val="0054533A"/>
    <w:rsid w:val="00546220"/>
    <w:rsid w:val="0054636B"/>
    <w:rsid w:val="005469EF"/>
    <w:rsid w:val="00546EF5"/>
    <w:rsid w:val="00546F87"/>
    <w:rsid w:val="00546FB7"/>
    <w:rsid w:val="00547118"/>
    <w:rsid w:val="0054764B"/>
    <w:rsid w:val="00550C46"/>
    <w:rsid w:val="00550D72"/>
    <w:rsid w:val="00550F81"/>
    <w:rsid w:val="005510B3"/>
    <w:rsid w:val="00551204"/>
    <w:rsid w:val="00551324"/>
    <w:rsid w:val="00551669"/>
    <w:rsid w:val="00551830"/>
    <w:rsid w:val="00551D38"/>
    <w:rsid w:val="00551F96"/>
    <w:rsid w:val="00552147"/>
    <w:rsid w:val="005523B4"/>
    <w:rsid w:val="005526B7"/>
    <w:rsid w:val="00552BE5"/>
    <w:rsid w:val="00552D5E"/>
    <w:rsid w:val="00552E30"/>
    <w:rsid w:val="00552E44"/>
    <w:rsid w:val="005532B3"/>
    <w:rsid w:val="00553534"/>
    <w:rsid w:val="0055378D"/>
    <w:rsid w:val="00553877"/>
    <w:rsid w:val="00553A4C"/>
    <w:rsid w:val="005540D9"/>
    <w:rsid w:val="005542CC"/>
    <w:rsid w:val="005546D8"/>
    <w:rsid w:val="00554847"/>
    <w:rsid w:val="005552C6"/>
    <w:rsid w:val="005565F4"/>
    <w:rsid w:val="005566CF"/>
    <w:rsid w:val="00557621"/>
    <w:rsid w:val="00557EBF"/>
    <w:rsid w:val="0056018E"/>
    <w:rsid w:val="00560529"/>
    <w:rsid w:val="0056135B"/>
    <w:rsid w:val="005618EB"/>
    <w:rsid w:val="00561BD5"/>
    <w:rsid w:val="00561F34"/>
    <w:rsid w:val="00562383"/>
    <w:rsid w:val="005625FF"/>
    <w:rsid w:val="0056294C"/>
    <w:rsid w:val="00562E4A"/>
    <w:rsid w:val="0056339A"/>
    <w:rsid w:val="005636A3"/>
    <w:rsid w:val="0056370A"/>
    <w:rsid w:val="00563C2C"/>
    <w:rsid w:val="00563FC9"/>
    <w:rsid w:val="005643BB"/>
    <w:rsid w:val="005649E2"/>
    <w:rsid w:val="0056560C"/>
    <w:rsid w:val="00565F56"/>
    <w:rsid w:val="005664F4"/>
    <w:rsid w:val="00566615"/>
    <w:rsid w:val="0056663A"/>
    <w:rsid w:val="005669E5"/>
    <w:rsid w:val="00566B7C"/>
    <w:rsid w:val="005672B9"/>
    <w:rsid w:val="00567842"/>
    <w:rsid w:val="0057005C"/>
    <w:rsid w:val="0057050C"/>
    <w:rsid w:val="00570B6F"/>
    <w:rsid w:val="005716FA"/>
    <w:rsid w:val="00571FF6"/>
    <w:rsid w:val="00572501"/>
    <w:rsid w:val="005729A1"/>
    <w:rsid w:val="00572BE3"/>
    <w:rsid w:val="00573445"/>
    <w:rsid w:val="005737F5"/>
    <w:rsid w:val="0057397B"/>
    <w:rsid w:val="00573982"/>
    <w:rsid w:val="00573C1D"/>
    <w:rsid w:val="00573E19"/>
    <w:rsid w:val="00574517"/>
    <w:rsid w:val="00574715"/>
    <w:rsid w:val="005748F8"/>
    <w:rsid w:val="005749C6"/>
    <w:rsid w:val="00574C3C"/>
    <w:rsid w:val="0057520C"/>
    <w:rsid w:val="0057570E"/>
    <w:rsid w:val="0057612B"/>
    <w:rsid w:val="00576E22"/>
    <w:rsid w:val="00577A22"/>
    <w:rsid w:val="00577B09"/>
    <w:rsid w:val="00580F80"/>
    <w:rsid w:val="005810D7"/>
    <w:rsid w:val="0058115E"/>
    <w:rsid w:val="005818A2"/>
    <w:rsid w:val="00581AA4"/>
    <w:rsid w:val="00581DE4"/>
    <w:rsid w:val="00581FBC"/>
    <w:rsid w:val="00581FDF"/>
    <w:rsid w:val="00582887"/>
    <w:rsid w:val="00583110"/>
    <w:rsid w:val="00584698"/>
    <w:rsid w:val="0058472C"/>
    <w:rsid w:val="0058473A"/>
    <w:rsid w:val="00584F1C"/>
    <w:rsid w:val="00585076"/>
    <w:rsid w:val="005850F2"/>
    <w:rsid w:val="00586111"/>
    <w:rsid w:val="00586124"/>
    <w:rsid w:val="005861A9"/>
    <w:rsid w:val="005864E3"/>
    <w:rsid w:val="005869EC"/>
    <w:rsid w:val="00586D3B"/>
    <w:rsid w:val="00587360"/>
    <w:rsid w:val="0058746F"/>
    <w:rsid w:val="00590379"/>
    <w:rsid w:val="0059084D"/>
    <w:rsid w:val="005909E9"/>
    <w:rsid w:val="00590C19"/>
    <w:rsid w:val="00590CBD"/>
    <w:rsid w:val="00591AE7"/>
    <w:rsid w:val="00591C15"/>
    <w:rsid w:val="00592E6C"/>
    <w:rsid w:val="00592F43"/>
    <w:rsid w:val="00592FDA"/>
    <w:rsid w:val="005931D3"/>
    <w:rsid w:val="0059376D"/>
    <w:rsid w:val="00593793"/>
    <w:rsid w:val="00593A38"/>
    <w:rsid w:val="00593B6C"/>
    <w:rsid w:val="00593DFE"/>
    <w:rsid w:val="00593F15"/>
    <w:rsid w:val="0059510F"/>
    <w:rsid w:val="00595832"/>
    <w:rsid w:val="00595B8D"/>
    <w:rsid w:val="00596429"/>
    <w:rsid w:val="005964BC"/>
    <w:rsid w:val="00596793"/>
    <w:rsid w:val="00596816"/>
    <w:rsid w:val="005969F2"/>
    <w:rsid w:val="00596D92"/>
    <w:rsid w:val="00597079"/>
    <w:rsid w:val="005976A1"/>
    <w:rsid w:val="00597C59"/>
    <w:rsid w:val="00597E2A"/>
    <w:rsid w:val="00597F83"/>
    <w:rsid w:val="005A075C"/>
    <w:rsid w:val="005A100C"/>
    <w:rsid w:val="005A1151"/>
    <w:rsid w:val="005A1BC8"/>
    <w:rsid w:val="005A1DD6"/>
    <w:rsid w:val="005A2128"/>
    <w:rsid w:val="005A22AD"/>
    <w:rsid w:val="005A2F05"/>
    <w:rsid w:val="005A3C44"/>
    <w:rsid w:val="005A3E14"/>
    <w:rsid w:val="005A4145"/>
    <w:rsid w:val="005A49FF"/>
    <w:rsid w:val="005A4B4D"/>
    <w:rsid w:val="005A4F60"/>
    <w:rsid w:val="005A553D"/>
    <w:rsid w:val="005A5A06"/>
    <w:rsid w:val="005A64DE"/>
    <w:rsid w:val="005A67A3"/>
    <w:rsid w:val="005A6FD6"/>
    <w:rsid w:val="005A72E4"/>
    <w:rsid w:val="005A752F"/>
    <w:rsid w:val="005A75BC"/>
    <w:rsid w:val="005B0245"/>
    <w:rsid w:val="005B0545"/>
    <w:rsid w:val="005B0A20"/>
    <w:rsid w:val="005B17BA"/>
    <w:rsid w:val="005B17C7"/>
    <w:rsid w:val="005B1910"/>
    <w:rsid w:val="005B2058"/>
    <w:rsid w:val="005B22C3"/>
    <w:rsid w:val="005B22CF"/>
    <w:rsid w:val="005B28A7"/>
    <w:rsid w:val="005B28B6"/>
    <w:rsid w:val="005B2B5A"/>
    <w:rsid w:val="005B2D13"/>
    <w:rsid w:val="005B2E7A"/>
    <w:rsid w:val="005B3486"/>
    <w:rsid w:val="005B3A71"/>
    <w:rsid w:val="005B3C10"/>
    <w:rsid w:val="005B4A30"/>
    <w:rsid w:val="005B5105"/>
    <w:rsid w:val="005B539A"/>
    <w:rsid w:val="005B5775"/>
    <w:rsid w:val="005B57E2"/>
    <w:rsid w:val="005B5B00"/>
    <w:rsid w:val="005B5DF5"/>
    <w:rsid w:val="005B614A"/>
    <w:rsid w:val="005B7887"/>
    <w:rsid w:val="005B7ADB"/>
    <w:rsid w:val="005B7DDB"/>
    <w:rsid w:val="005C0323"/>
    <w:rsid w:val="005C049C"/>
    <w:rsid w:val="005C081F"/>
    <w:rsid w:val="005C14B8"/>
    <w:rsid w:val="005C2093"/>
    <w:rsid w:val="005C263F"/>
    <w:rsid w:val="005C27EC"/>
    <w:rsid w:val="005C2A5E"/>
    <w:rsid w:val="005C2AE6"/>
    <w:rsid w:val="005C2CB4"/>
    <w:rsid w:val="005C2FD1"/>
    <w:rsid w:val="005C391E"/>
    <w:rsid w:val="005C3ABC"/>
    <w:rsid w:val="005C43D5"/>
    <w:rsid w:val="005C4499"/>
    <w:rsid w:val="005C4F7E"/>
    <w:rsid w:val="005C5AD1"/>
    <w:rsid w:val="005C5BA8"/>
    <w:rsid w:val="005C5BFE"/>
    <w:rsid w:val="005C659D"/>
    <w:rsid w:val="005C664B"/>
    <w:rsid w:val="005C67E5"/>
    <w:rsid w:val="005C68ED"/>
    <w:rsid w:val="005C6FD8"/>
    <w:rsid w:val="005C70B8"/>
    <w:rsid w:val="005C7178"/>
    <w:rsid w:val="005C7288"/>
    <w:rsid w:val="005C735D"/>
    <w:rsid w:val="005C743A"/>
    <w:rsid w:val="005C7660"/>
    <w:rsid w:val="005C7928"/>
    <w:rsid w:val="005D0525"/>
    <w:rsid w:val="005D0D7E"/>
    <w:rsid w:val="005D0FBD"/>
    <w:rsid w:val="005D118E"/>
    <w:rsid w:val="005D12F6"/>
    <w:rsid w:val="005D17BA"/>
    <w:rsid w:val="005D17C3"/>
    <w:rsid w:val="005D188C"/>
    <w:rsid w:val="005D19E8"/>
    <w:rsid w:val="005D23C9"/>
    <w:rsid w:val="005D2BFE"/>
    <w:rsid w:val="005D3404"/>
    <w:rsid w:val="005D40B9"/>
    <w:rsid w:val="005D4498"/>
    <w:rsid w:val="005D5490"/>
    <w:rsid w:val="005D55CB"/>
    <w:rsid w:val="005D5D85"/>
    <w:rsid w:val="005D5E4C"/>
    <w:rsid w:val="005D6483"/>
    <w:rsid w:val="005D6867"/>
    <w:rsid w:val="005D6E00"/>
    <w:rsid w:val="005D6E7B"/>
    <w:rsid w:val="005D704B"/>
    <w:rsid w:val="005D7424"/>
    <w:rsid w:val="005D7C8E"/>
    <w:rsid w:val="005D7F5B"/>
    <w:rsid w:val="005D7F7C"/>
    <w:rsid w:val="005E036D"/>
    <w:rsid w:val="005E06ED"/>
    <w:rsid w:val="005E070F"/>
    <w:rsid w:val="005E0D29"/>
    <w:rsid w:val="005E0EA1"/>
    <w:rsid w:val="005E0F67"/>
    <w:rsid w:val="005E1A51"/>
    <w:rsid w:val="005E1BE0"/>
    <w:rsid w:val="005E1DDB"/>
    <w:rsid w:val="005E1F55"/>
    <w:rsid w:val="005E23F4"/>
    <w:rsid w:val="005E366D"/>
    <w:rsid w:val="005E3780"/>
    <w:rsid w:val="005E3963"/>
    <w:rsid w:val="005E3BF8"/>
    <w:rsid w:val="005E4388"/>
    <w:rsid w:val="005E45A7"/>
    <w:rsid w:val="005E4629"/>
    <w:rsid w:val="005E49BB"/>
    <w:rsid w:val="005E5EE1"/>
    <w:rsid w:val="005E622A"/>
    <w:rsid w:val="005E6816"/>
    <w:rsid w:val="005E6E5E"/>
    <w:rsid w:val="005E7303"/>
    <w:rsid w:val="005E7477"/>
    <w:rsid w:val="005F05D4"/>
    <w:rsid w:val="005F05E1"/>
    <w:rsid w:val="005F0E12"/>
    <w:rsid w:val="005F0F32"/>
    <w:rsid w:val="005F0F4C"/>
    <w:rsid w:val="005F1108"/>
    <w:rsid w:val="005F148B"/>
    <w:rsid w:val="005F156E"/>
    <w:rsid w:val="005F1869"/>
    <w:rsid w:val="005F1B57"/>
    <w:rsid w:val="005F1E14"/>
    <w:rsid w:val="005F214B"/>
    <w:rsid w:val="005F235A"/>
    <w:rsid w:val="005F286E"/>
    <w:rsid w:val="005F2A9D"/>
    <w:rsid w:val="005F2E3B"/>
    <w:rsid w:val="005F2EC0"/>
    <w:rsid w:val="005F3743"/>
    <w:rsid w:val="005F3930"/>
    <w:rsid w:val="005F3C8D"/>
    <w:rsid w:val="005F4035"/>
    <w:rsid w:val="005F4120"/>
    <w:rsid w:val="005F42BB"/>
    <w:rsid w:val="005F4456"/>
    <w:rsid w:val="005F4982"/>
    <w:rsid w:val="005F4D8B"/>
    <w:rsid w:val="005F5033"/>
    <w:rsid w:val="005F52A9"/>
    <w:rsid w:val="005F55AC"/>
    <w:rsid w:val="005F5706"/>
    <w:rsid w:val="005F575E"/>
    <w:rsid w:val="005F59B2"/>
    <w:rsid w:val="005F5A7D"/>
    <w:rsid w:val="005F5CC2"/>
    <w:rsid w:val="005F5FD4"/>
    <w:rsid w:val="005F64AF"/>
    <w:rsid w:val="005F6574"/>
    <w:rsid w:val="005F6621"/>
    <w:rsid w:val="005F7097"/>
    <w:rsid w:val="005F73D0"/>
    <w:rsid w:val="005F752B"/>
    <w:rsid w:val="005F7D1E"/>
    <w:rsid w:val="005F7D9F"/>
    <w:rsid w:val="005F7DB8"/>
    <w:rsid w:val="005F7EA5"/>
    <w:rsid w:val="006004EB"/>
    <w:rsid w:val="006007DA"/>
    <w:rsid w:val="00600903"/>
    <w:rsid w:val="00600CD0"/>
    <w:rsid w:val="00600DFE"/>
    <w:rsid w:val="00600EF4"/>
    <w:rsid w:val="006011CE"/>
    <w:rsid w:val="006014E2"/>
    <w:rsid w:val="006017C1"/>
    <w:rsid w:val="00601942"/>
    <w:rsid w:val="00601953"/>
    <w:rsid w:val="00601FD8"/>
    <w:rsid w:val="00602127"/>
    <w:rsid w:val="00602523"/>
    <w:rsid w:val="00602A25"/>
    <w:rsid w:val="00602D87"/>
    <w:rsid w:val="00602EDA"/>
    <w:rsid w:val="006034E8"/>
    <w:rsid w:val="00603F4C"/>
    <w:rsid w:val="0060422C"/>
    <w:rsid w:val="00604246"/>
    <w:rsid w:val="0060467A"/>
    <w:rsid w:val="00605032"/>
    <w:rsid w:val="00605323"/>
    <w:rsid w:val="00605BCB"/>
    <w:rsid w:val="00605DBC"/>
    <w:rsid w:val="00606332"/>
    <w:rsid w:val="0060634C"/>
    <w:rsid w:val="0060639D"/>
    <w:rsid w:val="00606564"/>
    <w:rsid w:val="00606841"/>
    <w:rsid w:val="006073CF"/>
    <w:rsid w:val="006074A9"/>
    <w:rsid w:val="00607A65"/>
    <w:rsid w:val="00607B01"/>
    <w:rsid w:val="00607D30"/>
    <w:rsid w:val="00607F98"/>
    <w:rsid w:val="00610352"/>
    <w:rsid w:val="00610B17"/>
    <w:rsid w:val="00610D00"/>
    <w:rsid w:val="0061110D"/>
    <w:rsid w:val="00611264"/>
    <w:rsid w:val="00611A77"/>
    <w:rsid w:val="006124FF"/>
    <w:rsid w:val="00612733"/>
    <w:rsid w:val="006133D8"/>
    <w:rsid w:val="0061344F"/>
    <w:rsid w:val="0061357F"/>
    <w:rsid w:val="00613873"/>
    <w:rsid w:val="00613DD5"/>
    <w:rsid w:val="00613ED5"/>
    <w:rsid w:val="00614268"/>
    <w:rsid w:val="00614964"/>
    <w:rsid w:val="006149DF"/>
    <w:rsid w:val="006150E4"/>
    <w:rsid w:val="006153BB"/>
    <w:rsid w:val="006156DB"/>
    <w:rsid w:val="0061591B"/>
    <w:rsid w:val="00615C15"/>
    <w:rsid w:val="006162CA"/>
    <w:rsid w:val="006164B8"/>
    <w:rsid w:val="00617005"/>
    <w:rsid w:val="00617037"/>
    <w:rsid w:val="0061792B"/>
    <w:rsid w:val="00617A81"/>
    <w:rsid w:val="00620512"/>
    <w:rsid w:val="00621337"/>
    <w:rsid w:val="00621AE0"/>
    <w:rsid w:val="00621E9D"/>
    <w:rsid w:val="0062220F"/>
    <w:rsid w:val="00622C62"/>
    <w:rsid w:val="0062313D"/>
    <w:rsid w:val="00624259"/>
    <w:rsid w:val="0062449A"/>
    <w:rsid w:val="006244F7"/>
    <w:rsid w:val="00625085"/>
    <w:rsid w:val="00625715"/>
    <w:rsid w:val="00626246"/>
    <w:rsid w:val="00626467"/>
    <w:rsid w:val="00627224"/>
    <w:rsid w:val="00627510"/>
    <w:rsid w:val="006275C4"/>
    <w:rsid w:val="00627D40"/>
    <w:rsid w:val="00630E1D"/>
    <w:rsid w:val="0063112F"/>
    <w:rsid w:val="00631784"/>
    <w:rsid w:val="006317E2"/>
    <w:rsid w:val="00631D42"/>
    <w:rsid w:val="00631E22"/>
    <w:rsid w:val="0063231E"/>
    <w:rsid w:val="006323D5"/>
    <w:rsid w:val="0063263E"/>
    <w:rsid w:val="00632ED1"/>
    <w:rsid w:val="00633E19"/>
    <w:rsid w:val="006345B3"/>
    <w:rsid w:val="0063543B"/>
    <w:rsid w:val="0063593E"/>
    <w:rsid w:val="00635E3B"/>
    <w:rsid w:val="00635E4F"/>
    <w:rsid w:val="0063618C"/>
    <w:rsid w:val="0063651F"/>
    <w:rsid w:val="006366E3"/>
    <w:rsid w:val="006369D9"/>
    <w:rsid w:val="006374B3"/>
    <w:rsid w:val="00637965"/>
    <w:rsid w:val="00637CD4"/>
    <w:rsid w:val="0064005B"/>
    <w:rsid w:val="00640F67"/>
    <w:rsid w:val="00640F78"/>
    <w:rsid w:val="006414E6"/>
    <w:rsid w:val="006418D7"/>
    <w:rsid w:val="00642461"/>
    <w:rsid w:val="00642624"/>
    <w:rsid w:val="0064279E"/>
    <w:rsid w:val="00642817"/>
    <w:rsid w:val="00643947"/>
    <w:rsid w:val="00643BC7"/>
    <w:rsid w:val="00643F23"/>
    <w:rsid w:val="00643FEB"/>
    <w:rsid w:val="006443C0"/>
    <w:rsid w:val="006452D5"/>
    <w:rsid w:val="00645507"/>
    <w:rsid w:val="00645897"/>
    <w:rsid w:val="0064592C"/>
    <w:rsid w:val="00645E29"/>
    <w:rsid w:val="006466C3"/>
    <w:rsid w:val="00646C78"/>
    <w:rsid w:val="00647346"/>
    <w:rsid w:val="00647738"/>
    <w:rsid w:val="00650193"/>
    <w:rsid w:val="00650C2E"/>
    <w:rsid w:val="006513CB"/>
    <w:rsid w:val="00651B48"/>
    <w:rsid w:val="006521D3"/>
    <w:rsid w:val="006525CB"/>
    <w:rsid w:val="00652873"/>
    <w:rsid w:val="0065290B"/>
    <w:rsid w:val="00653563"/>
    <w:rsid w:val="00653CCB"/>
    <w:rsid w:val="00653DD7"/>
    <w:rsid w:val="00654096"/>
    <w:rsid w:val="00654203"/>
    <w:rsid w:val="006544BD"/>
    <w:rsid w:val="00654E60"/>
    <w:rsid w:val="00655C5B"/>
    <w:rsid w:val="006561D8"/>
    <w:rsid w:val="00656217"/>
    <w:rsid w:val="006568CE"/>
    <w:rsid w:val="006569A4"/>
    <w:rsid w:val="0065743D"/>
    <w:rsid w:val="006605B1"/>
    <w:rsid w:val="0066088C"/>
    <w:rsid w:val="00660F15"/>
    <w:rsid w:val="006611F2"/>
    <w:rsid w:val="0066226D"/>
    <w:rsid w:val="00662647"/>
    <w:rsid w:val="00662BEF"/>
    <w:rsid w:val="00662D7E"/>
    <w:rsid w:val="0066316B"/>
    <w:rsid w:val="0066420C"/>
    <w:rsid w:val="006643DC"/>
    <w:rsid w:val="00665B73"/>
    <w:rsid w:val="00665C45"/>
    <w:rsid w:val="00666270"/>
    <w:rsid w:val="00666949"/>
    <w:rsid w:val="006673C0"/>
    <w:rsid w:val="0066780D"/>
    <w:rsid w:val="0066786C"/>
    <w:rsid w:val="0067017A"/>
    <w:rsid w:val="0067077A"/>
    <w:rsid w:val="00670889"/>
    <w:rsid w:val="00670AAA"/>
    <w:rsid w:val="00670B58"/>
    <w:rsid w:val="00670CF2"/>
    <w:rsid w:val="00671192"/>
    <w:rsid w:val="00671C9F"/>
    <w:rsid w:val="00671E0B"/>
    <w:rsid w:val="00671E34"/>
    <w:rsid w:val="0067288B"/>
    <w:rsid w:val="00672A3B"/>
    <w:rsid w:val="00672B9A"/>
    <w:rsid w:val="00672CE0"/>
    <w:rsid w:val="00673680"/>
    <w:rsid w:val="006737A8"/>
    <w:rsid w:val="00673D07"/>
    <w:rsid w:val="00674446"/>
    <w:rsid w:val="006745E6"/>
    <w:rsid w:val="006746D4"/>
    <w:rsid w:val="00674916"/>
    <w:rsid w:val="00674B1E"/>
    <w:rsid w:val="00674D7D"/>
    <w:rsid w:val="00675080"/>
    <w:rsid w:val="00675212"/>
    <w:rsid w:val="00675A86"/>
    <w:rsid w:val="006770FD"/>
    <w:rsid w:val="006771D3"/>
    <w:rsid w:val="00677356"/>
    <w:rsid w:val="0067739E"/>
    <w:rsid w:val="00677797"/>
    <w:rsid w:val="00677E76"/>
    <w:rsid w:val="00680665"/>
    <w:rsid w:val="00680BC5"/>
    <w:rsid w:val="00681CF0"/>
    <w:rsid w:val="00682784"/>
    <w:rsid w:val="00682966"/>
    <w:rsid w:val="00682D3B"/>
    <w:rsid w:val="00683446"/>
    <w:rsid w:val="006835EB"/>
    <w:rsid w:val="00683D34"/>
    <w:rsid w:val="00684791"/>
    <w:rsid w:val="00684CDB"/>
    <w:rsid w:val="00684E2E"/>
    <w:rsid w:val="00684E8E"/>
    <w:rsid w:val="00685367"/>
    <w:rsid w:val="006854EB"/>
    <w:rsid w:val="00685D8C"/>
    <w:rsid w:val="006862B4"/>
    <w:rsid w:val="00686D12"/>
    <w:rsid w:val="006874E2"/>
    <w:rsid w:val="00687667"/>
    <w:rsid w:val="00690147"/>
    <w:rsid w:val="006901BB"/>
    <w:rsid w:val="00690910"/>
    <w:rsid w:val="0069095C"/>
    <w:rsid w:val="00690B28"/>
    <w:rsid w:val="00690D13"/>
    <w:rsid w:val="00690D47"/>
    <w:rsid w:val="00691185"/>
    <w:rsid w:val="00691265"/>
    <w:rsid w:val="006914D0"/>
    <w:rsid w:val="0069172F"/>
    <w:rsid w:val="00692910"/>
    <w:rsid w:val="00692CC4"/>
    <w:rsid w:val="00692F12"/>
    <w:rsid w:val="006935BA"/>
    <w:rsid w:val="0069375D"/>
    <w:rsid w:val="00693A63"/>
    <w:rsid w:val="00694104"/>
    <w:rsid w:val="00694449"/>
    <w:rsid w:val="00694A0A"/>
    <w:rsid w:val="00694B09"/>
    <w:rsid w:val="00695235"/>
    <w:rsid w:val="0069608C"/>
    <w:rsid w:val="0069610A"/>
    <w:rsid w:val="0069659D"/>
    <w:rsid w:val="0069688E"/>
    <w:rsid w:val="00696A8B"/>
    <w:rsid w:val="006972C9"/>
    <w:rsid w:val="00697367"/>
    <w:rsid w:val="006973BB"/>
    <w:rsid w:val="0069770A"/>
    <w:rsid w:val="00697889"/>
    <w:rsid w:val="00697B41"/>
    <w:rsid w:val="00697B50"/>
    <w:rsid w:val="00697F1E"/>
    <w:rsid w:val="006A0115"/>
    <w:rsid w:val="006A0372"/>
    <w:rsid w:val="006A0C64"/>
    <w:rsid w:val="006A0D2F"/>
    <w:rsid w:val="006A13E3"/>
    <w:rsid w:val="006A195E"/>
    <w:rsid w:val="006A1B71"/>
    <w:rsid w:val="006A2B78"/>
    <w:rsid w:val="006A317C"/>
    <w:rsid w:val="006A3362"/>
    <w:rsid w:val="006A370C"/>
    <w:rsid w:val="006A4708"/>
    <w:rsid w:val="006A4824"/>
    <w:rsid w:val="006A4A31"/>
    <w:rsid w:val="006A4CC1"/>
    <w:rsid w:val="006A5A87"/>
    <w:rsid w:val="006A5A9A"/>
    <w:rsid w:val="006A5CA6"/>
    <w:rsid w:val="006A68D5"/>
    <w:rsid w:val="006A6B6B"/>
    <w:rsid w:val="006A7465"/>
    <w:rsid w:val="006A7757"/>
    <w:rsid w:val="006A7891"/>
    <w:rsid w:val="006A7F83"/>
    <w:rsid w:val="006B00C8"/>
    <w:rsid w:val="006B00CF"/>
    <w:rsid w:val="006B05A8"/>
    <w:rsid w:val="006B0D9E"/>
    <w:rsid w:val="006B1197"/>
    <w:rsid w:val="006B1C2A"/>
    <w:rsid w:val="006B1E27"/>
    <w:rsid w:val="006B2531"/>
    <w:rsid w:val="006B2582"/>
    <w:rsid w:val="006B2879"/>
    <w:rsid w:val="006B39E0"/>
    <w:rsid w:val="006B3FAF"/>
    <w:rsid w:val="006B4081"/>
    <w:rsid w:val="006B4222"/>
    <w:rsid w:val="006B429E"/>
    <w:rsid w:val="006B54A0"/>
    <w:rsid w:val="006B55F3"/>
    <w:rsid w:val="006B5AE3"/>
    <w:rsid w:val="006B5BDC"/>
    <w:rsid w:val="006B6465"/>
    <w:rsid w:val="006B66E0"/>
    <w:rsid w:val="006B66F4"/>
    <w:rsid w:val="006B674C"/>
    <w:rsid w:val="006B67C2"/>
    <w:rsid w:val="006B6B84"/>
    <w:rsid w:val="006B732D"/>
    <w:rsid w:val="006B761E"/>
    <w:rsid w:val="006B7817"/>
    <w:rsid w:val="006B7898"/>
    <w:rsid w:val="006C0085"/>
    <w:rsid w:val="006C020D"/>
    <w:rsid w:val="006C046B"/>
    <w:rsid w:val="006C0631"/>
    <w:rsid w:val="006C067D"/>
    <w:rsid w:val="006C068B"/>
    <w:rsid w:val="006C06A7"/>
    <w:rsid w:val="006C0E9F"/>
    <w:rsid w:val="006C0F47"/>
    <w:rsid w:val="006C1387"/>
    <w:rsid w:val="006C1685"/>
    <w:rsid w:val="006C17C3"/>
    <w:rsid w:val="006C1971"/>
    <w:rsid w:val="006C271B"/>
    <w:rsid w:val="006C2EA0"/>
    <w:rsid w:val="006C34B3"/>
    <w:rsid w:val="006C34E6"/>
    <w:rsid w:val="006C350F"/>
    <w:rsid w:val="006C394F"/>
    <w:rsid w:val="006C3D89"/>
    <w:rsid w:val="006C4248"/>
    <w:rsid w:val="006C4321"/>
    <w:rsid w:val="006C46CD"/>
    <w:rsid w:val="006C4FD3"/>
    <w:rsid w:val="006C5560"/>
    <w:rsid w:val="006C60E2"/>
    <w:rsid w:val="006C6ED9"/>
    <w:rsid w:val="006C71E3"/>
    <w:rsid w:val="006C7D7F"/>
    <w:rsid w:val="006D0466"/>
    <w:rsid w:val="006D0498"/>
    <w:rsid w:val="006D09A1"/>
    <w:rsid w:val="006D0A2D"/>
    <w:rsid w:val="006D1B85"/>
    <w:rsid w:val="006D1BD5"/>
    <w:rsid w:val="006D2CD9"/>
    <w:rsid w:val="006D2D2C"/>
    <w:rsid w:val="006D2F2D"/>
    <w:rsid w:val="006D3AE8"/>
    <w:rsid w:val="006D42CF"/>
    <w:rsid w:val="006D4D09"/>
    <w:rsid w:val="006D62C5"/>
    <w:rsid w:val="006D6D95"/>
    <w:rsid w:val="006D75E4"/>
    <w:rsid w:val="006D75F0"/>
    <w:rsid w:val="006D7A18"/>
    <w:rsid w:val="006E0049"/>
    <w:rsid w:val="006E0E15"/>
    <w:rsid w:val="006E1343"/>
    <w:rsid w:val="006E2469"/>
    <w:rsid w:val="006E26A8"/>
    <w:rsid w:val="006E2EBF"/>
    <w:rsid w:val="006E3089"/>
    <w:rsid w:val="006E3704"/>
    <w:rsid w:val="006E3D54"/>
    <w:rsid w:val="006E3E54"/>
    <w:rsid w:val="006E3ED0"/>
    <w:rsid w:val="006E41B3"/>
    <w:rsid w:val="006E432E"/>
    <w:rsid w:val="006E4D76"/>
    <w:rsid w:val="006E4F05"/>
    <w:rsid w:val="006E4F5C"/>
    <w:rsid w:val="006E542D"/>
    <w:rsid w:val="006E5510"/>
    <w:rsid w:val="006E577E"/>
    <w:rsid w:val="006E59CB"/>
    <w:rsid w:val="006E61B1"/>
    <w:rsid w:val="006E62A3"/>
    <w:rsid w:val="006E6613"/>
    <w:rsid w:val="006E76A7"/>
    <w:rsid w:val="006E7832"/>
    <w:rsid w:val="006E79B6"/>
    <w:rsid w:val="006E7C52"/>
    <w:rsid w:val="006E7FD4"/>
    <w:rsid w:val="006F05A7"/>
    <w:rsid w:val="006F09F9"/>
    <w:rsid w:val="006F19DC"/>
    <w:rsid w:val="006F2024"/>
    <w:rsid w:val="006F2E33"/>
    <w:rsid w:val="006F330F"/>
    <w:rsid w:val="006F375E"/>
    <w:rsid w:val="006F3CB4"/>
    <w:rsid w:val="006F3DFE"/>
    <w:rsid w:val="006F498D"/>
    <w:rsid w:val="006F4A2A"/>
    <w:rsid w:val="006F4A32"/>
    <w:rsid w:val="006F53A9"/>
    <w:rsid w:val="006F58EA"/>
    <w:rsid w:val="006F591D"/>
    <w:rsid w:val="006F59EC"/>
    <w:rsid w:val="006F5C18"/>
    <w:rsid w:val="006F63F2"/>
    <w:rsid w:val="006F6832"/>
    <w:rsid w:val="006F6ED8"/>
    <w:rsid w:val="006F746B"/>
    <w:rsid w:val="006F74FA"/>
    <w:rsid w:val="006F781A"/>
    <w:rsid w:val="006F7996"/>
    <w:rsid w:val="006F7B09"/>
    <w:rsid w:val="006F7D17"/>
    <w:rsid w:val="007000BE"/>
    <w:rsid w:val="007000E1"/>
    <w:rsid w:val="0070035F"/>
    <w:rsid w:val="00700A1E"/>
    <w:rsid w:val="0070115A"/>
    <w:rsid w:val="0070115F"/>
    <w:rsid w:val="007014E0"/>
    <w:rsid w:val="00702331"/>
    <w:rsid w:val="00702455"/>
    <w:rsid w:val="007032D0"/>
    <w:rsid w:val="007033A4"/>
    <w:rsid w:val="00703F74"/>
    <w:rsid w:val="00704CC9"/>
    <w:rsid w:val="007050C9"/>
    <w:rsid w:val="0070542D"/>
    <w:rsid w:val="00705749"/>
    <w:rsid w:val="00705871"/>
    <w:rsid w:val="00705AC2"/>
    <w:rsid w:val="00706036"/>
    <w:rsid w:val="00706946"/>
    <w:rsid w:val="00706F7E"/>
    <w:rsid w:val="00707293"/>
    <w:rsid w:val="007072F5"/>
    <w:rsid w:val="007072FD"/>
    <w:rsid w:val="00707921"/>
    <w:rsid w:val="00707DBF"/>
    <w:rsid w:val="00707F37"/>
    <w:rsid w:val="007100ED"/>
    <w:rsid w:val="007105E3"/>
    <w:rsid w:val="00710CF0"/>
    <w:rsid w:val="00710EE8"/>
    <w:rsid w:val="007111B3"/>
    <w:rsid w:val="00711274"/>
    <w:rsid w:val="00711EA4"/>
    <w:rsid w:val="007125CB"/>
    <w:rsid w:val="0071278C"/>
    <w:rsid w:val="00712C45"/>
    <w:rsid w:val="007130E3"/>
    <w:rsid w:val="0071354C"/>
    <w:rsid w:val="00713E4A"/>
    <w:rsid w:val="00714142"/>
    <w:rsid w:val="00714376"/>
    <w:rsid w:val="00714616"/>
    <w:rsid w:val="007147FE"/>
    <w:rsid w:val="007159A9"/>
    <w:rsid w:val="00715C36"/>
    <w:rsid w:val="00715EAB"/>
    <w:rsid w:val="007164FA"/>
    <w:rsid w:val="0071666A"/>
    <w:rsid w:val="00716AAA"/>
    <w:rsid w:val="00716BD5"/>
    <w:rsid w:val="00716C51"/>
    <w:rsid w:val="00716FD2"/>
    <w:rsid w:val="00717029"/>
    <w:rsid w:val="007175A9"/>
    <w:rsid w:val="00717955"/>
    <w:rsid w:val="00717D0B"/>
    <w:rsid w:val="00717D2F"/>
    <w:rsid w:val="00717DF5"/>
    <w:rsid w:val="00717E3D"/>
    <w:rsid w:val="00717F38"/>
    <w:rsid w:val="00720109"/>
    <w:rsid w:val="007201E0"/>
    <w:rsid w:val="007202A6"/>
    <w:rsid w:val="00720529"/>
    <w:rsid w:val="0072074C"/>
    <w:rsid w:val="00720A1E"/>
    <w:rsid w:val="00720BC0"/>
    <w:rsid w:val="0072183B"/>
    <w:rsid w:val="00721A89"/>
    <w:rsid w:val="00721AA2"/>
    <w:rsid w:val="00721AEA"/>
    <w:rsid w:val="0072216B"/>
    <w:rsid w:val="007225EC"/>
    <w:rsid w:val="007226C2"/>
    <w:rsid w:val="00722C96"/>
    <w:rsid w:val="00723E16"/>
    <w:rsid w:val="0072402E"/>
    <w:rsid w:val="007241C4"/>
    <w:rsid w:val="007242C5"/>
    <w:rsid w:val="007246B7"/>
    <w:rsid w:val="007247FC"/>
    <w:rsid w:val="0072491E"/>
    <w:rsid w:val="00724CD8"/>
    <w:rsid w:val="00724FF5"/>
    <w:rsid w:val="00725E96"/>
    <w:rsid w:val="00726003"/>
    <w:rsid w:val="0072631A"/>
    <w:rsid w:val="00726526"/>
    <w:rsid w:val="00726C1A"/>
    <w:rsid w:val="007273FC"/>
    <w:rsid w:val="00727C29"/>
    <w:rsid w:val="00727DD5"/>
    <w:rsid w:val="00730060"/>
    <w:rsid w:val="007303FF"/>
    <w:rsid w:val="00730401"/>
    <w:rsid w:val="007304D4"/>
    <w:rsid w:val="007306F0"/>
    <w:rsid w:val="0073131B"/>
    <w:rsid w:val="007313AD"/>
    <w:rsid w:val="00731562"/>
    <w:rsid w:val="00731759"/>
    <w:rsid w:val="007325E1"/>
    <w:rsid w:val="007327D8"/>
    <w:rsid w:val="00732893"/>
    <w:rsid w:val="0073315C"/>
    <w:rsid w:val="007334C5"/>
    <w:rsid w:val="00734145"/>
    <w:rsid w:val="00734236"/>
    <w:rsid w:val="0073428E"/>
    <w:rsid w:val="00734787"/>
    <w:rsid w:val="00734C86"/>
    <w:rsid w:val="00734D1B"/>
    <w:rsid w:val="00734D83"/>
    <w:rsid w:val="0073550E"/>
    <w:rsid w:val="0073570C"/>
    <w:rsid w:val="00735C7F"/>
    <w:rsid w:val="0073633A"/>
    <w:rsid w:val="0073663E"/>
    <w:rsid w:val="00736A0F"/>
    <w:rsid w:val="00736AFA"/>
    <w:rsid w:val="00736CCE"/>
    <w:rsid w:val="007379A2"/>
    <w:rsid w:val="00737DAA"/>
    <w:rsid w:val="007411D1"/>
    <w:rsid w:val="00741C63"/>
    <w:rsid w:val="00741F84"/>
    <w:rsid w:val="00742004"/>
    <w:rsid w:val="007421E7"/>
    <w:rsid w:val="00742947"/>
    <w:rsid w:val="00742A77"/>
    <w:rsid w:val="0074315A"/>
    <w:rsid w:val="00743909"/>
    <w:rsid w:val="00743B6B"/>
    <w:rsid w:val="00743CD0"/>
    <w:rsid w:val="00743E99"/>
    <w:rsid w:val="007446FE"/>
    <w:rsid w:val="00744827"/>
    <w:rsid w:val="00744E38"/>
    <w:rsid w:val="0074569E"/>
    <w:rsid w:val="00745974"/>
    <w:rsid w:val="007459D2"/>
    <w:rsid w:val="0074660F"/>
    <w:rsid w:val="00746681"/>
    <w:rsid w:val="00746B80"/>
    <w:rsid w:val="00746F6C"/>
    <w:rsid w:val="00747074"/>
    <w:rsid w:val="00750324"/>
    <w:rsid w:val="0075082B"/>
    <w:rsid w:val="00750884"/>
    <w:rsid w:val="00750D14"/>
    <w:rsid w:val="007513D3"/>
    <w:rsid w:val="00751B91"/>
    <w:rsid w:val="00751CEF"/>
    <w:rsid w:val="00752203"/>
    <w:rsid w:val="0075228C"/>
    <w:rsid w:val="007523AA"/>
    <w:rsid w:val="00752751"/>
    <w:rsid w:val="00753393"/>
    <w:rsid w:val="00753946"/>
    <w:rsid w:val="00754882"/>
    <w:rsid w:val="00754BA7"/>
    <w:rsid w:val="0075580F"/>
    <w:rsid w:val="00755AF9"/>
    <w:rsid w:val="00755B43"/>
    <w:rsid w:val="00755B45"/>
    <w:rsid w:val="00755DDE"/>
    <w:rsid w:val="00756096"/>
    <w:rsid w:val="00756175"/>
    <w:rsid w:val="007563DC"/>
    <w:rsid w:val="0075641A"/>
    <w:rsid w:val="00756424"/>
    <w:rsid w:val="0075646A"/>
    <w:rsid w:val="007566A8"/>
    <w:rsid w:val="00756C05"/>
    <w:rsid w:val="00756C99"/>
    <w:rsid w:val="00756E71"/>
    <w:rsid w:val="0075794A"/>
    <w:rsid w:val="00757C5C"/>
    <w:rsid w:val="007608D9"/>
    <w:rsid w:val="00760B1C"/>
    <w:rsid w:val="00760D04"/>
    <w:rsid w:val="00760D35"/>
    <w:rsid w:val="0076142A"/>
    <w:rsid w:val="007614A7"/>
    <w:rsid w:val="00761FF7"/>
    <w:rsid w:val="007621B3"/>
    <w:rsid w:val="00762844"/>
    <w:rsid w:val="00762EBA"/>
    <w:rsid w:val="00763401"/>
    <w:rsid w:val="007639C5"/>
    <w:rsid w:val="0076560A"/>
    <w:rsid w:val="007658BD"/>
    <w:rsid w:val="007666F6"/>
    <w:rsid w:val="00766959"/>
    <w:rsid w:val="00766E7A"/>
    <w:rsid w:val="007671B6"/>
    <w:rsid w:val="0076730B"/>
    <w:rsid w:val="0076772E"/>
    <w:rsid w:val="007679DD"/>
    <w:rsid w:val="00767F93"/>
    <w:rsid w:val="0077060D"/>
    <w:rsid w:val="00770928"/>
    <w:rsid w:val="0077092D"/>
    <w:rsid w:val="0077128F"/>
    <w:rsid w:val="0077132F"/>
    <w:rsid w:val="00771527"/>
    <w:rsid w:val="007716D7"/>
    <w:rsid w:val="007717DA"/>
    <w:rsid w:val="00771FDB"/>
    <w:rsid w:val="007722DE"/>
    <w:rsid w:val="00772320"/>
    <w:rsid w:val="007723C1"/>
    <w:rsid w:val="00772763"/>
    <w:rsid w:val="0077276E"/>
    <w:rsid w:val="007728BD"/>
    <w:rsid w:val="007735A2"/>
    <w:rsid w:val="0077366E"/>
    <w:rsid w:val="007736A4"/>
    <w:rsid w:val="007736E6"/>
    <w:rsid w:val="007738A1"/>
    <w:rsid w:val="00773C38"/>
    <w:rsid w:val="00774139"/>
    <w:rsid w:val="00774936"/>
    <w:rsid w:val="00774A8D"/>
    <w:rsid w:val="00774D11"/>
    <w:rsid w:val="00776165"/>
    <w:rsid w:val="007761DC"/>
    <w:rsid w:val="00776D63"/>
    <w:rsid w:val="00776E26"/>
    <w:rsid w:val="00776E36"/>
    <w:rsid w:val="00776F7E"/>
    <w:rsid w:val="00777241"/>
    <w:rsid w:val="00777A88"/>
    <w:rsid w:val="00777D96"/>
    <w:rsid w:val="007800AF"/>
    <w:rsid w:val="00780F57"/>
    <w:rsid w:val="007817E9"/>
    <w:rsid w:val="00781806"/>
    <w:rsid w:val="00781A5C"/>
    <w:rsid w:val="00782932"/>
    <w:rsid w:val="00782A77"/>
    <w:rsid w:val="00782C9F"/>
    <w:rsid w:val="00782F31"/>
    <w:rsid w:val="007837AA"/>
    <w:rsid w:val="0078394E"/>
    <w:rsid w:val="00784B3D"/>
    <w:rsid w:val="00785BA4"/>
    <w:rsid w:val="007863B3"/>
    <w:rsid w:val="0078688F"/>
    <w:rsid w:val="007870A3"/>
    <w:rsid w:val="0079101E"/>
    <w:rsid w:val="007911A1"/>
    <w:rsid w:val="0079192F"/>
    <w:rsid w:val="007927F1"/>
    <w:rsid w:val="007940BE"/>
    <w:rsid w:val="00794208"/>
    <w:rsid w:val="007945DD"/>
    <w:rsid w:val="00794623"/>
    <w:rsid w:val="007948E5"/>
    <w:rsid w:val="00794A5A"/>
    <w:rsid w:val="00795964"/>
    <w:rsid w:val="00795FF6"/>
    <w:rsid w:val="00796114"/>
    <w:rsid w:val="007963F0"/>
    <w:rsid w:val="007968F9"/>
    <w:rsid w:val="00796B54"/>
    <w:rsid w:val="00797AE8"/>
    <w:rsid w:val="007A0751"/>
    <w:rsid w:val="007A0FA9"/>
    <w:rsid w:val="007A10C3"/>
    <w:rsid w:val="007A118D"/>
    <w:rsid w:val="007A1211"/>
    <w:rsid w:val="007A13EF"/>
    <w:rsid w:val="007A14EA"/>
    <w:rsid w:val="007A15B4"/>
    <w:rsid w:val="007A1957"/>
    <w:rsid w:val="007A1A4A"/>
    <w:rsid w:val="007A1A65"/>
    <w:rsid w:val="007A1F78"/>
    <w:rsid w:val="007A1FF6"/>
    <w:rsid w:val="007A219E"/>
    <w:rsid w:val="007A2621"/>
    <w:rsid w:val="007A2BD9"/>
    <w:rsid w:val="007A3353"/>
    <w:rsid w:val="007A3C3D"/>
    <w:rsid w:val="007A4606"/>
    <w:rsid w:val="007A4F28"/>
    <w:rsid w:val="007A5500"/>
    <w:rsid w:val="007A57DC"/>
    <w:rsid w:val="007A5A30"/>
    <w:rsid w:val="007A5F07"/>
    <w:rsid w:val="007A62B6"/>
    <w:rsid w:val="007A6599"/>
    <w:rsid w:val="007A6701"/>
    <w:rsid w:val="007A7A23"/>
    <w:rsid w:val="007A7EA1"/>
    <w:rsid w:val="007B000D"/>
    <w:rsid w:val="007B022F"/>
    <w:rsid w:val="007B0E36"/>
    <w:rsid w:val="007B10C1"/>
    <w:rsid w:val="007B1229"/>
    <w:rsid w:val="007B2079"/>
    <w:rsid w:val="007B215A"/>
    <w:rsid w:val="007B260A"/>
    <w:rsid w:val="007B262D"/>
    <w:rsid w:val="007B2745"/>
    <w:rsid w:val="007B298B"/>
    <w:rsid w:val="007B2C96"/>
    <w:rsid w:val="007B3761"/>
    <w:rsid w:val="007B3A5A"/>
    <w:rsid w:val="007B3B1F"/>
    <w:rsid w:val="007B4316"/>
    <w:rsid w:val="007B48D6"/>
    <w:rsid w:val="007B55DA"/>
    <w:rsid w:val="007B598E"/>
    <w:rsid w:val="007B675F"/>
    <w:rsid w:val="007B6765"/>
    <w:rsid w:val="007B6D87"/>
    <w:rsid w:val="007B6FA3"/>
    <w:rsid w:val="007B70E0"/>
    <w:rsid w:val="007B76F1"/>
    <w:rsid w:val="007C0225"/>
    <w:rsid w:val="007C02FB"/>
    <w:rsid w:val="007C072C"/>
    <w:rsid w:val="007C094E"/>
    <w:rsid w:val="007C0BE2"/>
    <w:rsid w:val="007C0CFA"/>
    <w:rsid w:val="007C0DBF"/>
    <w:rsid w:val="007C0DC4"/>
    <w:rsid w:val="007C1064"/>
    <w:rsid w:val="007C1291"/>
    <w:rsid w:val="007C1520"/>
    <w:rsid w:val="007C1A5A"/>
    <w:rsid w:val="007C1D5D"/>
    <w:rsid w:val="007C2225"/>
    <w:rsid w:val="007C253A"/>
    <w:rsid w:val="007C28C8"/>
    <w:rsid w:val="007C31DE"/>
    <w:rsid w:val="007C3B73"/>
    <w:rsid w:val="007C3C65"/>
    <w:rsid w:val="007C4558"/>
    <w:rsid w:val="007C46F9"/>
    <w:rsid w:val="007C47C0"/>
    <w:rsid w:val="007C4A10"/>
    <w:rsid w:val="007C4BAB"/>
    <w:rsid w:val="007C4E7E"/>
    <w:rsid w:val="007C52C9"/>
    <w:rsid w:val="007C589C"/>
    <w:rsid w:val="007C5EC8"/>
    <w:rsid w:val="007C5EFC"/>
    <w:rsid w:val="007C6C08"/>
    <w:rsid w:val="007C7695"/>
    <w:rsid w:val="007C7820"/>
    <w:rsid w:val="007C7973"/>
    <w:rsid w:val="007C7B5B"/>
    <w:rsid w:val="007D01CC"/>
    <w:rsid w:val="007D035B"/>
    <w:rsid w:val="007D0408"/>
    <w:rsid w:val="007D04CB"/>
    <w:rsid w:val="007D0505"/>
    <w:rsid w:val="007D0767"/>
    <w:rsid w:val="007D09EB"/>
    <w:rsid w:val="007D207F"/>
    <w:rsid w:val="007D213C"/>
    <w:rsid w:val="007D2871"/>
    <w:rsid w:val="007D2FB2"/>
    <w:rsid w:val="007D37F7"/>
    <w:rsid w:val="007D4306"/>
    <w:rsid w:val="007D459E"/>
    <w:rsid w:val="007D5042"/>
    <w:rsid w:val="007D6019"/>
    <w:rsid w:val="007D640F"/>
    <w:rsid w:val="007D65B5"/>
    <w:rsid w:val="007D67AB"/>
    <w:rsid w:val="007D69E5"/>
    <w:rsid w:val="007D7255"/>
    <w:rsid w:val="007D7F01"/>
    <w:rsid w:val="007E0586"/>
    <w:rsid w:val="007E098C"/>
    <w:rsid w:val="007E09FC"/>
    <w:rsid w:val="007E0CF2"/>
    <w:rsid w:val="007E223A"/>
    <w:rsid w:val="007E2450"/>
    <w:rsid w:val="007E293D"/>
    <w:rsid w:val="007E31CD"/>
    <w:rsid w:val="007E3335"/>
    <w:rsid w:val="007E358B"/>
    <w:rsid w:val="007E382A"/>
    <w:rsid w:val="007E3868"/>
    <w:rsid w:val="007E448C"/>
    <w:rsid w:val="007E4A2C"/>
    <w:rsid w:val="007E4AC0"/>
    <w:rsid w:val="007E4F53"/>
    <w:rsid w:val="007E54CC"/>
    <w:rsid w:val="007E5AB7"/>
    <w:rsid w:val="007E5B7B"/>
    <w:rsid w:val="007E63E9"/>
    <w:rsid w:val="007E6641"/>
    <w:rsid w:val="007E699D"/>
    <w:rsid w:val="007E71CD"/>
    <w:rsid w:val="007E7273"/>
    <w:rsid w:val="007E72B1"/>
    <w:rsid w:val="007E7743"/>
    <w:rsid w:val="007E798E"/>
    <w:rsid w:val="007E7ACA"/>
    <w:rsid w:val="007E7E2B"/>
    <w:rsid w:val="007F0308"/>
    <w:rsid w:val="007F0473"/>
    <w:rsid w:val="007F0917"/>
    <w:rsid w:val="007F1202"/>
    <w:rsid w:val="007F1AB7"/>
    <w:rsid w:val="007F1D06"/>
    <w:rsid w:val="007F1E9F"/>
    <w:rsid w:val="007F2270"/>
    <w:rsid w:val="007F264B"/>
    <w:rsid w:val="007F32BE"/>
    <w:rsid w:val="007F3FA2"/>
    <w:rsid w:val="007F4084"/>
    <w:rsid w:val="007F4789"/>
    <w:rsid w:val="007F4AD6"/>
    <w:rsid w:val="007F4ECE"/>
    <w:rsid w:val="007F5135"/>
    <w:rsid w:val="007F52DD"/>
    <w:rsid w:val="007F54E0"/>
    <w:rsid w:val="007F5610"/>
    <w:rsid w:val="007F582F"/>
    <w:rsid w:val="007F5A52"/>
    <w:rsid w:val="007F5C11"/>
    <w:rsid w:val="007F63C0"/>
    <w:rsid w:val="007F6658"/>
    <w:rsid w:val="007F6B26"/>
    <w:rsid w:val="007F6C1C"/>
    <w:rsid w:val="007F6F99"/>
    <w:rsid w:val="007F7252"/>
    <w:rsid w:val="007F7BDC"/>
    <w:rsid w:val="008007CA"/>
    <w:rsid w:val="008008BA"/>
    <w:rsid w:val="00801ABE"/>
    <w:rsid w:val="00802109"/>
    <w:rsid w:val="00802320"/>
    <w:rsid w:val="008023B5"/>
    <w:rsid w:val="00802A55"/>
    <w:rsid w:val="00802B14"/>
    <w:rsid w:val="00802F2A"/>
    <w:rsid w:val="00803428"/>
    <w:rsid w:val="00803C7E"/>
    <w:rsid w:val="00803E46"/>
    <w:rsid w:val="00804680"/>
    <w:rsid w:val="00804EB7"/>
    <w:rsid w:val="00804ED0"/>
    <w:rsid w:val="00805743"/>
    <w:rsid w:val="00805F0D"/>
    <w:rsid w:val="00806431"/>
    <w:rsid w:val="00806544"/>
    <w:rsid w:val="00806ABF"/>
    <w:rsid w:val="00806EA7"/>
    <w:rsid w:val="00807C0B"/>
    <w:rsid w:val="0081010F"/>
    <w:rsid w:val="00810521"/>
    <w:rsid w:val="00811B54"/>
    <w:rsid w:val="00811B80"/>
    <w:rsid w:val="0081278B"/>
    <w:rsid w:val="00812806"/>
    <w:rsid w:val="00812C15"/>
    <w:rsid w:val="00813E08"/>
    <w:rsid w:val="00814278"/>
    <w:rsid w:val="00814CB2"/>
    <w:rsid w:val="00814DFA"/>
    <w:rsid w:val="00815276"/>
    <w:rsid w:val="00815364"/>
    <w:rsid w:val="008153D5"/>
    <w:rsid w:val="0081588A"/>
    <w:rsid w:val="00815C92"/>
    <w:rsid w:val="00815DE2"/>
    <w:rsid w:val="00816371"/>
    <w:rsid w:val="008163C8"/>
    <w:rsid w:val="00816724"/>
    <w:rsid w:val="0081707E"/>
    <w:rsid w:val="00817113"/>
    <w:rsid w:val="008202B5"/>
    <w:rsid w:val="0082053A"/>
    <w:rsid w:val="00820763"/>
    <w:rsid w:val="00821858"/>
    <w:rsid w:val="00821E9C"/>
    <w:rsid w:val="00821E9E"/>
    <w:rsid w:val="0082298B"/>
    <w:rsid w:val="00822B3A"/>
    <w:rsid w:val="00822D52"/>
    <w:rsid w:val="008232FF"/>
    <w:rsid w:val="00823545"/>
    <w:rsid w:val="00823EA6"/>
    <w:rsid w:val="0082425F"/>
    <w:rsid w:val="0082481E"/>
    <w:rsid w:val="00824E92"/>
    <w:rsid w:val="00825AEA"/>
    <w:rsid w:val="00825FE2"/>
    <w:rsid w:val="00826904"/>
    <w:rsid w:val="00826972"/>
    <w:rsid w:val="00826A03"/>
    <w:rsid w:val="00826AC8"/>
    <w:rsid w:val="00826B7F"/>
    <w:rsid w:val="00826EE4"/>
    <w:rsid w:val="00826EFF"/>
    <w:rsid w:val="0082729E"/>
    <w:rsid w:val="0082795C"/>
    <w:rsid w:val="00827A3F"/>
    <w:rsid w:val="00827C20"/>
    <w:rsid w:val="00827CED"/>
    <w:rsid w:val="00827D8B"/>
    <w:rsid w:val="0083084D"/>
    <w:rsid w:val="00830B03"/>
    <w:rsid w:val="00830E4B"/>
    <w:rsid w:val="008310B5"/>
    <w:rsid w:val="00831130"/>
    <w:rsid w:val="008311B9"/>
    <w:rsid w:val="0083162E"/>
    <w:rsid w:val="008319B5"/>
    <w:rsid w:val="00832159"/>
    <w:rsid w:val="00832471"/>
    <w:rsid w:val="00832AF1"/>
    <w:rsid w:val="00832C49"/>
    <w:rsid w:val="00832D8B"/>
    <w:rsid w:val="00833314"/>
    <w:rsid w:val="00833396"/>
    <w:rsid w:val="00833781"/>
    <w:rsid w:val="00834277"/>
    <w:rsid w:val="00835185"/>
    <w:rsid w:val="0083578F"/>
    <w:rsid w:val="00835AE1"/>
    <w:rsid w:val="00835B14"/>
    <w:rsid w:val="00835BBB"/>
    <w:rsid w:val="00835CE4"/>
    <w:rsid w:val="00836C12"/>
    <w:rsid w:val="0083712E"/>
    <w:rsid w:val="00837529"/>
    <w:rsid w:val="00837F71"/>
    <w:rsid w:val="00840359"/>
    <w:rsid w:val="00840920"/>
    <w:rsid w:val="00840925"/>
    <w:rsid w:val="00840A82"/>
    <w:rsid w:val="00840B21"/>
    <w:rsid w:val="00840F1D"/>
    <w:rsid w:val="0084106C"/>
    <w:rsid w:val="00841A9C"/>
    <w:rsid w:val="008421BE"/>
    <w:rsid w:val="00842798"/>
    <w:rsid w:val="00842A7A"/>
    <w:rsid w:val="008430C8"/>
    <w:rsid w:val="00843BC6"/>
    <w:rsid w:val="00843D31"/>
    <w:rsid w:val="00844A44"/>
    <w:rsid w:val="00845570"/>
    <w:rsid w:val="00845A79"/>
    <w:rsid w:val="0084660E"/>
    <w:rsid w:val="00846CC9"/>
    <w:rsid w:val="0084720C"/>
    <w:rsid w:val="00847692"/>
    <w:rsid w:val="00847C4C"/>
    <w:rsid w:val="008503CA"/>
    <w:rsid w:val="008505ED"/>
    <w:rsid w:val="00850653"/>
    <w:rsid w:val="00850941"/>
    <w:rsid w:val="00850A76"/>
    <w:rsid w:val="008514F1"/>
    <w:rsid w:val="0085152B"/>
    <w:rsid w:val="0085212C"/>
    <w:rsid w:val="0085240B"/>
    <w:rsid w:val="00852637"/>
    <w:rsid w:val="00853C67"/>
    <w:rsid w:val="00854EBC"/>
    <w:rsid w:val="008555B3"/>
    <w:rsid w:val="00855A74"/>
    <w:rsid w:val="00855CE2"/>
    <w:rsid w:val="00855F02"/>
    <w:rsid w:val="00855F80"/>
    <w:rsid w:val="0085629D"/>
    <w:rsid w:val="00856CB2"/>
    <w:rsid w:val="00856CBD"/>
    <w:rsid w:val="00857143"/>
    <w:rsid w:val="00857194"/>
    <w:rsid w:val="00857B4B"/>
    <w:rsid w:val="0086058E"/>
    <w:rsid w:val="00860BBC"/>
    <w:rsid w:val="00860D34"/>
    <w:rsid w:val="00860E12"/>
    <w:rsid w:val="00861740"/>
    <w:rsid w:val="0086198C"/>
    <w:rsid w:val="00862674"/>
    <w:rsid w:val="0086282B"/>
    <w:rsid w:val="008629B0"/>
    <w:rsid w:val="00862B36"/>
    <w:rsid w:val="00862C49"/>
    <w:rsid w:val="008634D2"/>
    <w:rsid w:val="0086394F"/>
    <w:rsid w:val="008641C7"/>
    <w:rsid w:val="008648A5"/>
    <w:rsid w:val="00864977"/>
    <w:rsid w:val="00864AB5"/>
    <w:rsid w:val="008651D6"/>
    <w:rsid w:val="008652C9"/>
    <w:rsid w:val="00865583"/>
    <w:rsid w:val="00865715"/>
    <w:rsid w:val="0086580D"/>
    <w:rsid w:val="008660B1"/>
    <w:rsid w:val="0086642A"/>
    <w:rsid w:val="00866DE3"/>
    <w:rsid w:val="00867B93"/>
    <w:rsid w:val="00870409"/>
    <w:rsid w:val="00870574"/>
    <w:rsid w:val="008709CB"/>
    <w:rsid w:val="00870ABF"/>
    <w:rsid w:val="008711CE"/>
    <w:rsid w:val="00871484"/>
    <w:rsid w:val="008714D0"/>
    <w:rsid w:val="00871928"/>
    <w:rsid w:val="0087195B"/>
    <w:rsid w:val="00872359"/>
    <w:rsid w:val="00872994"/>
    <w:rsid w:val="008729A3"/>
    <w:rsid w:val="00872BC9"/>
    <w:rsid w:val="00872FD9"/>
    <w:rsid w:val="00873254"/>
    <w:rsid w:val="00873DBD"/>
    <w:rsid w:val="00873F00"/>
    <w:rsid w:val="008743AC"/>
    <w:rsid w:val="0087481F"/>
    <w:rsid w:val="00874897"/>
    <w:rsid w:val="0087489B"/>
    <w:rsid w:val="008749C9"/>
    <w:rsid w:val="00874A7B"/>
    <w:rsid w:val="0087507A"/>
    <w:rsid w:val="00875991"/>
    <w:rsid w:val="0087659C"/>
    <w:rsid w:val="00876F4E"/>
    <w:rsid w:val="00877500"/>
    <w:rsid w:val="008775CD"/>
    <w:rsid w:val="008775F2"/>
    <w:rsid w:val="00877AB9"/>
    <w:rsid w:val="008802E6"/>
    <w:rsid w:val="00880A13"/>
    <w:rsid w:val="008818C7"/>
    <w:rsid w:val="00881E47"/>
    <w:rsid w:val="0088248D"/>
    <w:rsid w:val="00882A2E"/>
    <w:rsid w:val="00882B62"/>
    <w:rsid w:val="00882F29"/>
    <w:rsid w:val="00883FA2"/>
    <w:rsid w:val="0088447A"/>
    <w:rsid w:val="00884814"/>
    <w:rsid w:val="00884C92"/>
    <w:rsid w:val="00884D5B"/>
    <w:rsid w:val="00884E66"/>
    <w:rsid w:val="008856B0"/>
    <w:rsid w:val="008856B9"/>
    <w:rsid w:val="00885B7B"/>
    <w:rsid w:val="00886B91"/>
    <w:rsid w:val="008875A0"/>
    <w:rsid w:val="00887773"/>
    <w:rsid w:val="008900DB"/>
    <w:rsid w:val="008900FB"/>
    <w:rsid w:val="00890FE7"/>
    <w:rsid w:val="008910E6"/>
    <w:rsid w:val="008916C8"/>
    <w:rsid w:val="008917D0"/>
    <w:rsid w:val="00891920"/>
    <w:rsid w:val="00891BAC"/>
    <w:rsid w:val="008929AD"/>
    <w:rsid w:val="008932F2"/>
    <w:rsid w:val="0089374C"/>
    <w:rsid w:val="00893A64"/>
    <w:rsid w:val="00893C70"/>
    <w:rsid w:val="00893D3A"/>
    <w:rsid w:val="00893F7B"/>
    <w:rsid w:val="008941B7"/>
    <w:rsid w:val="0089494A"/>
    <w:rsid w:val="00894A73"/>
    <w:rsid w:val="00894D90"/>
    <w:rsid w:val="008950A8"/>
    <w:rsid w:val="00895205"/>
    <w:rsid w:val="0089550E"/>
    <w:rsid w:val="00895CCD"/>
    <w:rsid w:val="00895F8B"/>
    <w:rsid w:val="00896352"/>
    <w:rsid w:val="00896854"/>
    <w:rsid w:val="00896915"/>
    <w:rsid w:val="0089710A"/>
    <w:rsid w:val="008977EF"/>
    <w:rsid w:val="00897B45"/>
    <w:rsid w:val="00897D11"/>
    <w:rsid w:val="00897DFE"/>
    <w:rsid w:val="008A0506"/>
    <w:rsid w:val="008A0939"/>
    <w:rsid w:val="008A10AC"/>
    <w:rsid w:val="008A10B0"/>
    <w:rsid w:val="008A1A48"/>
    <w:rsid w:val="008A1B50"/>
    <w:rsid w:val="008A1CE4"/>
    <w:rsid w:val="008A22E8"/>
    <w:rsid w:val="008A24B3"/>
    <w:rsid w:val="008A26B2"/>
    <w:rsid w:val="008A3252"/>
    <w:rsid w:val="008A3291"/>
    <w:rsid w:val="008A3298"/>
    <w:rsid w:val="008A32BF"/>
    <w:rsid w:val="008A37E1"/>
    <w:rsid w:val="008A4434"/>
    <w:rsid w:val="008A4475"/>
    <w:rsid w:val="008A44C0"/>
    <w:rsid w:val="008A4AD3"/>
    <w:rsid w:val="008A56AC"/>
    <w:rsid w:val="008A58C4"/>
    <w:rsid w:val="008A5AC6"/>
    <w:rsid w:val="008A5F2A"/>
    <w:rsid w:val="008A5F81"/>
    <w:rsid w:val="008A61E4"/>
    <w:rsid w:val="008A6228"/>
    <w:rsid w:val="008A663A"/>
    <w:rsid w:val="008A6BD0"/>
    <w:rsid w:val="008A73FB"/>
    <w:rsid w:val="008A78FE"/>
    <w:rsid w:val="008A790E"/>
    <w:rsid w:val="008A7D35"/>
    <w:rsid w:val="008B00BF"/>
    <w:rsid w:val="008B02C4"/>
    <w:rsid w:val="008B0A06"/>
    <w:rsid w:val="008B0F0F"/>
    <w:rsid w:val="008B10C1"/>
    <w:rsid w:val="008B11F7"/>
    <w:rsid w:val="008B1AB0"/>
    <w:rsid w:val="008B212E"/>
    <w:rsid w:val="008B21F5"/>
    <w:rsid w:val="008B2331"/>
    <w:rsid w:val="008B2AE0"/>
    <w:rsid w:val="008B2B3C"/>
    <w:rsid w:val="008B2E2D"/>
    <w:rsid w:val="008B3506"/>
    <w:rsid w:val="008B3595"/>
    <w:rsid w:val="008B38BC"/>
    <w:rsid w:val="008B45F2"/>
    <w:rsid w:val="008B46FD"/>
    <w:rsid w:val="008B4768"/>
    <w:rsid w:val="008B64FA"/>
    <w:rsid w:val="008B699B"/>
    <w:rsid w:val="008B730B"/>
    <w:rsid w:val="008B7CB7"/>
    <w:rsid w:val="008B7F94"/>
    <w:rsid w:val="008C0281"/>
    <w:rsid w:val="008C03C0"/>
    <w:rsid w:val="008C087A"/>
    <w:rsid w:val="008C0A1C"/>
    <w:rsid w:val="008C0D98"/>
    <w:rsid w:val="008C1193"/>
    <w:rsid w:val="008C12C8"/>
    <w:rsid w:val="008C15C6"/>
    <w:rsid w:val="008C16F9"/>
    <w:rsid w:val="008C1CB0"/>
    <w:rsid w:val="008C21AD"/>
    <w:rsid w:val="008C2485"/>
    <w:rsid w:val="008C292F"/>
    <w:rsid w:val="008C2EBD"/>
    <w:rsid w:val="008C30BB"/>
    <w:rsid w:val="008C33C6"/>
    <w:rsid w:val="008C35B9"/>
    <w:rsid w:val="008C385A"/>
    <w:rsid w:val="008C3BFB"/>
    <w:rsid w:val="008C3C56"/>
    <w:rsid w:val="008C3DD6"/>
    <w:rsid w:val="008C41D7"/>
    <w:rsid w:val="008C4DF0"/>
    <w:rsid w:val="008C4FA8"/>
    <w:rsid w:val="008C53FC"/>
    <w:rsid w:val="008C5447"/>
    <w:rsid w:val="008C5929"/>
    <w:rsid w:val="008C6313"/>
    <w:rsid w:val="008C66D3"/>
    <w:rsid w:val="008C68F3"/>
    <w:rsid w:val="008C6912"/>
    <w:rsid w:val="008C7227"/>
    <w:rsid w:val="008C741B"/>
    <w:rsid w:val="008C7516"/>
    <w:rsid w:val="008C785C"/>
    <w:rsid w:val="008D0497"/>
    <w:rsid w:val="008D04F7"/>
    <w:rsid w:val="008D0A2E"/>
    <w:rsid w:val="008D0E3C"/>
    <w:rsid w:val="008D0E79"/>
    <w:rsid w:val="008D10F8"/>
    <w:rsid w:val="008D1861"/>
    <w:rsid w:val="008D2C8C"/>
    <w:rsid w:val="008D2CAE"/>
    <w:rsid w:val="008D3039"/>
    <w:rsid w:val="008D30AB"/>
    <w:rsid w:val="008D3147"/>
    <w:rsid w:val="008D3C97"/>
    <w:rsid w:val="008D4065"/>
    <w:rsid w:val="008D418B"/>
    <w:rsid w:val="008D4385"/>
    <w:rsid w:val="008D43C9"/>
    <w:rsid w:val="008D49B1"/>
    <w:rsid w:val="008D5339"/>
    <w:rsid w:val="008D54D7"/>
    <w:rsid w:val="008D5611"/>
    <w:rsid w:val="008D5A2B"/>
    <w:rsid w:val="008D60BD"/>
    <w:rsid w:val="008D6739"/>
    <w:rsid w:val="008D6766"/>
    <w:rsid w:val="008D698B"/>
    <w:rsid w:val="008D77CA"/>
    <w:rsid w:val="008D7C8A"/>
    <w:rsid w:val="008E0113"/>
    <w:rsid w:val="008E02D3"/>
    <w:rsid w:val="008E0362"/>
    <w:rsid w:val="008E0D3A"/>
    <w:rsid w:val="008E19E5"/>
    <w:rsid w:val="008E1F26"/>
    <w:rsid w:val="008E247E"/>
    <w:rsid w:val="008E2538"/>
    <w:rsid w:val="008E335E"/>
    <w:rsid w:val="008E33E0"/>
    <w:rsid w:val="008E358B"/>
    <w:rsid w:val="008E373A"/>
    <w:rsid w:val="008E3BF6"/>
    <w:rsid w:val="008E3E2C"/>
    <w:rsid w:val="008E43D4"/>
    <w:rsid w:val="008E478A"/>
    <w:rsid w:val="008E4A84"/>
    <w:rsid w:val="008E4ABF"/>
    <w:rsid w:val="008E4EDA"/>
    <w:rsid w:val="008E50C7"/>
    <w:rsid w:val="008E5A29"/>
    <w:rsid w:val="008E5E66"/>
    <w:rsid w:val="008E642B"/>
    <w:rsid w:val="008E6A28"/>
    <w:rsid w:val="008E6BA9"/>
    <w:rsid w:val="008E72BD"/>
    <w:rsid w:val="008F0353"/>
    <w:rsid w:val="008F050D"/>
    <w:rsid w:val="008F0CE1"/>
    <w:rsid w:val="008F1B84"/>
    <w:rsid w:val="008F1E81"/>
    <w:rsid w:val="008F1FAF"/>
    <w:rsid w:val="008F2290"/>
    <w:rsid w:val="008F2374"/>
    <w:rsid w:val="008F2751"/>
    <w:rsid w:val="008F372D"/>
    <w:rsid w:val="008F3F4E"/>
    <w:rsid w:val="008F4A41"/>
    <w:rsid w:val="008F5345"/>
    <w:rsid w:val="008F53A6"/>
    <w:rsid w:val="008F5A0D"/>
    <w:rsid w:val="008F5C65"/>
    <w:rsid w:val="008F65C0"/>
    <w:rsid w:val="008F6831"/>
    <w:rsid w:val="008F69B3"/>
    <w:rsid w:val="008F7718"/>
    <w:rsid w:val="008F7939"/>
    <w:rsid w:val="008F7943"/>
    <w:rsid w:val="008F7A76"/>
    <w:rsid w:val="009005BB"/>
    <w:rsid w:val="009008B9"/>
    <w:rsid w:val="0090167F"/>
    <w:rsid w:val="00901C93"/>
    <w:rsid w:val="009020FA"/>
    <w:rsid w:val="00902478"/>
    <w:rsid w:val="009024F7"/>
    <w:rsid w:val="00902569"/>
    <w:rsid w:val="009025A4"/>
    <w:rsid w:val="00902862"/>
    <w:rsid w:val="00902EEF"/>
    <w:rsid w:val="00903BD4"/>
    <w:rsid w:val="00903C72"/>
    <w:rsid w:val="00903E10"/>
    <w:rsid w:val="0090419D"/>
    <w:rsid w:val="0090451D"/>
    <w:rsid w:val="00904633"/>
    <w:rsid w:val="00904673"/>
    <w:rsid w:val="00904A49"/>
    <w:rsid w:val="00904C7C"/>
    <w:rsid w:val="00904CE2"/>
    <w:rsid w:val="0090592E"/>
    <w:rsid w:val="00905CE3"/>
    <w:rsid w:val="00906615"/>
    <w:rsid w:val="00910597"/>
    <w:rsid w:val="0091087F"/>
    <w:rsid w:val="00910CC0"/>
    <w:rsid w:val="00910E95"/>
    <w:rsid w:val="009117B8"/>
    <w:rsid w:val="00911801"/>
    <w:rsid w:val="00911821"/>
    <w:rsid w:val="009122AE"/>
    <w:rsid w:val="00912AEF"/>
    <w:rsid w:val="00913118"/>
    <w:rsid w:val="00913434"/>
    <w:rsid w:val="00913A45"/>
    <w:rsid w:val="00914078"/>
    <w:rsid w:val="00915354"/>
    <w:rsid w:val="00915714"/>
    <w:rsid w:val="00915834"/>
    <w:rsid w:val="00915D65"/>
    <w:rsid w:val="0091711D"/>
    <w:rsid w:val="0091719B"/>
    <w:rsid w:val="0091741E"/>
    <w:rsid w:val="009174F2"/>
    <w:rsid w:val="00917ABE"/>
    <w:rsid w:val="0092070E"/>
    <w:rsid w:val="00920C63"/>
    <w:rsid w:val="009213C6"/>
    <w:rsid w:val="009213E3"/>
    <w:rsid w:val="00921C00"/>
    <w:rsid w:val="00921EBE"/>
    <w:rsid w:val="0092232B"/>
    <w:rsid w:val="0092243E"/>
    <w:rsid w:val="0092281E"/>
    <w:rsid w:val="0092293E"/>
    <w:rsid w:val="00922A8F"/>
    <w:rsid w:val="00922EB8"/>
    <w:rsid w:val="00923330"/>
    <w:rsid w:val="00923B22"/>
    <w:rsid w:val="00923C55"/>
    <w:rsid w:val="009240D1"/>
    <w:rsid w:val="009247C8"/>
    <w:rsid w:val="0092501F"/>
    <w:rsid w:val="0092551B"/>
    <w:rsid w:val="00925A41"/>
    <w:rsid w:val="00925DA5"/>
    <w:rsid w:val="00926010"/>
    <w:rsid w:val="009261FB"/>
    <w:rsid w:val="00926885"/>
    <w:rsid w:val="00926A0A"/>
    <w:rsid w:val="00926CFD"/>
    <w:rsid w:val="00927449"/>
    <w:rsid w:val="00930091"/>
    <w:rsid w:val="00930114"/>
    <w:rsid w:val="00930C03"/>
    <w:rsid w:val="009310C4"/>
    <w:rsid w:val="00931310"/>
    <w:rsid w:val="00931BA6"/>
    <w:rsid w:val="00931BEF"/>
    <w:rsid w:val="00931C37"/>
    <w:rsid w:val="00932090"/>
    <w:rsid w:val="009321D7"/>
    <w:rsid w:val="00932B2E"/>
    <w:rsid w:val="00932D16"/>
    <w:rsid w:val="009331D1"/>
    <w:rsid w:val="009334D9"/>
    <w:rsid w:val="00933551"/>
    <w:rsid w:val="00933740"/>
    <w:rsid w:val="00933925"/>
    <w:rsid w:val="00933BCC"/>
    <w:rsid w:val="00933C25"/>
    <w:rsid w:val="0093420D"/>
    <w:rsid w:val="00934563"/>
    <w:rsid w:val="00935461"/>
    <w:rsid w:val="0093555D"/>
    <w:rsid w:val="009355CF"/>
    <w:rsid w:val="0093571A"/>
    <w:rsid w:val="00935943"/>
    <w:rsid w:val="00936A6E"/>
    <w:rsid w:val="00937273"/>
    <w:rsid w:val="009376C0"/>
    <w:rsid w:val="0093799E"/>
    <w:rsid w:val="00937B6B"/>
    <w:rsid w:val="00937BE9"/>
    <w:rsid w:val="00940B92"/>
    <w:rsid w:val="00940D25"/>
    <w:rsid w:val="00941D0B"/>
    <w:rsid w:val="00941E09"/>
    <w:rsid w:val="00942032"/>
    <w:rsid w:val="00942463"/>
    <w:rsid w:val="00942B23"/>
    <w:rsid w:val="00942B44"/>
    <w:rsid w:val="00942F5E"/>
    <w:rsid w:val="009430AD"/>
    <w:rsid w:val="00943720"/>
    <w:rsid w:val="00943992"/>
    <w:rsid w:val="00943F7D"/>
    <w:rsid w:val="00943F81"/>
    <w:rsid w:val="009441DD"/>
    <w:rsid w:val="00944219"/>
    <w:rsid w:val="0094423F"/>
    <w:rsid w:val="0094457F"/>
    <w:rsid w:val="0094515F"/>
    <w:rsid w:val="0094540C"/>
    <w:rsid w:val="00945C3B"/>
    <w:rsid w:val="009460D8"/>
    <w:rsid w:val="0094655C"/>
    <w:rsid w:val="0094676F"/>
    <w:rsid w:val="00946BF2"/>
    <w:rsid w:val="009471E3"/>
    <w:rsid w:val="009475E4"/>
    <w:rsid w:val="0094762A"/>
    <w:rsid w:val="0094773A"/>
    <w:rsid w:val="00947AC7"/>
    <w:rsid w:val="00947AD4"/>
    <w:rsid w:val="00950506"/>
    <w:rsid w:val="00950BF0"/>
    <w:rsid w:val="00951460"/>
    <w:rsid w:val="00951472"/>
    <w:rsid w:val="00951A2A"/>
    <w:rsid w:val="00951D27"/>
    <w:rsid w:val="00951EB3"/>
    <w:rsid w:val="0095220A"/>
    <w:rsid w:val="00952390"/>
    <w:rsid w:val="00952715"/>
    <w:rsid w:val="00952720"/>
    <w:rsid w:val="00952FF3"/>
    <w:rsid w:val="009531DC"/>
    <w:rsid w:val="00953421"/>
    <w:rsid w:val="00953543"/>
    <w:rsid w:val="00953581"/>
    <w:rsid w:val="0095375A"/>
    <w:rsid w:val="00953782"/>
    <w:rsid w:val="009537BB"/>
    <w:rsid w:val="009539CC"/>
    <w:rsid w:val="00953B97"/>
    <w:rsid w:val="00953D46"/>
    <w:rsid w:val="009542EC"/>
    <w:rsid w:val="00954ECA"/>
    <w:rsid w:val="00955282"/>
    <w:rsid w:val="009554ED"/>
    <w:rsid w:val="00955D83"/>
    <w:rsid w:val="009561CA"/>
    <w:rsid w:val="0095649D"/>
    <w:rsid w:val="009565A8"/>
    <w:rsid w:val="00956632"/>
    <w:rsid w:val="00957337"/>
    <w:rsid w:val="009577AA"/>
    <w:rsid w:val="0095785E"/>
    <w:rsid w:val="00957E96"/>
    <w:rsid w:val="0096041A"/>
    <w:rsid w:val="0096074F"/>
    <w:rsid w:val="00960874"/>
    <w:rsid w:val="00961080"/>
    <w:rsid w:val="0096111E"/>
    <w:rsid w:val="009614D3"/>
    <w:rsid w:val="00961CAA"/>
    <w:rsid w:val="00961CFD"/>
    <w:rsid w:val="00961F0B"/>
    <w:rsid w:val="009620A5"/>
    <w:rsid w:val="00962727"/>
    <w:rsid w:val="0096287C"/>
    <w:rsid w:val="0096296D"/>
    <w:rsid w:val="009633D6"/>
    <w:rsid w:val="00963792"/>
    <w:rsid w:val="00964395"/>
    <w:rsid w:val="009644DB"/>
    <w:rsid w:val="00964684"/>
    <w:rsid w:val="009646F3"/>
    <w:rsid w:val="00964D79"/>
    <w:rsid w:val="00964EAD"/>
    <w:rsid w:val="0096597D"/>
    <w:rsid w:val="00966236"/>
    <w:rsid w:val="009662FA"/>
    <w:rsid w:val="009663BF"/>
    <w:rsid w:val="009665C3"/>
    <w:rsid w:val="00966722"/>
    <w:rsid w:val="00966D14"/>
    <w:rsid w:val="009672D9"/>
    <w:rsid w:val="009673EF"/>
    <w:rsid w:val="00967A1C"/>
    <w:rsid w:val="00970BE5"/>
    <w:rsid w:val="00971537"/>
    <w:rsid w:val="00971549"/>
    <w:rsid w:val="00971933"/>
    <w:rsid w:val="00971B03"/>
    <w:rsid w:val="00972193"/>
    <w:rsid w:val="00972205"/>
    <w:rsid w:val="009723DE"/>
    <w:rsid w:val="00972418"/>
    <w:rsid w:val="00972562"/>
    <w:rsid w:val="00972998"/>
    <w:rsid w:val="00972B2B"/>
    <w:rsid w:val="00973060"/>
    <w:rsid w:val="009733CE"/>
    <w:rsid w:val="00973649"/>
    <w:rsid w:val="00973887"/>
    <w:rsid w:val="00973E34"/>
    <w:rsid w:val="0097456E"/>
    <w:rsid w:val="00974F0B"/>
    <w:rsid w:val="009768A5"/>
    <w:rsid w:val="0097710E"/>
    <w:rsid w:val="00977C72"/>
    <w:rsid w:val="009807D5"/>
    <w:rsid w:val="009809C5"/>
    <w:rsid w:val="009811C8"/>
    <w:rsid w:val="009815C4"/>
    <w:rsid w:val="009816D3"/>
    <w:rsid w:val="00981840"/>
    <w:rsid w:val="00981E97"/>
    <w:rsid w:val="009820F4"/>
    <w:rsid w:val="00982196"/>
    <w:rsid w:val="009822D1"/>
    <w:rsid w:val="00982D37"/>
    <w:rsid w:val="00982FCD"/>
    <w:rsid w:val="009837BD"/>
    <w:rsid w:val="0098380A"/>
    <w:rsid w:val="0098382E"/>
    <w:rsid w:val="00983B5E"/>
    <w:rsid w:val="00984042"/>
    <w:rsid w:val="00984A13"/>
    <w:rsid w:val="00984D4A"/>
    <w:rsid w:val="009850B9"/>
    <w:rsid w:val="009851A0"/>
    <w:rsid w:val="009858D6"/>
    <w:rsid w:val="00985B11"/>
    <w:rsid w:val="00985B96"/>
    <w:rsid w:val="00986D8F"/>
    <w:rsid w:val="00986F26"/>
    <w:rsid w:val="00987557"/>
    <w:rsid w:val="00987BD3"/>
    <w:rsid w:val="0099004C"/>
    <w:rsid w:val="0099030B"/>
    <w:rsid w:val="00991E68"/>
    <w:rsid w:val="009923BA"/>
    <w:rsid w:val="009926E3"/>
    <w:rsid w:val="00992E99"/>
    <w:rsid w:val="00993571"/>
    <w:rsid w:val="009937A9"/>
    <w:rsid w:val="00993A5C"/>
    <w:rsid w:val="00993ED0"/>
    <w:rsid w:val="00994476"/>
    <w:rsid w:val="00994D35"/>
    <w:rsid w:val="0099677F"/>
    <w:rsid w:val="009970B4"/>
    <w:rsid w:val="009974E2"/>
    <w:rsid w:val="0099754C"/>
    <w:rsid w:val="009978E0"/>
    <w:rsid w:val="009978EA"/>
    <w:rsid w:val="00997B60"/>
    <w:rsid w:val="009A0036"/>
    <w:rsid w:val="009A01F0"/>
    <w:rsid w:val="009A023B"/>
    <w:rsid w:val="009A0383"/>
    <w:rsid w:val="009A0F84"/>
    <w:rsid w:val="009A1036"/>
    <w:rsid w:val="009A1553"/>
    <w:rsid w:val="009A16FA"/>
    <w:rsid w:val="009A1826"/>
    <w:rsid w:val="009A1D4F"/>
    <w:rsid w:val="009A25E1"/>
    <w:rsid w:val="009A2626"/>
    <w:rsid w:val="009A26D8"/>
    <w:rsid w:val="009A2B25"/>
    <w:rsid w:val="009A2C93"/>
    <w:rsid w:val="009A2C9B"/>
    <w:rsid w:val="009A2E75"/>
    <w:rsid w:val="009A3830"/>
    <w:rsid w:val="009A4257"/>
    <w:rsid w:val="009A439F"/>
    <w:rsid w:val="009A45F6"/>
    <w:rsid w:val="009A49CB"/>
    <w:rsid w:val="009A4A35"/>
    <w:rsid w:val="009A4FCF"/>
    <w:rsid w:val="009A5198"/>
    <w:rsid w:val="009A55B6"/>
    <w:rsid w:val="009A58A6"/>
    <w:rsid w:val="009A618B"/>
    <w:rsid w:val="009A6753"/>
    <w:rsid w:val="009A6B5B"/>
    <w:rsid w:val="009A7E94"/>
    <w:rsid w:val="009B015A"/>
    <w:rsid w:val="009B02D5"/>
    <w:rsid w:val="009B045A"/>
    <w:rsid w:val="009B08F8"/>
    <w:rsid w:val="009B1943"/>
    <w:rsid w:val="009B2172"/>
    <w:rsid w:val="009B278E"/>
    <w:rsid w:val="009B3008"/>
    <w:rsid w:val="009B303F"/>
    <w:rsid w:val="009B34C7"/>
    <w:rsid w:val="009B3A3D"/>
    <w:rsid w:val="009B3A6D"/>
    <w:rsid w:val="009B401D"/>
    <w:rsid w:val="009B41BE"/>
    <w:rsid w:val="009B4353"/>
    <w:rsid w:val="009B49E2"/>
    <w:rsid w:val="009B4A4C"/>
    <w:rsid w:val="009B5B33"/>
    <w:rsid w:val="009B62A1"/>
    <w:rsid w:val="009B668D"/>
    <w:rsid w:val="009B6969"/>
    <w:rsid w:val="009B6AC6"/>
    <w:rsid w:val="009B6F68"/>
    <w:rsid w:val="009B7B2D"/>
    <w:rsid w:val="009B7C0C"/>
    <w:rsid w:val="009C083B"/>
    <w:rsid w:val="009C0BBD"/>
    <w:rsid w:val="009C162D"/>
    <w:rsid w:val="009C1D48"/>
    <w:rsid w:val="009C1FFF"/>
    <w:rsid w:val="009C2DDE"/>
    <w:rsid w:val="009C3390"/>
    <w:rsid w:val="009C33D8"/>
    <w:rsid w:val="009C3595"/>
    <w:rsid w:val="009C389C"/>
    <w:rsid w:val="009C400D"/>
    <w:rsid w:val="009C51DA"/>
    <w:rsid w:val="009C5659"/>
    <w:rsid w:val="009C61A7"/>
    <w:rsid w:val="009C62E5"/>
    <w:rsid w:val="009C63B8"/>
    <w:rsid w:val="009C66DA"/>
    <w:rsid w:val="009C6BCE"/>
    <w:rsid w:val="009C7503"/>
    <w:rsid w:val="009C7A97"/>
    <w:rsid w:val="009C7D50"/>
    <w:rsid w:val="009C7E9C"/>
    <w:rsid w:val="009C7F88"/>
    <w:rsid w:val="009D08C7"/>
    <w:rsid w:val="009D0C21"/>
    <w:rsid w:val="009D0D4A"/>
    <w:rsid w:val="009D130E"/>
    <w:rsid w:val="009D14F3"/>
    <w:rsid w:val="009D2CB2"/>
    <w:rsid w:val="009D2F67"/>
    <w:rsid w:val="009D38F7"/>
    <w:rsid w:val="009D455E"/>
    <w:rsid w:val="009D52F7"/>
    <w:rsid w:val="009D56D7"/>
    <w:rsid w:val="009D5814"/>
    <w:rsid w:val="009D5B5D"/>
    <w:rsid w:val="009D62D4"/>
    <w:rsid w:val="009D6496"/>
    <w:rsid w:val="009D64F3"/>
    <w:rsid w:val="009D6F06"/>
    <w:rsid w:val="009D70AC"/>
    <w:rsid w:val="009D7330"/>
    <w:rsid w:val="009D7A43"/>
    <w:rsid w:val="009D7A88"/>
    <w:rsid w:val="009D7B0F"/>
    <w:rsid w:val="009E012D"/>
    <w:rsid w:val="009E03E0"/>
    <w:rsid w:val="009E0470"/>
    <w:rsid w:val="009E0681"/>
    <w:rsid w:val="009E08B4"/>
    <w:rsid w:val="009E0E6B"/>
    <w:rsid w:val="009E15FD"/>
    <w:rsid w:val="009E1C19"/>
    <w:rsid w:val="009E236A"/>
    <w:rsid w:val="009E27A0"/>
    <w:rsid w:val="009E2EBD"/>
    <w:rsid w:val="009E5644"/>
    <w:rsid w:val="009E60EB"/>
    <w:rsid w:val="009E6614"/>
    <w:rsid w:val="009E6641"/>
    <w:rsid w:val="009E6AAC"/>
    <w:rsid w:val="009E6BBE"/>
    <w:rsid w:val="009E706E"/>
    <w:rsid w:val="009E77DA"/>
    <w:rsid w:val="009E79E2"/>
    <w:rsid w:val="009F0041"/>
    <w:rsid w:val="009F0E8B"/>
    <w:rsid w:val="009F1738"/>
    <w:rsid w:val="009F17A0"/>
    <w:rsid w:val="009F1846"/>
    <w:rsid w:val="009F27D3"/>
    <w:rsid w:val="009F2803"/>
    <w:rsid w:val="009F2A8A"/>
    <w:rsid w:val="009F2DA8"/>
    <w:rsid w:val="009F3268"/>
    <w:rsid w:val="009F3288"/>
    <w:rsid w:val="009F3358"/>
    <w:rsid w:val="009F399B"/>
    <w:rsid w:val="009F39BA"/>
    <w:rsid w:val="009F4723"/>
    <w:rsid w:val="009F4FA0"/>
    <w:rsid w:val="009F5A96"/>
    <w:rsid w:val="009F5B99"/>
    <w:rsid w:val="009F64ED"/>
    <w:rsid w:val="009F66F6"/>
    <w:rsid w:val="009F6FD5"/>
    <w:rsid w:val="009F7057"/>
    <w:rsid w:val="009F71AC"/>
    <w:rsid w:val="009F791E"/>
    <w:rsid w:val="009F7983"/>
    <w:rsid w:val="009F79E5"/>
    <w:rsid w:val="009F7CEE"/>
    <w:rsid w:val="00A0056D"/>
    <w:rsid w:val="00A005AA"/>
    <w:rsid w:val="00A0090B"/>
    <w:rsid w:val="00A00998"/>
    <w:rsid w:val="00A00A9D"/>
    <w:rsid w:val="00A00E4D"/>
    <w:rsid w:val="00A013C3"/>
    <w:rsid w:val="00A018D7"/>
    <w:rsid w:val="00A01B42"/>
    <w:rsid w:val="00A02244"/>
    <w:rsid w:val="00A02277"/>
    <w:rsid w:val="00A02B43"/>
    <w:rsid w:val="00A0306D"/>
    <w:rsid w:val="00A0383E"/>
    <w:rsid w:val="00A03CF3"/>
    <w:rsid w:val="00A0537D"/>
    <w:rsid w:val="00A053D1"/>
    <w:rsid w:val="00A05582"/>
    <w:rsid w:val="00A05B24"/>
    <w:rsid w:val="00A05BBF"/>
    <w:rsid w:val="00A06BD4"/>
    <w:rsid w:val="00A06CE6"/>
    <w:rsid w:val="00A06EEB"/>
    <w:rsid w:val="00A06EFC"/>
    <w:rsid w:val="00A071A6"/>
    <w:rsid w:val="00A071BE"/>
    <w:rsid w:val="00A072FF"/>
    <w:rsid w:val="00A07963"/>
    <w:rsid w:val="00A079D2"/>
    <w:rsid w:val="00A103B4"/>
    <w:rsid w:val="00A10484"/>
    <w:rsid w:val="00A10971"/>
    <w:rsid w:val="00A10D64"/>
    <w:rsid w:val="00A11112"/>
    <w:rsid w:val="00A111F8"/>
    <w:rsid w:val="00A11827"/>
    <w:rsid w:val="00A1218E"/>
    <w:rsid w:val="00A131C4"/>
    <w:rsid w:val="00A13D3D"/>
    <w:rsid w:val="00A14161"/>
    <w:rsid w:val="00A14AB8"/>
    <w:rsid w:val="00A14EC7"/>
    <w:rsid w:val="00A15E67"/>
    <w:rsid w:val="00A162A6"/>
    <w:rsid w:val="00A169F7"/>
    <w:rsid w:val="00A17D93"/>
    <w:rsid w:val="00A207BA"/>
    <w:rsid w:val="00A20941"/>
    <w:rsid w:val="00A212B1"/>
    <w:rsid w:val="00A213E4"/>
    <w:rsid w:val="00A22659"/>
    <w:rsid w:val="00A22681"/>
    <w:rsid w:val="00A227D8"/>
    <w:rsid w:val="00A230B0"/>
    <w:rsid w:val="00A2353C"/>
    <w:rsid w:val="00A235DD"/>
    <w:rsid w:val="00A23B6D"/>
    <w:rsid w:val="00A256F7"/>
    <w:rsid w:val="00A26106"/>
    <w:rsid w:val="00A26275"/>
    <w:rsid w:val="00A26C1A"/>
    <w:rsid w:val="00A270E0"/>
    <w:rsid w:val="00A27B5A"/>
    <w:rsid w:val="00A3058A"/>
    <w:rsid w:val="00A30E14"/>
    <w:rsid w:val="00A3149C"/>
    <w:rsid w:val="00A31579"/>
    <w:rsid w:val="00A31714"/>
    <w:rsid w:val="00A31BF2"/>
    <w:rsid w:val="00A31D3E"/>
    <w:rsid w:val="00A32085"/>
    <w:rsid w:val="00A32161"/>
    <w:rsid w:val="00A32232"/>
    <w:rsid w:val="00A326F7"/>
    <w:rsid w:val="00A33084"/>
    <w:rsid w:val="00A33191"/>
    <w:rsid w:val="00A335C2"/>
    <w:rsid w:val="00A33709"/>
    <w:rsid w:val="00A337FD"/>
    <w:rsid w:val="00A33887"/>
    <w:rsid w:val="00A33A9A"/>
    <w:rsid w:val="00A33AEC"/>
    <w:rsid w:val="00A33CE6"/>
    <w:rsid w:val="00A33E69"/>
    <w:rsid w:val="00A34D21"/>
    <w:rsid w:val="00A3514A"/>
    <w:rsid w:val="00A35219"/>
    <w:rsid w:val="00A35323"/>
    <w:rsid w:val="00A35731"/>
    <w:rsid w:val="00A35CA3"/>
    <w:rsid w:val="00A35D16"/>
    <w:rsid w:val="00A36F9F"/>
    <w:rsid w:val="00A371F9"/>
    <w:rsid w:val="00A37475"/>
    <w:rsid w:val="00A379FF"/>
    <w:rsid w:val="00A37F60"/>
    <w:rsid w:val="00A40A2E"/>
    <w:rsid w:val="00A40EBE"/>
    <w:rsid w:val="00A418ED"/>
    <w:rsid w:val="00A419E2"/>
    <w:rsid w:val="00A41F4B"/>
    <w:rsid w:val="00A41FDD"/>
    <w:rsid w:val="00A4290F"/>
    <w:rsid w:val="00A42B96"/>
    <w:rsid w:val="00A436C0"/>
    <w:rsid w:val="00A43721"/>
    <w:rsid w:val="00A43BC4"/>
    <w:rsid w:val="00A43D72"/>
    <w:rsid w:val="00A441E5"/>
    <w:rsid w:val="00A442FD"/>
    <w:rsid w:val="00A44A2B"/>
    <w:rsid w:val="00A44E38"/>
    <w:rsid w:val="00A45639"/>
    <w:rsid w:val="00A45918"/>
    <w:rsid w:val="00A45A8A"/>
    <w:rsid w:val="00A4614F"/>
    <w:rsid w:val="00A46E36"/>
    <w:rsid w:val="00A47098"/>
    <w:rsid w:val="00A4713B"/>
    <w:rsid w:val="00A47DE0"/>
    <w:rsid w:val="00A506DC"/>
    <w:rsid w:val="00A507FE"/>
    <w:rsid w:val="00A50A27"/>
    <w:rsid w:val="00A50DF4"/>
    <w:rsid w:val="00A51715"/>
    <w:rsid w:val="00A51C30"/>
    <w:rsid w:val="00A526C9"/>
    <w:rsid w:val="00A52820"/>
    <w:rsid w:val="00A53273"/>
    <w:rsid w:val="00A5347E"/>
    <w:rsid w:val="00A53C56"/>
    <w:rsid w:val="00A540C8"/>
    <w:rsid w:val="00A543EE"/>
    <w:rsid w:val="00A5488D"/>
    <w:rsid w:val="00A5525D"/>
    <w:rsid w:val="00A55538"/>
    <w:rsid w:val="00A55750"/>
    <w:rsid w:val="00A56087"/>
    <w:rsid w:val="00A565FF"/>
    <w:rsid w:val="00A56788"/>
    <w:rsid w:val="00A56FD6"/>
    <w:rsid w:val="00A570EA"/>
    <w:rsid w:val="00A57819"/>
    <w:rsid w:val="00A57C05"/>
    <w:rsid w:val="00A57C82"/>
    <w:rsid w:val="00A57EC8"/>
    <w:rsid w:val="00A6005C"/>
    <w:rsid w:val="00A6009D"/>
    <w:rsid w:val="00A60557"/>
    <w:rsid w:val="00A60D06"/>
    <w:rsid w:val="00A61C1A"/>
    <w:rsid w:val="00A61DA9"/>
    <w:rsid w:val="00A6283C"/>
    <w:rsid w:val="00A62D6B"/>
    <w:rsid w:val="00A6308B"/>
    <w:rsid w:val="00A64EE0"/>
    <w:rsid w:val="00A652F8"/>
    <w:rsid w:val="00A6587E"/>
    <w:rsid w:val="00A6588A"/>
    <w:rsid w:val="00A65B4E"/>
    <w:rsid w:val="00A6642C"/>
    <w:rsid w:val="00A66B5F"/>
    <w:rsid w:val="00A66F46"/>
    <w:rsid w:val="00A67D5C"/>
    <w:rsid w:val="00A70855"/>
    <w:rsid w:val="00A7093F"/>
    <w:rsid w:val="00A71366"/>
    <w:rsid w:val="00A719EF"/>
    <w:rsid w:val="00A71B4C"/>
    <w:rsid w:val="00A71B69"/>
    <w:rsid w:val="00A71E6C"/>
    <w:rsid w:val="00A72241"/>
    <w:rsid w:val="00A723A6"/>
    <w:rsid w:val="00A72641"/>
    <w:rsid w:val="00A72D62"/>
    <w:rsid w:val="00A72DC4"/>
    <w:rsid w:val="00A73147"/>
    <w:rsid w:val="00A73276"/>
    <w:rsid w:val="00A7332F"/>
    <w:rsid w:val="00A73D1F"/>
    <w:rsid w:val="00A7412B"/>
    <w:rsid w:val="00A7427E"/>
    <w:rsid w:val="00A743C7"/>
    <w:rsid w:val="00A7487D"/>
    <w:rsid w:val="00A74D9B"/>
    <w:rsid w:val="00A75042"/>
    <w:rsid w:val="00A758DB"/>
    <w:rsid w:val="00A75BD8"/>
    <w:rsid w:val="00A75F40"/>
    <w:rsid w:val="00A75FBE"/>
    <w:rsid w:val="00A761C5"/>
    <w:rsid w:val="00A7624E"/>
    <w:rsid w:val="00A764F4"/>
    <w:rsid w:val="00A76956"/>
    <w:rsid w:val="00A770AD"/>
    <w:rsid w:val="00A770E0"/>
    <w:rsid w:val="00A77137"/>
    <w:rsid w:val="00A77448"/>
    <w:rsid w:val="00A774F5"/>
    <w:rsid w:val="00A77697"/>
    <w:rsid w:val="00A77745"/>
    <w:rsid w:val="00A779CD"/>
    <w:rsid w:val="00A801C4"/>
    <w:rsid w:val="00A80720"/>
    <w:rsid w:val="00A80917"/>
    <w:rsid w:val="00A818AC"/>
    <w:rsid w:val="00A818F0"/>
    <w:rsid w:val="00A81A66"/>
    <w:rsid w:val="00A81BC7"/>
    <w:rsid w:val="00A81C13"/>
    <w:rsid w:val="00A81D62"/>
    <w:rsid w:val="00A843AE"/>
    <w:rsid w:val="00A8447F"/>
    <w:rsid w:val="00A845DF"/>
    <w:rsid w:val="00A845E5"/>
    <w:rsid w:val="00A84A21"/>
    <w:rsid w:val="00A84BB9"/>
    <w:rsid w:val="00A84C3C"/>
    <w:rsid w:val="00A85455"/>
    <w:rsid w:val="00A8548B"/>
    <w:rsid w:val="00A8647F"/>
    <w:rsid w:val="00A86A6F"/>
    <w:rsid w:val="00A86BD7"/>
    <w:rsid w:val="00A87540"/>
    <w:rsid w:val="00A87BF3"/>
    <w:rsid w:val="00A87C7E"/>
    <w:rsid w:val="00A87F06"/>
    <w:rsid w:val="00A87F58"/>
    <w:rsid w:val="00A9010F"/>
    <w:rsid w:val="00A9038B"/>
    <w:rsid w:val="00A910CB"/>
    <w:rsid w:val="00A91D9F"/>
    <w:rsid w:val="00A91F43"/>
    <w:rsid w:val="00A92983"/>
    <w:rsid w:val="00A931B3"/>
    <w:rsid w:val="00A93B09"/>
    <w:rsid w:val="00A93FAD"/>
    <w:rsid w:val="00A9416E"/>
    <w:rsid w:val="00A94181"/>
    <w:rsid w:val="00A9428A"/>
    <w:rsid w:val="00A94421"/>
    <w:rsid w:val="00A94A98"/>
    <w:rsid w:val="00A94C57"/>
    <w:rsid w:val="00A94FFF"/>
    <w:rsid w:val="00A95610"/>
    <w:rsid w:val="00A959C4"/>
    <w:rsid w:val="00A9623B"/>
    <w:rsid w:val="00A962DF"/>
    <w:rsid w:val="00A966CC"/>
    <w:rsid w:val="00A96C73"/>
    <w:rsid w:val="00A9737C"/>
    <w:rsid w:val="00A97678"/>
    <w:rsid w:val="00A978E9"/>
    <w:rsid w:val="00A9793F"/>
    <w:rsid w:val="00A979A5"/>
    <w:rsid w:val="00A97A0B"/>
    <w:rsid w:val="00A97CFC"/>
    <w:rsid w:val="00AA0102"/>
    <w:rsid w:val="00AA0E5C"/>
    <w:rsid w:val="00AA1044"/>
    <w:rsid w:val="00AA1577"/>
    <w:rsid w:val="00AA2398"/>
    <w:rsid w:val="00AA329D"/>
    <w:rsid w:val="00AA35C8"/>
    <w:rsid w:val="00AA3851"/>
    <w:rsid w:val="00AA3B99"/>
    <w:rsid w:val="00AA40DF"/>
    <w:rsid w:val="00AA441E"/>
    <w:rsid w:val="00AA4BD1"/>
    <w:rsid w:val="00AA4CB3"/>
    <w:rsid w:val="00AA5CB8"/>
    <w:rsid w:val="00AA6504"/>
    <w:rsid w:val="00AA6661"/>
    <w:rsid w:val="00AA756E"/>
    <w:rsid w:val="00AA7742"/>
    <w:rsid w:val="00AA7993"/>
    <w:rsid w:val="00AA7AA1"/>
    <w:rsid w:val="00AA7F45"/>
    <w:rsid w:val="00AB04C1"/>
    <w:rsid w:val="00AB08A9"/>
    <w:rsid w:val="00AB092B"/>
    <w:rsid w:val="00AB1B06"/>
    <w:rsid w:val="00AB1BCB"/>
    <w:rsid w:val="00AB2130"/>
    <w:rsid w:val="00AB23FA"/>
    <w:rsid w:val="00AB2BE1"/>
    <w:rsid w:val="00AB342B"/>
    <w:rsid w:val="00AB36E7"/>
    <w:rsid w:val="00AB3BA5"/>
    <w:rsid w:val="00AB3D44"/>
    <w:rsid w:val="00AB3D87"/>
    <w:rsid w:val="00AB3DA2"/>
    <w:rsid w:val="00AB3EAF"/>
    <w:rsid w:val="00AB42E8"/>
    <w:rsid w:val="00AB4311"/>
    <w:rsid w:val="00AB4B4E"/>
    <w:rsid w:val="00AB4C4D"/>
    <w:rsid w:val="00AB4F3E"/>
    <w:rsid w:val="00AB5189"/>
    <w:rsid w:val="00AB5781"/>
    <w:rsid w:val="00AB578D"/>
    <w:rsid w:val="00AB5AF6"/>
    <w:rsid w:val="00AB5BAF"/>
    <w:rsid w:val="00AB605C"/>
    <w:rsid w:val="00AB6FD5"/>
    <w:rsid w:val="00AB706F"/>
    <w:rsid w:val="00AB7469"/>
    <w:rsid w:val="00AB7570"/>
    <w:rsid w:val="00AB7722"/>
    <w:rsid w:val="00AC06DF"/>
    <w:rsid w:val="00AC071B"/>
    <w:rsid w:val="00AC0758"/>
    <w:rsid w:val="00AC0904"/>
    <w:rsid w:val="00AC1002"/>
    <w:rsid w:val="00AC10E1"/>
    <w:rsid w:val="00AC14C8"/>
    <w:rsid w:val="00AC15E2"/>
    <w:rsid w:val="00AC1C0B"/>
    <w:rsid w:val="00AC2765"/>
    <w:rsid w:val="00AC29EF"/>
    <w:rsid w:val="00AC311B"/>
    <w:rsid w:val="00AC3629"/>
    <w:rsid w:val="00AC4218"/>
    <w:rsid w:val="00AC4293"/>
    <w:rsid w:val="00AC4482"/>
    <w:rsid w:val="00AC4501"/>
    <w:rsid w:val="00AC4904"/>
    <w:rsid w:val="00AC4CC4"/>
    <w:rsid w:val="00AC4DAB"/>
    <w:rsid w:val="00AC5C13"/>
    <w:rsid w:val="00AC64D2"/>
    <w:rsid w:val="00AC652A"/>
    <w:rsid w:val="00AC6FE7"/>
    <w:rsid w:val="00AC7022"/>
    <w:rsid w:val="00AC7BC0"/>
    <w:rsid w:val="00AC7E3E"/>
    <w:rsid w:val="00AD0EEF"/>
    <w:rsid w:val="00AD0FB9"/>
    <w:rsid w:val="00AD1954"/>
    <w:rsid w:val="00AD2250"/>
    <w:rsid w:val="00AD2B75"/>
    <w:rsid w:val="00AD2BCB"/>
    <w:rsid w:val="00AD3081"/>
    <w:rsid w:val="00AD331B"/>
    <w:rsid w:val="00AD3997"/>
    <w:rsid w:val="00AD44C5"/>
    <w:rsid w:val="00AD45C6"/>
    <w:rsid w:val="00AD4EFF"/>
    <w:rsid w:val="00AD5310"/>
    <w:rsid w:val="00AD531A"/>
    <w:rsid w:val="00AD5B14"/>
    <w:rsid w:val="00AD603E"/>
    <w:rsid w:val="00AD6066"/>
    <w:rsid w:val="00AD729F"/>
    <w:rsid w:val="00AD72C6"/>
    <w:rsid w:val="00AD7305"/>
    <w:rsid w:val="00AD7414"/>
    <w:rsid w:val="00AD7ECE"/>
    <w:rsid w:val="00AE01D7"/>
    <w:rsid w:val="00AE01DD"/>
    <w:rsid w:val="00AE0439"/>
    <w:rsid w:val="00AE0D66"/>
    <w:rsid w:val="00AE1B50"/>
    <w:rsid w:val="00AE3057"/>
    <w:rsid w:val="00AE3701"/>
    <w:rsid w:val="00AE3861"/>
    <w:rsid w:val="00AE4448"/>
    <w:rsid w:val="00AE497E"/>
    <w:rsid w:val="00AE4B73"/>
    <w:rsid w:val="00AE4FF5"/>
    <w:rsid w:val="00AE5121"/>
    <w:rsid w:val="00AE5130"/>
    <w:rsid w:val="00AE66F0"/>
    <w:rsid w:val="00AE7653"/>
    <w:rsid w:val="00AE7CED"/>
    <w:rsid w:val="00AF0441"/>
    <w:rsid w:val="00AF050B"/>
    <w:rsid w:val="00AF06AA"/>
    <w:rsid w:val="00AF13BB"/>
    <w:rsid w:val="00AF16D8"/>
    <w:rsid w:val="00AF1995"/>
    <w:rsid w:val="00AF1BC1"/>
    <w:rsid w:val="00AF21AB"/>
    <w:rsid w:val="00AF30FC"/>
    <w:rsid w:val="00AF3114"/>
    <w:rsid w:val="00AF34BE"/>
    <w:rsid w:val="00AF3618"/>
    <w:rsid w:val="00AF363C"/>
    <w:rsid w:val="00AF55CC"/>
    <w:rsid w:val="00AF5AD4"/>
    <w:rsid w:val="00AF5E30"/>
    <w:rsid w:val="00AF6711"/>
    <w:rsid w:val="00AF6B1F"/>
    <w:rsid w:val="00AF6FA9"/>
    <w:rsid w:val="00AF7FB6"/>
    <w:rsid w:val="00B0025F"/>
    <w:rsid w:val="00B003C3"/>
    <w:rsid w:val="00B00519"/>
    <w:rsid w:val="00B00D93"/>
    <w:rsid w:val="00B01721"/>
    <w:rsid w:val="00B01E83"/>
    <w:rsid w:val="00B02048"/>
    <w:rsid w:val="00B024AB"/>
    <w:rsid w:val="00B024CD"/>
    <w:rsid w:val="00B02B09"/>
    <w:rsid w:val="00B02E95"/>
    <w:rsid w:val="00B0337E"/>
    <w:rsid w:val="00B03767"/>
    <w:rsid w:val="00B037CC"/>
    <w:rsid w:val="00B03BC2"/>
    <w:rsid w:val="00B04705"/>
    <w:rsid w:val="00B04C5B"/>
    <w:rsid w:val="00B04D7F"/>
    <w:rsid w:val="00B05747"/>
    <w:rsid w:val="00B059D6"/>
    <w:rsid w:val="00B05D79"/>
    <w:rsid w:val="00B05E26"/>
    <w:rsid w:val="00B05F6B"/>
    <w:rsid w:val="00B05F9D"/>
    <w:rsid w:val="00B06714"/>
    <w:rsid w:val="00B06C12"/>
    <w:rsid w:val="00B071DF"/>
    <w:rsid w:val="00B07441"/>
    <w:rsid w:val="00B07DBA"/>
    <w:rsid w:val="00B07DE1"/>
    <w:rsid w:val="00B100E2"/>
    <w:rsid w:val="00B10143"/>
    <w:rsid w:val="00B10868"/>
    <w:rsid w:val="00B10D62"/>
    <w:rsid w:val="00B114F3"/>
    <w:rsid w:val="00B1178B"/>
    <w:rsid w:val="00B11D14"/>
    <w:rsid w:val="00B11D76"/>
    <w:rsid w:val="00B11DFA"/>
    <w:rsid w:val="00B12501"/>
    <w:rsid w:val="00B12541"/>
    <w:rsid w:val="00B128F4"/>
    <w:rsid w:val="00B12D11"/>
    <w:rsid w:val="00B12FBA"/>
    <w:rsid w:val="00B13B8B"/>
    <w:rsid w:val="00B13E4D"/>
    <w:rsid w:val="00B1462B"/>
    <w:rsid w:val="00B1597B"/>
    <w:rsid w:val="00B15FA6"/>
    <w:rsid w:val="00B164B1"/>
    <w:rsid w:val="00B165E7"/>
    <w:rsid w:val="00B16BD8"/>
    <w:rsid w:val="00B173BD"/>
    <w:rsid w:val="00B1745C"/>
    <w:rsid w:val="00B17626"/>
    <w:rsid w:val="00B17828"/>
    <w:rsid w:val="00B1799B"/>
    <w:rsid w:val="00B17B9F"/>
    <w:rsid w:val="00B17D98"/>
    <w:rsid w:val="00B17DC2"/>
    <w:rsid w:val="00B2011E"/>
    <w:rsid w:val="00B20557"/>
    <w:rsid w:val="00B207A8"/>
    <w:rsid w:val="00B208E0"/>
    <w:rsid w:val="00B218F7"/>
    <w:rsid w:val="00B21E1D"/>
    <w:rsid w:val="00B2214B"/>
    <w:rsid w:val="00B22277"/>
    <w:rsid w:val="00B2234D"/>
    <w:rsid w:val="00B22B79"/>
    <w:rsid w:val="00B23789"/>
    <w:rsid w:val="00B23A5C"/>
    <w:rsid w:val="00B23CD3"/>
    <w:rsid w:val="00B23D8C"/>
    <w:rsid w:val="00B2415B"/>
    <w:rsid w:val="00B2425D"/>
    <w:rsid w:val="00B24373"/>
    <w:rsid w:val="00B24A8F"/>
    <w:rsid w:val="00B25DC6"/>
    <w:rsid w:val="00B25F7F"/>
    <w:rsid w:val="00B268A7"/>
    <w:rsid w:val="00B27111"/>
    <w:rsid w:val="00B27254"/>
    <w:rsid w:val="00B275AE"/>
    <w:rsid w:val="00B2769E"/>
    <w:rsid w:val="00B27861"/>
    <w:rsid w:val="00B2797A"/>
    <w:rsid w:val="00B2798E"/>
    <w:rsid w:val="00B27AFE"/>
    <w:rsid w:val="00B302DD"/>
    <w:rsid w:val="00B30EFC"/>
    <w:rsid w:val="00B3140B"/>
    <w:rsid w:val="00B3208F"/>
    <w:rsid w:val="00B32CF4"/>
    <w:rsid w:val="00B32EA1"/>
    <w:rsid w:val="00B337BD"/>
    <w:rsid w:val="00B339E3"/>
    <w:rsid w:val="00B33B35"/>
    <w:rsid w:val="00B33DCA"/>
    <w:rsid w:val="00B34742"/>
    <w:rsid w:val="00B34EA1"/>
    <w:rsid w:val="00B350D7"/>
    <w:rsid w:val="00B35C94"/>
    <w:rsid w:val="00B35DD8"/>
    <w:rsid w:val="00B36F63"/>
    <w:rsid w:val="00B37207"/>
    <w:rsid w:val="00B3732F"/>
    <w:rsid w:val="00B37558"/>
    <w:rsid w:val="00B3755B"/>
    <w:rsid w:val="00B3772C"/>
    <w:rsid w:val="00B37A40"/>
    <w:rsid w:val="00B37D7D"/>
    <w:rsid w:val="00B37E73"/>
    <w:rsid w:val="00B37F86"/>
    <w:rsid w:val="00B404B1"/>
    <w:rsid w:val="00B40FF6"/>
    <w:rsid w:val="00B410C6"/>
    <w:rsid w:val="00B41223"/>
    <w:rsid w:val="00B4207E"/>
    <w:rsid w:val="00B42C2D"/>
    <w:rsid w:val="00B4310E"/>
    <w:rsid w:val="00B43520"/>
    <w:rsid w:val="00B43648"/>
    <w:rsid w:val="00B4398A"/>
    <w:rsid w:val="00B43D7F"/>
    <w:rsid w:val="00B43DC5"/>
    <w:rsid w:val="00B445E5"/>
    <w:rsid w:val="00B446CC"/>
    <w:rsid w:val="00B448F1"/>
    <w:rsid w:val="00B44E78"/>
    <w:rsid w:val="00B4534A"/>
    <w:rsid w:val="00B453E0"/>
    <w:rsid w:val="00B45411"/>
    <w:rsid w:val="00B45D8D"/>
    <w:rsid w:val="00B467DD"/>
    <w:rsid w:val="00B46B58"/>
    <w:rsid w:val="00B46E9B"/>
    <w:rsid w:val="00B472DB"/>
    <w:rsid w:val="00B47608"/>
    <w:rsid w:val="00B47735"/>
    <w:rsid w:val="00B47A2B"/>
    <w:rsid w:val="00B47B40"/>
    <w:rsid w:val="00B505CA"/>
    <w:rsid w:val="00B50810"/>
    <w:rsid w:val="00B50E27"/>
    <w:rsid w:val="00B51027"/>
    <w:rsid w:val="00B5223B"/>
    <w:rsid w:val="00B523EA"/>
    <w:rsid w:val="00B531B9"/>
    <w:rsid w:val="00B531E6"/>
    <w:rsid w:val="00B534E3"/>
    <w:rsid w:val="00B53552"/>
    <w:rsid w:val="00B53EFB"/>
    <w:rsid w:val="00B5432E"/>
    <w:rsid w:val="00B54806"/>
    <w:rsid w:val="00B54876"/>
    <w:rsid w:val="00B5500C"/>
    <w:rsid w:val="00B550BC"/>
    <w:rsid w:val="00B5582B"/>
    <w:rsid w:val="00B55CD3"/>
    <w:rsid w:val="00B55DD3"/>
    <w:rsid w:val="00B55E7E"/>
    <w:rsid w:val="00B56FBF"/>
    <w:rsid w:val="00B57045"/>
    <w:rsid w:val="00B572BD"/>
    <w:rsid w:val="00B572FB"/>
    <w:rsid w:val="00B575CB"/>
    <w:rsid w:val="00B60DE4"/>
    <w:rsid w:val="00B616D5"/>
    <w:rsid w:val="00B61A36"/>
    <w:rsid w:val="00B61A3F"/>
    <w:rsid w:val="00B61AE8"/>
    <w:rsid w:val="00B62167"/>
    <w:rsid w:val="00B62280"/>
    <w:rsid w:val="00B627A8"/>
    <w:rsid w:val="00B62DCA"/>
    <w:rsid w:val="00B63499"/>
    <w:rsid w:val="00B63991"/>
    <w:rsid w:val="00B640F1"/>
    <w:rsid w:val="00B6422C"/>
    <w:rsid w:val="00B64752"/>
    <w:rsid w:val="00B64B5D"/>
    <w:rsid w:val="00B6517D"/>
    <w:rsid w:val="00B65653"/>
    <w:rsid w:val="00B6612D"/>
    <w:rsid w:val="00B66715"/>
    <w:rsid w:val="00B66C68"/>
    <w:rsid w:val="00B66EE8"/>
    <w:rsid w:val="00B66EEE"/>
    <w:rsid w:val="00B670C0"/>
    <w:rsid w:val="00B67204"/>
    <w:rsid w:val="00B67218"/>
    <w:rsid w:val="00B70B48"/>
    <w:rsid w:val="00B70EF1"/>
    <w:rsid w:val="00B714C3"/>
    <w:rsid w:val="00B714E8"/>
    <w:rsid w:val="00B71534"/>
    <w:rsid w:val="00B71D3B"/>
    <w:rsid w:val="00B71E90"/>
    <w:rsid w:val="00B72ACE"/>
    <w:rsid w:val="00B72BAC"/>
    <w:rsid w:val="00B731A7"/>
    <w:rsid w:val="00B733D1"/>
    <w:rsid w:val="00B734FD"/>
    <w:rsid w:val="00B735C2"/>
    <w:rsid w:val="00B735FD"/>
    <w:rsid w:val="00B73698"/>
    <w:rsid w:val="00B73F2A"/>
    <w:rsid w:val="00B74081"/>
    <w:rsid w:val="00B7503B"/>
    <w:rsid w:val="00B75140"/>
    <w:rsid w:val="00B751F0"/>
    <w:rsid w:val="00B7525C"/>
    <w:rsid w:val="00B75519"/>
    <w:rsid w:val="00B75C97"/>
    <w:rsid w:val="00B7604D"/>
    <w:rsid w:val="00B761D9"/>
    <w:rsid w:val="00B765D7"/>
    <w:rsid w:val="00B768B0"/>
    <w:rsid w:val="00B768C2"/>
    <w:rsid w:val="00B76A30"/>
    <w:rsid w:val="00B76F54"/>
    <w:rsid w:val="00B77127"/>
    <w:rsid w:val="00B7713B"/>
    <w:rsid w:val="00B77218"/>
    <w:rsid w:val="00B77404"/>
    <w:rsid w:val="00B77ADA"/>
    <w:rsid w:val="00B8015A"/>
    <w:rsid w:val="00B80BFD"/>
    <w:rsid w:val="00B80D9B"/>
    <w:rsid w:val="00B81515"/>
    <w:rsid w:val="00B81D11"/>
    <w:rsid w:val="00B81E3C"/>
    <w:rsid w:val="00B8242F"/>
    <w:rsid w:val="00B82669"/>
    <w:rsid w:val="00B82CC5"/>
    <w:rsid w:val="00B82FB1"/>
    <w:rsid w:val="00B83AA0"/>
    <w:rsid w:val="00B83B61"/>
    <w:rsid w:val="00B83D59"/>
    <w:rsid w:val="00B84155"/>
    <w:rsid w:val="00B848E3"/>
    <w:rsid w:val="00B848FA"/>
    <w:rsid w:val="00B8502C"/>
    <w:rsid w:val="00B85591"/>
    <w:rsid w:val="00B8696A"/>
    <w:rsid w:val="00B869BC"/>
    <w:rsid w:val="00B86A0C"/>
    <w:rsid w:val="00B86FCF"/>
    <w:rsid w:val="00B872B9"/>
    <w:rsid w:val="00B875C8"/>
    <w:rsid w:val="00B878B6"/>
    <w:rsid w:val="00B87ED8"/>
    <w:rsid w:val="00B90372"/>
    <w:rsid w:val="00B90629"/>
    <w:rsid w:val="00B90F3B"/>
    <w:rsid w:val="00B9107C"/>
    <w:rsid w:val="00B91610"/>
    <w:rsid w:val="00B919E3"/>
    <w:rsid w:val="00B92268"/>
    <w:rsid w:val="00B92523"/>
    <w:rsid w:val="00B926B9"/>
    <w:rsid w:val="00B929B9"/>
    <w:rsid w:val="00B92B12"/>
    <w:rsid w:val="00B9318B"/>
    <w:rsid w:val="00B93C84"/>
    <w:rsid w:val="00B94C41"/>
    <w:rsid w:val="00B94F64"/>
    <w:rsid w:val="00B958C4"/>
    <w:rsid w:val="00B95E9D"/>
    <w:rsid w:val="00B96147"/>
    <w:rsid w:val="00B969C4"/>
    <w:rsid w:val="00B97D63"/>
    <w:rsid w:val="00B97D8B"/>
    <w:rsid w:val="00BA0156"/>
    <w:rsid w:val="00BA024E"/>
    <w:rsid w:val="00BA0C32"/>
    <w:rsid w:val="00BA0EC0"/>
    <w:rsid w:val="00BA1B79"/>
    <w:rsid w:val="00BA220F"/>
    <w:rsid w:val="00BA2354"/>
    <w:rsid w:val="00BA2AC0"/>
    <w:rsid w:val="00BA3067"/>
    <w:rsid w:val="00BA34EE"/>
    <w:rsid w:val="00BA352A"/>
    <w:rsid w:val="00BA399A"/>
    <w:rsid w:val="00BA3ED1"/>
    <w:rsid w:val="00BA3F57"/>
    <w:rsid w:val="00BA3F74"/>
    <w:rsid w:val="00BA4CA8"/>
    <w:rsid w:val="00BA5068"/>
    <w:rsid w:val="00BA5906"/>
    <w:rsid w:val="00BA5CEE"/>
    <w:rsid w:val="00BA5E09"/>
    <w:rsid w:val="00BA611A"/>
    <w:rsid w:val="00BA61A2"/>
    <w:rsid w:val="00BA6262"/>
    <w:rsid w:val="00BA6511"/>
    <w:rsid w:val="00BA66BF"/>
    <w:rsid w:val="00BA68E2"/>
    <w:rsid w:val="00BA6BDD"/>
    <w:rsid w:val="00BA74EC"/>
    <w:rsid w:val="00BA7B7A"/>
    <w:rsid w:val="00BB02A7"/>
    <w:rsid w:val="00BB0576"/>
    <w:rsid w:val="00BB06D6"/>
    <w:rsid w:val="00BB1340"/>
    <w:rsid w:val="00BB1D3E"/>
    <w:rsid w:val="00BB2290"/>
    <w:rsid w:val="00BB2411"/>
    <w:rsid w:val="00BB24BC"/>
    <w:rsid w:val="00BB2AF4"/>
    <w:rsid w:val="00BB2E07"/>
    <w:rsid w:val="00BB3A88"/>
    <w:rsid w:val="00BB3C2A"/>
    <w:rsid w:val="00BB3C56"/>
    <w:rsid w:val="00BB3C67"/>
    <w:rsid w:val="00BB4270"/>
    <w:rsid w:val="00BB44A7"/>
    <w:rsid w:val="00BB44B4"/>
    <w:rsid w:val="00BB48E1"/>
    <w:rsid w:val="00BB5202"/>
    <w:rsid w:val="00BB540F"/>
    <w:rsid w:val="00BB5822"/>
    <w:rsid w:val="00BB5891"/>
    <w:rsid w:val="00BB6076"/>
    <w:rsid w:val="00BB651D"/>
    <w:rsid w:val="00BB660C"/>
    <w:rsid w:val="00BB6D81"/>
    <w:rsid w:val="00BB7439"/>
    <w:rsid w:val="00BB7924"/>
    <w:rsid w:val="00BC036A"/>
    <w:rsid w:val="00BC050A"/>
    <w:rsid w:val="00BC07D1"/>
    <w:rsid w:val="00BC0B70"/>
    <w:rsid w:val="00BC0F41"/>
    <w:rsid w:val="00BC1489"/>
    <w:rsid w:val="00BC17DB"/>
    <w:rsid w:val="00BC1A34"/>
    <w:rsid w:val="00BC1E67"/>
    <w:rsid w:val="00BC218A"/>
    <w:rsid w:val="00BC2AF3"/>
    <w:rsid w:val="00BC3083"/>
    <w:rsid w:val="00BC3091"/>
    <w:rsid w:val="00BC30AE"/>
    <w:rsid w:val="00BC380C"/>
    <w:rsid w:val="00BC450E"/>
    <w:rsid w:val="00BC4874"/>
    <w:rsid w:val="00BC5308"/>
    <w:rsid w:val="00BC5FB0"/>
    <w:rsid w:val="00BC61CF"/>
    <w:rsid w:val="00BC6602"/>
    <w:rsid w:val="00BC69C6"/>
    <w:rsid w:val="00BC6BA1"/>
    <w:rsid w:val="00BC6CCD"/>
    <w:rsid w:val="00BC77E1"/>
    <w:rsid w:val="00BC7A8A"/>
    <w:rsid w:val="00BD0140"/>
    <w:rsid w:val="00BD042B"/>
    <w:rsid w:val="00BD25C1"/>
    <w:rsid w:val="00BD286F"/>
    <w:rsid w:val="00BD2940"/>
    <w:rsid w:val="00BD2EB7"/>
    <w:rsid w:val="00BD3E22"/>
    <w:rsid w:val="00BD4A0B"/>
    <w:rsid w:val="00BD4B47"/>
    <w:rsid w:val="00BD4CA5"/>
    <w:rsid w:val="00BD53AC"/>
    <w:rsid w:val="00BD5626"/>
    <w:rsid w:val="00BD64B0"/>
    <w:rsid w:val="00BD718F"/>
    <w:rsid w:val="00BD7314"/>
    <w:rsid w:val="00BD75BE"/>
    <w:rsid w:val="00BD7BF4"/>
    <w:rsid w:val="00BD7F1A"/>
    <w:rsid w:val="00BE04AF"/>
    <w:rsid w:val="00BE05FF"/>
    <w:rsid w:val="00BE0737"/>
    <w:rsid w:val="00BE0813"/>
    <w:rsid w:val="00BE0AE1"/>
    <w:rsid w:val="00BE0DED"/>
    <w:rsid w:val="00BE0E83"/>
    <w:rsid w:val="00BE22DE"/>
    <w:rsid w:val="00BE2BF6"/>
    <w:rsid w:val="00BE2DC7"/>
    <w:rsid w:val="00BE3575"/>
    <w:rsid w:val="00BE3B6E"/>
    <w:rsid w:val="00BE4524"/>
    <w:rsid w:val="00BE5861"/>
    <w:rsid w:val="00BE586C"/>
    <w:rsid w:val="00BE5876"/>
    <w:rsid w:val="00BE596E"/>
    <w:rsid w:val="00BE5B7F"/>
    <w:rsid w:val="00BE5D71"/>
    <w:rsid w:val="00BE5E6D"/>
    <w:rsid w:val="00BE6283"/>
    <w:rsid w:val="00BE63F1"/>
    <w:rsid w:val="00BE68A4"/>
    <w:rsid w:val="00BE713C"/>
    <w:rsid w:val="00BE757B"/>
    <w:rsid w:val="00BE7FC1"/>
    <w:rsid w:val="00BF00C9"/>
    <w:rsid w:val="00BF145E"/>
    <w:rsid w:val="00BF1559"/>
    <w:rsid w:val="00BF173C"/>
    <w:rsid w:val="00BF1916"/>
    <w:rsid w:val="00BF198B"/>
    <w:rsid w:val="00BF1CEF"/>
    <w:rsid w:val="00BF1D1B"/>
    <w:rsid w:val="00BF1FE6"/>
    <w:rsid w:val="00BF208C"/>
    <w:rsid w:val="00BF224D"/>
    <w:rsid w:val="00BF28E5"/>
    <w:rsid w:val="00BF2E22"/>
    <w:rsid w:val="00BF32E2"/>
    <w:rsid w:val="00BF3D27"/>
    <w:rsid w:val="00BF4066"/>
    <w:rsid w:val="00BF4351"/>
    <w:rsid w:val="00BF487B"/>
    <w:rsid w:val="00BF48AF"/>
    <w:rsid w:val="00BF4A90"/>
    <w:rsid w:val="00BF4E50"/>
    <w:rsid w:val="00BF50A9"/>
    <w:rsid w:val="00BF56F7"/>
    <w:rsid w:val="00BF5ACF"/>
    <w:rsid w:val="00BF5D64"/>
    <w:rsid w:val="00BF63B3"/>
    <w:rsid w:val="00BF63B5"/>
    <w:rsid w:val="00BF6D4A"/>
    <w:rsid w:val="00BF6D69"/>
    <w:rsid w:val="00BF734C"/>
    <w:rsid w:val="00BF7531"/>
    <w:rsid w:val="00BF79F2"/>
    <w:rsid w:val="00BF7FB4"/>
    <w:rsid w:val="00C0016F"/>
    <w:rsid w:val="00C0025C"/>
    <w:rsid w:val="00C002F0"/>
    <w:rsid w:val="00C00311"/>
    <w:rsid w:val="00C006B5"/>
    <w:rsid w:val="00C008CB"/>
    <w:rsid w:val="00C00C6F"/>
    <w:rsid w:val="00C01025"/>
    <w:rsid w:val="00C01C7D"/>
    <w:rsid w:val="00C022FA"/>
    <w:rsid w:val="00C0341E"/>
    <w:rsid w:val="00C0387C"/>
    <w:rsid w:val="00C03D6C"/>
    <w:rsid w:val="00C04DB0"/>
    <w:rsid w:val="00C05197"/>
    <w:rsid w:val="00C057BC"/>
    <w:rsid w:val="00C06143"/>
    <w:rsid w:val="00C061B7"/>
    <w:rsid w:val="00C062A5"/>
    <w:rsid w:val="00C064D3"/>
    <w:rsid w:val="00C06630"/>
    <w:rsid w:val="00C07997"/>
    <w:rsid w:val="00C109E6"/>
    <w:rsid w:val="00C11010"/>
    <w:rsid w:val="00C11180"/>
    <w:rsid w:val="00C111DC"/>
    <w:rsid w:val="00C120A6"/>
    <w:rsid w:val="00C12429"/>
    <w:rsid w:val="00C124A5"/>
    <w:rsid w:val="00C124BF"/>
    <w:rsid w:val="00C1256C"/>
    <w:rsid w:val="00C12B0B"/>
    <w:rsid w:val="00C1306E"/>
    <w:rsid w:val="00C134D1"/>
    <w:rsid w:val="00C138FD"/>
    <w:rsid w:val="00C13C95"/>
    <w:rsid w:val="00C1427C"/>
    <w:rsid w:val="00C14B7C"/>
    <w:rsid w:val="00C14E4F"/>
    <w:rsid w:val="00C14E93"/>
    <w:rsid w:val="00C14F0E"/>
    <w:rsid w:val="00C159D5"/>
    <w:rsid w:val="00C15CC9"/>
    <w:rsid w:val="00C15FBB"/>
    <w:rsid w:val="00C160BD"/>
    <w:rsid w:val="00C167F1"/>
    <w:rsid w:val="00C168A7"/>
    <w:rsid w:val="00C16989"/>
    <w:rsid w:val="00C16E3F"/>
    <w:rsid w:val="00C1799B"/>
    <w:rsid w:val="00C17CED"/>
    <w:rsid w:val="00C17E7B"/>
    <w:rsid w:val="00C20A43"/>
    <w:rsid w:val="00C20D3A"/>
    <w:rsid w:val="00C20EB3"/>
    <w:rsid w:val="00C22ED8"/>
    <w:rsid w:val="00C23136"/>
    <w:rsid w:val="00C231CA"/>
    <w:rsid w:val="00C23935"/>
    <w:rsid w:val="00C23C44"/>
    <w:rsid w:val="00C23C7A"/>
    <w:rsid w:val="00C23CFF"/>
    <w:rsid w:val="00C24310"/>
    <w:rsid w:val="00C24392"/>
    <w:rsid w:val="00C246F5"/>
    <w:rsid w:val="00C24B21"/>
    <w:rsid w:val="00C250FB"/>
    <w:rsid w:val="00C256F9"/>
    <w:rsid w:val="00C25EDB"/>
    <w:rsid w:val="00C2680B"/>
    <w:rsid w:val="00C26E90"/>
    <w:rsid w:val="00C27197"/>
    <w:rsid w:val="00C27307"/>
    <w:rsid w:val="00C277C2"/>
    <w:rsid w:val="00C279C6"/>
    <w:rsid w:val="00C303D6"/>
    <w:rsid w:val="00C30B30"/>
    <w:rsid w:val="00C3132B"/>
    <w:rsid w:val="00C31A6C"/>
    <w:rsid w:val="00C32857"/>
    <w:rsid w:val="00C32F41"/>
    <w:rsid w:val="00C336C2"/>
    <w:rsid w:val="00C33D46"/>
    <w:rsid w:val="00C33DDD"/>
    <w:rsid w:val="00C33F24"/>
    <w:rsid w:val="00C34273"/>
    <w:rsid w:val="00C3472D"/>
    <w:rsid w:val="00C34A8E"/>
    <w:rsid w:val="00C34D5E"/>
    <w:rsid w:val="00C36085"/>
    <w:rsid w:val="00C360AF"/>
    <w:rsid w:val="00C365CF"/>
    <w:rsid w:val="00C3696D"/>
    <w:rsid w:val="00C36CAA"/>
    <w:rsid w:val="00C36D66"/>
    <w:rsid w:val="00C36F2A"/>
    <w:rsid w:val="00C37364"/>
    <w:rsid w:val="00C37B49"/>
    <w:rsid w:val="00C37E72"/>
    <w:rsid w:val="00C40222"/>
    <w:rsid w:val="00C4035C"/>
    <w:rsid w:val="00C4060C"/>
    <w:rsid w:val="00C4085E"/>
    <w:rsid w:val="00C409F4"/>
    <w:rsid w:val="00C40A26"/>
    <w:rsid w:val="00C41704"/>
    <w:rsid w:val="00C41B17"/>
    <w:rsid w:val="00C41C3A"/>
    <w:rsid w:val="00C4214C"/>
    <w:rsid w:val="00C423AB"/>
    <w:rsid w:val="00C42E6B"/>
    <w:rsid w:val="00C4360C"/>
    <w:rsid w:val="00C439E5"/>
    <w:rsid w:val="00C442E4"/>
    <w:rsid w:val="00C443ED"/>
    <w:rsid w:val="00C44ACE"/>
    <w:rsid w:val="00C44C3C"/>
    <w:rsid w:val="00C44DC5"/>
    <w:rsid w:val="00C452E2"/>
    <w:rsid w:val="00C4551D"/>
    <w:rsid w:val="00C45879"/>
    <w:rsid w:val="00C45A4B"/>
    <w:rsid w:val="00C45EF7"/>
    <w:rsid w:val="00C462F1"/>
    <w:rsid w:val="00C46315"/>
    <w:rsid w:val="00C463A5"/>
    <w:rsid w:val="00C4666A"/>
    <w:rsid w:val="00C467E5"/>
    <w:rsid w:val="00C470B0"/>
    <w:rsid w:val="00C472C7"/>
    <w:rsid w:val="00C473DF"/>
    <w:rsid w:val="00C47481"/>
    <w:rsid w:val="00C476E4"/>
    <w:rsid w:val="00C478A8"/>
    <w:rsid w:val="00C47911"/>
    <w:rsid w:val="00C47C7A"/>
    <w:rsid w:val="00C50930"/>
    <w:rsid w:val="00C5098B"/>
    <w:rsid w:val="00C50E12"/>
    <w:rsid w:val="00C5189B"/>
    <w:rsid w:val="00C51EDA"/>
    <w:rsid w:val="00C51F63"/>
    <w:rsid w:val="00C5208F"/>
    <w:rsid w:val="00C529D9"/>
    <w:rsid w:val="00C53EE3"/>
    <w:rsid w:val="00C54DD0"/>
    <w:rsid w:val="00C553FA"/>
    <w:rsid w:val="00C560B4"/>
    <w:rsid w:val="00C568BA"/>
    <w:rsid w:val="00C56BEE"/>
    <w:rsid w:val="00C56EBB"/>
    <w:rsid w:val="00C56F39"/>
    <w:rsid w:val="00C5752E"/>
    <w:rsid w:val="00C601F8"/>
    <w:rsid w:val="00C6067A"/>
    <w:rsid w:val="00C61874"/>
    <w:rsid w:val="00C618B8"/>
    <w:rsid w:val="00C6190B"/>
    <w:rsid w:val="00C619A0"/>
    <w:rsid w:val="00C61DBE"/>
    <w:rsid w:val="00C61FDA"/>
    <w:rsid w:val="00C6294B"/>
    <w:rsid w:val="00C62ACA"/>
    <w:rsid w:val="00C639D7"/>
    <w:rsid w:val="00C643B7"/>
    <w:rsid w:val="00C65122"/>
    <w:rsid w:val="00C659C5"/>
    <w:rsid w:val="00C65CD1"/>
    <w:rsid w:val="00C66A75"/>
    <w:rsid w:val="00C6716B"/>
    <w:rsid w:val="00C6750C"/>
    <w:rsid w:val="00C67E63"/>
    <w:rsid w:val="00C67FCB"/>
    <w:rsid w:val="00C70445"/>
    <w:rsid w:val="00C709E0"/>
    <w:rsid w:val="00C70D8C"/>
    <w:rsid w:val="00C70D91"/>
    <w:rsid w:val="00C71132"/>
    <w:rsid w:val="00C711A7"/>
    <w:rsid w:val="00C71260"/>
    <w:rsid w:val="00C71362"/>
    <w:rsid w:val="00C71998"/>
    <w:rsid w:val="00C71BDD"/>
    <w:rsid w:val="00C720CA"/>
    <w:rsid w:val="00C7262D"/>
    <w:rsid w:val="00C730E8"/>
    <w:rsid w:val="00C732CC"/>
    <w:rsid w:val="00C73735"/>
    <w:rsid w:val="00C73C63"/>
    <w:rsid w:val="00C73DE8"/>
    <w:rsid w:val="00C743C5"/>
    <w:rsid w:val="00C7468F"/>
    <w:rsid w:val="00C75066"/>
    <w:rsid w:val="00C751B4"/>
    <w:rsid w:val="00C75836"/>
    <w:rsid w:val="00C75A4F"/>
    <w:rsid w:val="00C75CBE"/>
    <w:rsid w:val="00C7642C"/>
    <w:rsid w:val="00C76613"/>
    <w:rsid w:val="00C76668"/>
    <w:rsid w:val="00C76A27"/>
    <w:rsid w:val="00C777DF"/>
    <w:rsid w:val="00C77922"/>
    <w:rsid w:val="00C77B8A"/>
    <w:rsid w:val="00C802A3"/>
    <w:rsid w:val="00C805E5"/>
    <w:rsid w:val="00C806E0"/>
    <w:rsid w:val="00C80E04"/>
    <w:rsid w:val="00C8130A"/>
    <w:rsid w:val="00C8161A"/>
    <w:rsid w:val="00C81AE4"/>
    <w:rsid w:val="00C81FDA"/>
    <w:rsid w:val="00C82392"/>
    <w:rsid w:val="00C82460"/>
    <w:rsid w:val="00C82BDE"/>
    <w:rsid w:val="00C82DC3"/>
    <w:rsid w:val="00C834D4"/>
    <w:rsid w:val="00C83669"/>
    <w:rsid w:val="00C83BBD"/>
    <w:rsid w:val="00C8425F"/>
    <w:rsid w:val="00C84B02"/>
    <w:rsid w:val="00C84DEA"/>
    <w:rsid w:val="00C85665"/>
    <w:rsid w:val="00C85F90"/>
    <w:rsid w:val="00C86028"/>
    <w:rsid w:val="00C86213"/>
    <w:rsid w:val="00C863AD"/>
    <w:rsid w:val="00C877A7"/>
    <w:rsid w:val="00C877FF"/>
    <w:rsid w:val="00C87B8C"/>
    <w:rsid w:val="00C87BA3"/>
    <w:rsid w:val="00C906B0"/>
    <w:rsid w:val="00C9099B"/>
    <w:rsid w:val="00C90E64"/>
    <w:rsid w:val="00C911D1"/>
    <w:rsid w:val="00C911EE"/>
    <w:rsid w:val="00C9144C"/>
    <w:rsid w:val="00C91CD9"/>
    <w:rsid w:val="00C920A6"/>
    <w:rsid w:val="00C92293"/>
    <w:rsid w:val="00C92848"/>
    <w:rsid w:val="00C92D07"/>
    <w:rsid w:val="00C948A1"/>
    <w:rsid w:val="00C94BCD"/>
    <w:rsid w:val="00C94CE2"/>
    <w:rsid w:val="00C94D44"/>
    <w:rsid w:val="00C9512A"/>
    <w:rsid w:val="00C954CD"/>
    <w:rsid w:val="00C958F1"/>
    <w:rsid w:val="00C96BCC"/>
    <w:rsid w:val="00C97349"/>
    <w:rsid w:val="00C9755B"/>
    <w:rsid w:val="00C97AA2"/>
    <w:rsid w:val="00CA01A9"/>
    <w:rsid w:val="00CA05B3"/>
    <w:rsid w:val="00CA06B7"/>
    <w:rsid w:val="00CA09DF"/>
    <w:rsid w:val="00CA0BE2"/>
    <w:rsid w:val="00CA0DB2"/>
    <w:rsid w:val="00CA0F5E"/>
    <w:rsid w:val="00CA0FE4"/>
    <w:rsid w:val="00CA1835"/>
    <w:rsid w:val="00CA1CD2"/>
    <w:rsid w:val="00CA1F02"/>
    <w:rsid w:val="00CA253F"/>
    <w:rsid w:val="00CA2AB8"/>
    <w:rsid w:val="00CA2CC7"/>
    <w:rsid w:val="00CA357D"/>
    <w:rsid w:val="00CA3CFD"/>
    <w:rsid w:val="00CA42A8"/>
    <w:rsid w:val="00CA4769"/>
    <w:rsid w:val="00CA4BCC"/>
    <w:rsid w:val="00CA4E2A"/>
    <w:rsid w:val="00CA4F4D"/>
    <w:rsid w:val="00CA6862"/>
    <w:rsid w:val="00CA74B0"/>
    <w:rsid w:val="00CA7658"/>
    <w:rsid w:val="00CA7682"/>
    <w:rsid w:val="00CA7851"/>
    <w:rsid w:val="00CA7855"/>
    <w:rsid w:val="00CA7DFA"/>
    <w:rsid w:val="00CB0160"/>
    <w:rsid w:val="00CB01EF"/>
    <w:rsid w:val="00CB033C"/>
    <w:rsid w:val="00CB07FB"/>
    <w:rsid w:val="00CB0E0B"/>
    <w:rsid w:val="00CB11B0"/>
    <w:rsid w:val="00CB1409"/>
    <w:rsid w:val="00CB1473"/>
    <w:rsid w:val="00CB17FD"/>
    <w:rsid w:val="00CB184D"/>
    <w:rsid w:val="00CB1C14"/>
    <w:rsid w:val="00CB1C2A"/>
    <w:rsid w:val="00CB33EA"/>
    <w:rsid w:val="00CB3797"/>
    <w:rsid w:val="00CB3BD7"/>
    <w:rsid w:val="00CB3BF7"/>
    <w:rsid w:val="00CB5568"/>
    <w:rsid w:val="00CB5757"/>
    <w:rsid w:val="00CB5C97"/>
    <w:rsid w:val="00CB63E1"/>
    <w:rsid w:val="00CB6768"/>
    <w:rsid w:val="00CB68C1"/>
    <w:rsid w:val="00CB68FA"/>
    <w:rsid w:val="00CB7483"/>
    <w:rsid w:val="00CB762C"/>
    <w:rsid w:val="00CB7925"/>
    <w:rsid w:val="00CB7B7E"/>
    <w:rsid w:val="00CB7C01"/>
    <w:rsid w:val="00CC0066"/>
    <w:rsid w:val="00CC1B85"/>
    <w:rsid w:val="00CC1D96"/>
    <w:rsid w:val="00CC3341"/>
    <w:rsid w:val="00CC36EB"/>
    <w:rsid w:val="00CC456B"/>
    <w:rsid w:val="00CC4577"/>
    <w:rsid w:val="00CC4715"/>
    <w:rsid w:val="00CC4940"/>
    <w:rsid w:val="00CC495D"/>
    <w:rsid w:val="00CC5811"/>
    <w:rsid w:val="00CC5A0F"/>
    <w:rsid w:val="00CC5BAC"/>
    <w:rsid w:val="00CC5E7C"/>
    <w:rsid w:val="00CC6164"/>
    <w:rsid w:val="00CC69C1"/>
    <w:rsid w:val="00CC6FF3"/>
    <w:rsid w:val="00CC7541"/>
    <w:rsid w:val="00CD0118"/>
    <w:rsid w:val="00CD02A1"/>
    <w:rsid w:val="00CD098C"/>
    <w:rsid w:val="00CD0E15"/>
    <w:rsid w:val="00CD10EC"/>
    <w:rsid w:val="00CD145E"/>
    <w:rsid w:val="00CD1F68"/>
    <w:rsid w:val="00CD2C79"/>
    <w:rsid w:val="00CD33BC"/>
    <w:rsid w:val="00CD3672"/>
    <w:rsid w:val="00CD36C5"/>
    <w:rsid w:val="00CD381C"/>
    <w:rsid w:val="00CD4130"/>
    <w:rsid w:val="00CD42BC"/>
    <w:rsid w:val="00CD4463"/>
    <w:rsid w:val="00CD4823"/>
    <w:rsid w:val="00CD4A6B"/>
    <w:rsid w:val="00CD4F08"/>
    <w:rsid w:val="00CD5946"/>
    <w:rsid w:val="00CD5DEE"/>
    <w:rsid w:val="00CD69A3"/>
    <w:rsid w:val="00CD6C17"/>
    <w:rsid w:val="00CD6E19"/>
    <w:rsid w:val="00CD7A7E"/>
    <w:rsid w:val="00CD7BFB"/>
    <w:rsid w:val="00CD7DC0"/>
    <w:rsid w:val="00CE00B9"/>
    <w:rsid w:val="00CE039A"/>
    <w:rsid w:val="00CE073A"/>
    <w:rsid w:val="00CE0F6B"/>
    <w:rsid w:val="00CE1130"/>
    <w:rsid w:val="00CE1612"/>
    <w:rsid w:val="00CE1769"/>
    <w:rsid w:val="00CE23F7"/>
    <w:rsid w:val="00CE2544"/>
    <w:rsid w:val="00CE335D"/>
    <w:rsid w:val="00CE33CF"/>
    <w:rsid w:val="00CE39E0"/>
    <w:rsid w:val="00CE515F"/>
    <w:rsid w:val="00CE55F1"/>
    <w:rsid w:val="00CE5741"/>
    <w:rsid w:val="00CE5A69"/>
    <w:rsid w:val="00CE5B4D"/>
    <w:rsid w:val="00CE5F9E"/>
    <w:rsid w:val="00CE6181"/>
    <w:rsid w:val="00CE63BD"/>
    <w:rsid w:val="00CE6781"/>
    <w:rsid w:val="00CE6845"/>
    <w:rsid w:val="00CE6CAE"/>
    <w:rsid w:val="00CE6F75"/>
    <w:rsid w:val="00CF0059"/>
    <w:rsid w:val="00CF0C4F"/>
    <w:rsid w:val="00CF0DEB"/>
    <w:rsid w:val="00CF110C"/>
    <w:rsid w:val="00CF1EC6"/>
    <w:rsid w:val="00CF2044"/>
    <w:rsid w:val="00CF2050"/>
    <w:rsid w:val="00CF2525"/>
    <w:rsid w:val="00CF2658"/>
    <w:rsid w:val="00CF29C6"/>
    <w:rsid w:val="00CF2D47"/>
    <w:rsid w:val="00CF35EF"/>
    <w:rsid w:val="00CF3D4D"/>
    <w:rsid w:val="00CF3EBA"/>
    <w:rsid w:val="00CF4027"/>
    <w:rsid w:val="00CF4048"/>
    <w:rsid w:val="00CF4DB4"/>
    <w:rsid w:val="00CF5FED"/>
    <w:rsid w:val="00CF608C"/>
    <w:rsid w:val="00CF6357"/>
    <w:rsid w:val="00CF63FE"/>
    <w:rsid w:val="00CF64CD"/>
    <w:rsid w:val="00CF652B"/>
    <w:rsid w:val="00CF66E4"/>
    <w:rsid w:val="00CF6E3D"/>
    <w:rsid w:val="00CF6E9C"/>
    <w:rsid w:val="00CF6F7F"/>
    <w:rsid w:val="00CF6F89"/>
    <w:rsid w:val="00CF702D"/>
    <w:rsid w:val="00CF7160"/>
    <w:rsid w:val="00CF76A6"/>
    <w:rsid w:val="00CF7ECF"/>
    <w:rsid w:val="00D001A8"/>
    <w:rsid w:val="00D00383"/>
    <w:rsid w:val="00D01296"/>
    <w:rsid w:val="00D019E2"/>
    <w:rsid w:val="00D01D8F"/>
    <w:rsid w:val="00D02066"/>
    <w:rsid w:val="00D025FA"/>
    <w:rsid w:val="00D0273D"/>
    <w:rsid w:val="00D02A17"/>
    <w:rsid w:val="00D02B18"/>
    <w:rsid w:val="00D02C8D"/>
    <w:rsid w:val="00D03445"/>
    <w:rsid w:val="00D03B5D"/>
    <w:rsid w:val="00D03C49"/>
    <w:rsid w:val="00D04011"/>
    <w:rsid w:val="00D0427C"/>
    <w:rsid w:val="00D04646"/>
    <w:rsid w:val="00D04CB1"/>
    <w:rsid w:val="00D04FCD"/>
    <w:rsid w:val="00D05146"/>
    <w:rsid w:val="00D0517F"/>
    <w:rsid w:val="00D05782"/>
    <w:rsid w:val="00D05959"/>
    <w:rsid w:val="00D062FF"/>
    <w:rsid w:val="00D06CF5"/>
    <w:rsid w:val="00D0765E"/>
    <w:rsid w:val="00D07AC4"/>
    <w:rsid w:val="00D10022"/>
    <w:rsid w:val="00D10093"/>
    <w:rsid w:val="00D1009E"/>
    <w:rsid w:val="00D10191"/>
    <w:rsid w:val="00D10219"/>
    <w:rsid w:val="00D1059B"/>
    <w:rsid w:val="00D1073F"/>
    <w:rsid w:val="00D10D54"/>
    <w:rsid w:val="00D10E82"/>
    <w:rsid w:val="00D11D72"/>
    <w:rsid w:val="00D12355"/>
    <w:rsid w:val="00D1280B"/>
    <w:rsid w:val="00D12A50"/>
    <w:rsid w:val="00D12C90"/>
    <w:rsid w:val="00D1336E"/>
    <w:rsid w:val="00D13B18"/>
    <w:rsid w:val="00D14090"/>
    <w:rsid w:val="00D1460F"/>
    <w:rsid w:val="00D14D75"/>
    <w:rsid w:val="00D1512A"/>
    <w:rsid w:val="00D1518D"/>
    <w:rsid w:val="00D158A2"/>
    <w:rsid w:val="00D16637"/>
    <w:rsid w:val="00D16EF0"/>
    <w:rsid w:val="00D17440"/>
    <w:rsid w:val="00D175FF"/>
    <w:rsid w:val="00D20498"/>
    <w:rsid w:val="00D20C46"/>
    <w:rsid w:val="00D20DCA"/>
    <w:rsid w:val="00D21053"/>
    <w:rsid w:val="00D21BE1"/>
    <w:rsid w:val="00D21EC8"/>
    <w:rsid w:val="00D225BE"/>
    <w:rsid w:val="00D22707"/>
    <w:rsid w:val="00D22B24"/>
    <w:rsid w:val="00D22D88"/>
    <w:rsid w:val="00D22E53"/>
    <w:rsid w:val="00D22F07"/>
    <w:rsid w:val="00D2309B"/>
    <w:rsid w:val="00D23900"/>
    <w:rsid w:val="00D24275"/>
    <w:rsid w:val="00D247ED"/>
    <w:rsid w:val="00D252F3"/>
    <w:rsid w:val="00D254B4"/>
    <w:rsid w:val="00D25A82"/>
    <w:rsid w:val="00D2659D"/>
    <w:rsid w:val="00D26973"/>
    <w:rsid w:val="00D26AA2"/>
    <w:rsid w:val="00D26D17"/>
    <w:rsid w:val="00D278F2"/>
    <w:rsid w:val="00D27E32"/>
    <w:rsid w:val="00D30CF6"/>
    <w:rsid w:val="00D3130C"/>
    <w:rsid w:val="00D31319"/>
    <w:rsid w:val="00D31479"/>
    <w:rsid w:val="00D31EFE"/>
    <w:rsid w:val="00D3232C"/>
    <w:rsid w:val="00D32432"/>
    <w:rsid w:val="00D32EA1"/>
    <w:rsid w:val="00D333A8"/>
    <w:rsid w:val="00D33514"/>
    <w:rsid w:val="00D33AE0"/>
    <w:rsid w:val="00D33D78"/>
    <w:rsid w:val="00D33EF4"/>
    <w:rsid w:val="00D33F8B"/>
    <w:rsid w:val="00D33FE1"/>
    <w:rsid w:val="00D34559"/>
    <w:rsid w:val="00D3465B"/>
    <w:rsid w:val="00D347B8"/>
    <w:rsid w:val="00D3540C"/>
    <w:rsid w:val="00D354E1"/>
    <w:rsid w:val="00D355BD"/>
    <w:rsid w:val="00D358A3"/>
    <w:rsid w:val="00D35EC8"/>
    <w:rsid w:val="00D36D64"/>
    <w:rsid w:val="00D37441"/>
    <w:rsid w:val="00D37660"/>
    <w:rsid w:val="00D37717"/>
    <w:rsid w:val="00D377EE"/>
    <w:rsid w:val="00D379EA"/>
    <w:rsid w:val="00D40AE1"/>
    <w:rsid w:val="00D41BC9"/>
    <w:rsid w:val="00D42221"/>
    <w:rsid w:val="00D425BD"/>
    <w:rsid w:val="00D42779"/>
    <w:rsid w:val="00D42961"/>
    <w:rsid w:val="00D432C4"/>
    <w:rsid w:val="00D43D8B"/>
    <w:rsid w:val="00D44258"/>
    <w:rsid w:val="00D44ECF"/>
    <w:rsid w:val="00D44F6B"/>
    <w:rsid w:val="00D457CD"/>
    <w:rsid w:val="00D459B2"/>
    <w:rsid w:val="00D459D7"/>
    <w:rsid w:val="00D45BD9"/>
    <w:rsid w:val="00D47932"/>
    <w:rsid w:val="00D50A1F"/>
    <w:rsid w:val="00D50C84"/>
    <w:rsid w:val="00D50FB9"/>
    <w:rsid w:val="00D5100C"/>
    <w:rsid w:val="00D511D9"/>
    <w:rsid w:val="00D5180E"/>
    <w:rsid w:val="00D51E7F"/>
    <w:rsid w:val="00D523F4"/>
    <w:rsid w:val="00D5277D"/>
    <w:rsid w:val="00D532B0"/>
    <w:rsid w:val="00D533DC"/>
    <w:rsid w:val="00D53C7D"/>
    <w:rsid w:val="00D54166"/>
    <w:rsid w:val="00D545B7"/>
    <w:rsid w:val="00D545D9"/>
    <w:rsid w:val="00D5530B"/>
    <w:rsid w:val="00D5589A"/>
    <w:rsid w:val="00D562F1"/>
    <w:rsid w:val="00D563A0"/>
    <w:rsid w:val="00D563B6"/>
    <w:rsid w:val="00D577B6"/>
    <w:rsid w:val="00D60387"/>
    <w:rsid w:val="00D6095E"/>
    <w:rsid w:val="00D609AC"/>
    <w:rsid w:val="00D60A70"/>
    <w:rsid w:val="00D61524"/>
    <w:rsid w:val="00D61A51"/>
    <w:rsid w:val="00D61F64"/>
    <w:rsid w:val="00D62356"/>
    <w:rsid w:val="00D62D4B"/>
    <w:rsid w:val="00D6320C"/>
    <w:rsid w:val="00D635E8"/>
    <w:rsid w:val="00D63D52"/>
    <w:rsid w:val="00D63D94"/>
    <w:rsid w:val="00D640DB"/>
    <w:rsid w:val="00D6421B"/>
    <w:rsid w:val="00D64815"/>
    <w:rsid w:val="00D648F0"/>
    <w:rsid w:val="00D64CAD"/>
    <w:rsid w:val="00D64D07"/>
    <w:rsid w:val="00D6518A"/>
    <w:rsid w:val="00D6539F"/>
    <w:rsid w:val="00D654BD"/>
    <w:rsid w:val="00D65827"/>
    <w:rsid w:val="00D6589A"/>
    <w:rsid w:val="00D66595"/>
    <w:rsid w:val="00D66AAE"/>
    <w:rsid w:val="00D66B30"/>
    <w:rsid w:val="00D66DFF"/>
    <w:rsid w:val="00D67968"/>
    <w:rsid w:val="00D67EC4"/>
    <w:rsid w:val="00D70004"/>
    <w:rsid w:val="00D70662"/>
    <w:rsid w:val="00D70A26"/>
    <w:rsid w:val="00D70C4C"/>
    <w:rsid w:val="00D70FD1"/>
    <w:rsid w:val="00D719EB"/>
    <w:rsid w:val="00D71E78"/>
    <w:rsid w:val="00D7202E"/>
    <w:rsid w:val="00D7231E"/>
    <w:rsid w:val="00D7266C"/>
    <w:rsid w:val="00D73478"/>
    <w:rsid w:val="00D73CFC"/>
    <w:rsid w:val="00D74093"/>
    <w:rsid w:val="00D74100"/>
    <w:rsid w:val="00D74301"/>
    <w:rsid w:val="00D74754"/>
    <w:rsid w:val="00D75003"/>
    <w:rsid w:val="00D7574C"/>
    <w:rsid w:val="00D7622F"/>
    <w:rsid w:val="00D764D5"/>
    <w:rsid w:val="00D76804"/>
    <w:rsid w:val="00D7697A"/>
    <w:rsid w:val="00D773DE"/>
    <w:rsid w:val="00D775C9"/>
    <w:rsid w:val="00D777E5"/>
    <w:rsid w:val="00D77C28"/>
    <w:rsid w:val="00D77F9A"/>
    <w:rsid w:val="00D80137"/>
    <w:rsid w:val="00D8026A"/>
    <w:rsid w:val="00D80289"/>
    <w:rsid w:val="00D8041F"/>
    <w:rsid w:val="00D810A3"/>
    <w:rsid w:val="00D81438"/>
    <w:rsid w:val="00D818D8"/>
    <w:rsid w:val="00D8199D"/>
    <w:rsid w:val="00D81CCA"/>
    <w:rsid w:val="00D81EDE"/>
    <w:rsid w:val="00D81F6A"/>
    <w:rsid w:val="00D8273A"/>
    <w:rsid w:val="00D82849"/>
    <w:rsid w:val="00D82C0D"/>
    <w:rsid w:val="00D82C33"/>
    <w:rsid w:val="00D831B3"/>
    <w:rsid w:val="00D8334A"/>
    <w:rsid w:val="00D8342C"/>
    <w:rsid w:val="00D83A14"/>
    <w:rsid w:val="00D84235"/>
    <w:rsid w:val="00D84328"/>
    <w:rsid w:val="00D84633"/>
    <w:rsid w:val="00D84DA2"/>
    <w:rsid w:val="00D84FE6"/>
    <w:rsid w:val="00D856A8"/>
    <w:rsid w:val="00D85824"/>
    <w:rsid w:val="00D85D3C"/>
    <w:rsid w:val="00D85E58"/>
    <w:rsid w:val="00D8645E"/>
    <w:rsid w:val="00D865F0"/>
    <w:rsid w:val="00D8677E"/>
    <w:rsid w:val="00D875F1"/>
    <w:rsid w:val="00D8766C"/>
    <w:rsid w:val="00D87764"/>
    <w:rsid w:val="00D87991"/>
    <w:rsid w:val="00D87BCE"/>
    <w:rsid w:val="00D87DF7"/>
    <w:rsid w:val="00D90729"/>
    <w:rsid w:val="00D90A8A"/>
    <w:rsid w:val="00D910CE"/>
    <w:rsid w:val="00D9134C"/>
    <w:rsid w:val="00D91717"/>
    <w:rsid w:val="00D918A5"/>
    <w:rsid w:val="00D928DB"/>
    <w:rsid w:val="00D92C49"/>
    <w:rsid w:val="00D92C54"/>
    <w:rsid w:val="00D93276"/>
    <w:rsid w:val="00D93ADA"/>
    <w:rsid w:val="00D93C5F"/>
    <w:rsid w:val="00D93EF5"/>
    <w:rsid w:val="00D93FE4"/>
    <w:rsid w:val="00D943F4"/>
    <w:rsid w:val="00D94947"/>
    <w:rsid w:val="00D94BA4"/>
    <w:rsid w:val="00D95FBD"/>
    <w:rsid w:val="00D9656B"/>
    <w:rsid w:val="00D96BFF"/>
    <w:rsid w:val="00D97722"/>
    <w:rsid w:val="00D97B3D"/>
    <w:rsid w:val="00D97ECA"/>
    <w:rsid w:val="00DA106E"/>
    <w:rsid w:val="00DA1522"/>
    <w:rsid w:val="00DA2B1D"/>
    <w:rsid w:val="00DA3518"/>
    <w:rsid w:val="00DA375D"/>
    <w:rsid w:val="00DA3B03"/>
    <w:rsid w:val="00DA3C1A"/>
    <w:rsid w:val="00DA3E03"/>
    <w:rsid w:val="00DA4458"/>
    <w:rsid w:val="00DA4ED7"/>
    <w:rsid w:val="00DA5B6E"/>
    <w:rsid w:val="00DA6160"/>
    <w:rsid w:val="00DA666C"/>
    <w:rsid w:val="00DA6A71"/>
    <w:rsid w:val="00DA6B82"/>
    <w:rsid w:val="00DA6DDE"/>
    <w:rsid w:val="00DA6F5D"/>
    <w:rsid w:val="00DA71B0"/>
    <w:rsid w:val="00DA75B4"/>
    <w:rsid w:val="00DB0884"/>
    <w:rsid w:val="00DB0A2C"/>
    <w:rsid w:val="00DB0CAC"/>
    <w:rsid w:val="00DB0D01"/>
    <w:rsid w:val="00DB0E12"/>
    <w:rsid w:val="00DB0E62"/>
    <w:rsid w:val="00DB0E65"/>
    <w:rsid w:val="00DB0EF5"/>
    <w:rsid w:val="00DB2304"/>
    <w:rsid w:val="00DB2BD1"/>
    <w:rsid w:val="00DB2DDA"/>
    <w:rsid w:val="00DB3039"/>
    <w:rsid w:val="00DB3717"/>
    <w:rsid w:val="00DB3926"/>
    <w:rsid w:val="00DB4870"/>
    <w:rsid w:val="00DB4BFF"/>
    <w:rsid w:val="00DB4C37"/>
    <w:rsid w:val="00DB4CF0"/>
    <w:rsid w:val="00DB5394"/>
    <w:rsid w:val="00DB5850"/>
    <w:rsid w:val="00DB591C"/>
    <w:rsid w:val="00DB629D"/>
    <w:rsid w:val="00DB6358"/>
    <w:rsid w:val="00DB6954"/>
    <w:rsid w:val="00DB6BDC"/>
    <w:rsid w:val="00DB6C74"/>
    <w:rsid w:val="00DB6DCD"/>
    <w:rsid w:val="00DB7791"/>
    <w:rsid w:val="00DB7E7A"/>
    <w:rsid w:val="00DB7F23"/>
    <w:rsid w:val="00DB7F81"/>
    <w:rsid w:val="00DC16B7"/>
    <w:rsid w:val="00DC175C"/>
    <w:rsid w:val="00DC1893"/>
    <w:rsid w:val="00DC1BF5"/>
    <w:rsid w:val="00DC2153"/>
    <w:rsid w:val="00DC223E"/>
    <w:rsid w:val="00DC28C0"/>
    <w:rsid w:val="00DC2A34"/>
    <w:rsid w:val="00DC32E0"/>
    <w:rsid w:val="00DC384B"/>
    <w:rsid w:val="00DC3C57"/>
    <w:rsid w:val="00DC3D08"/>
    <w:rsid w:val="00DC45F7"/>
    <w:rsid w:val="00DC4801"/>
    <w:rsid w:val="00DC58A7"/>
    <w:rsid w:val="00DC58DF"/>
    <w:rsid w:val="00DC5950"/>
    <w:rsid w:val="00DC60CB"/>
    <w:rsid w:val="00DC66CB"/>
    <w:rsid w:val="00DC6A21"/>
    <w:rsid w:val="00DC6A23"/>
    <w:rsid w:val="00DC73B9"/>
    <w:rsid w:val="00DD01ED"/>
    <w:rsid w:val="00DD0268"/>
    <w:rsid w:val="00DD0338"/>
    <w:rsid w:val="00DD0CC6"/>
    <w:rsid w:val="00DD0FBA"/>
    <w:rsid w:val="00DD1157"/>
    <w:rsid w:val="00DD1804"/>
    <w:rsid w:val="00DD21BA"/>
    <w:rsid w:val="00DD2BDF"/>
    <w:rsid w:val="00DD2C1E"/>
    <w:rsid w:val="00DD343C"/>
    <w:rsid w:val="00DD39DF"/>
    <w:rsid w:val="00DD3A83"/>
    <w:rsid w:val="00DD45FD"/>
    <w:rsid w:val="00DD4B95"/>
    <w:rsid w:val="00DD50DB"/>
    <w:rsid w:val="00DD5BEC"/>
    <w:rsid w:val="00DD61BD"/>
    <w:rsid w:val="00DD6832"/>
    <w:rsid w:val="00DD777A"/>
    <w:rsid w:val="00DD7887"/>
    <w:rsid w:val="00DD7AE7"/>
    <w:rsid w:val="00DE0138"/>
    <w:rsid w:val="00DE04E7"/>
    <w:rsid w:val="00DE06D8"/>
    <w:rsid w:val="00DE0849"/>
    <w:rsid w:val="00DE092B"/>
    <w:rsid w:val="00DE093F"/>
    <w:rsid w:val="00DE0D78"/>
    <w:rsid w:val="00DE0F10"/>
    <w:rsid w:val="00DE0F8A"/>
    <w:rsid w:val="00DE13FC"/>
    <w:rsid w:val="00DE1C48"/>
    <w:rsid w:val="00DE2D9A"/>
    <w:rsid w:val="00DE2E1C"/>
    <w:rsid w:val="00DE3358"/>
    <w:rsid w:val="00DE35D2"/>
    <w:rsid w:val="00DE37B6"/>
    <w:rsid w:val="00DE38B2"/>
    <w:rsid w:val="00DE3DE8"/>
    <w:rsid w:val="00DE3F2A"/>
    <w:rsid w:val="00DE439E"/>
    <w:rsid w:val="00DE576C"/>
    <w:rsid w:val="00DE5A62"/>
    <w:rsid w:val="00DE5F99"/>
    <w:rsid w:val="00DE67E3"/>
    <w:rsid w:val="00DE6AC8"/>
    <w:rsid w:val="00DE778A"/>
    <w:rsid w:val="00DE79D4"/>
    <w:rsid w:val="00DE7CC9"/>
    <w:rsid w:val="00DF0424"/>
    <w:rsid w:val="00DF0DD1"/>
    <w:rsid w:val="00DF1282"/>
    <w:rsid w:val="00DF13E1"/>
    <w:rsid w:val="00DF16A4"/>
    <w:rsid w:val="00DF19B5"/>
    <w:rsid w:val="00DF214A"/>
    <w:rsid w:val="00DF2522"/>
    <w:rsid w:val="00DF2936"/>
    <w:rsid w:val="00DF2B27"/>
    <w:rsid w:val="00DF2BDF"/>
    <w:rsid w:val="00DF3781"/>
    <w:rsid w:val="00DF38B7"/>
    <w:rsid w:val="00DF3D9B"/>
    <w:rsid w:val="00DF3E8C"/>
    <w:rsid w:val="00DF42AA"/>
    <w:rsid w:val="00DF4A53"/>
    <w:rsid w:val="00DF4CF0"/>
    <w:rsid w:val="00DF4CF8"/>
    <w:rsid w:val="00DF4E49"/>
    <w:rsid w:val="00DF52E1"/>
    <w:rsid w:val="00DF594D"/>
    <w:rsid w:val="00DF6477"/>
    <w:rsid w:val="00DF69C6"/>
    <w:rsid w:val="00DF6F07"/>
    <w:rsid w:val="00DF6F15"/>
    <w:rsid w:val="00DF71DA"/>
    <w:rsid w:val="00DF7C88"/>
    <w:rsid w:val="00DF7E23"/>
    <w:rsid w:val="00E00086"/>
    <w:rsid w:val="00E00B5A"/>
    <w:rsid w:val="00E00E16"/>
    <w:rsid w:val="00E0152D"/>
    <w:rsid w:val="00E01542"/>
    <w:rsid w:val="00E019F2"/>
    <w:rsid w:val="00E01E9C"/>
    <w:rsid w:val="00E0278F"/>
    <w:rsid w:val="00E031AA"/>
    <w:rsid w:val="00E03609"/>
    <w:rsid w:val="00E03650"/>
    <w:rsid w:val="00E03E0B"/>
    <w:rsid w:val="00E03E34"/>
    <w:rsid w:val="00E055D6"/>
    <w:rsid w:val="00E06C66"/>
    <w:rsid w:val="00E0702B"/>
    <w:rsid w:val="00E074A3"/>
    <w:rsid w:val="00E079B3"/>
    <w:rsid w:val="00E07BAD"/>
    <w:rsid w:val="00E10381"/>
    <w:rsid w:val="00E10DB7"/>
    <w:rsid w:val="00E117F5"/>
    <w:rsid w:val="00E1193B"/>
    <w:rsid w:val="00E11DD3"/>
    <w:rsid w:val="00E11E14"/>
    <w:rsid w:val="00E128E2"/>
    <w:rsid w:val="00E12B3D"/>
    <w:rsid w:val="00E12F10"/>
    <w:rsid w:val="00E13C61"/>
    <w:rsid w:val="00E13CD4"/>
    <w:rsid w:val="00E13D22"/>
    <w:rsid w:val="00E155C4"/>
    <w:rsid w:val="00E15781"/>
    <w:rsid w:val="00E158C0"/>
    <w:rsid w:val="00E15B12"/>
    <w:rsid w:val="00E15CB9"/>
    <w:rsid w:val="00E15D94"/>
    <w:rsid w:val="00E15E0E"/>
    <w:rsid w:val="00E16A57"/>
    <w:rsid w:val="00E174EE"/>
    <w:rsid w:val="00E1798A"/>
    <w:rsid w:val="00E179E9"/>
    <w:rsid w:val="00E2004E"/>
    <w:rsid w:val="00E204A7"/>
    <w:rsid w:val="00E206D1"/>
    <w:rsid w:val="00E206D3"/>
    <w:rsid w:val="00E212B3"/>
    <w:rsid w:val="00E21E0D"/>
    <w:rsid w:val="00E22203"/>
    <w:rsid w:val="00E22D1C"/>
    <w:rsid w:val="00E2383A"/>
    <w:rsid w:val="00E23D74"/>
    <w:rsid w:val="00E24D28"/>
    <w:rsid w:val="00E25240"/>
    <w:rsid w:val="00E25287"/>
    <w:rsid w:val="00E25958"/>
    <w:rsid w:val="00E25EF3"/>
    <w:rsid w:val="00E26DC5"/>
    <w:rsid w:val="00E27812"/>
    <w:rsid w:val="00E27AD0"/>
    <w:rsid w:val="00E3040B"/>
    <w:rsid w:val="00E30631"/>
    <w:rsid w:val="00E30C7E"/>
    <w:rsid w:val="00E30EFC"/>
    <w:rsid w:val="00E310F2"/>
    <w:rsid w:val="00E31640"/>
    <w:rsid w:val="00E317E4"/>
    <w:rsid w:val="00E31869"/>
    <w:rsid w:val="00E32002"/>
    <w:rsid w:val="00E32321"/>
    <w:rsid w:val="00E32AF1"/>
    <w:rsid w:val="00E32DE1"/>
    <w:rsid w:val="00E33474"/>
    <w:rsid w:val="00E336A0"/>
    <w:rsid w:val="00E339FB"/>
    <w:rsid w:val="00E343ED"/>
    <w:rsid w:val="00E34ABD"/>
    <w:rsid w:val="00E34D7A"/>
    <w:rsid w:val="00E3508D"/>
    <w:rsid w:val="00E351D9"/>
    <w:rsid w:val="00E3538E"/>
    <w:rsid w:val="00E353F4"/>
    <w:rsid w:val="00E35AB9"/>
    <w:rsid w:val="00E35EB2"/>
    <w:rsid w:val="00E3613D"/>
    <w:rsid w:val="00E36A87"/>
    <w:rsid w:val="00E370C6"/>
    <w:rsid w:val="00E37248"/>
    <w:rsid w:val="00E3740C"/>
    <w:rsid w:val="00E3774A"/>
    <w:rsid w:val="00E37F91"/>
    <w:rsid w:val="00E4026C"/>
    <w:rsid w:val="00E40357"/>
    <w:rsid w:val="00E40412"/>
    <w:rsid w:val="00E40471"/>
    <w:rsid w:val="00E4065B"/>
    <w:rsid w:val="00E40AB5"/>
    <w:rsid w:val="00E41001"/>
    <w:rsid w:val="00E413E0"/>
    <w:rsid w:val="00E4153E"/>
    <w:rsid w:val="00E41730"/>
    <w:rsid w:val="00E41CE8"/>
    <w:rsid w:val="00E41D29"/>
    <w:rsid w:val="00E42172"/>
    <w:rsid w:val="00E42668"/>
    <w:rsid w:val="00E42691"/>
    <w:rsid w:val="00E43078"/>
    <w:rsid w:val="00E44261"/>
    <w:rsid w:val="00E44E37"/>
    <w:rsid w:val="00E450F5"/>
    <w:rsid w:val="00E452EB"/>
    <w:rsid w:val="00E455FF"/>
    <w:rsid w:val="00E4587B"/>
    <w:rsid w:val="00E4632A"/>
    <w:rsid w:val="00E46402"/>
    <w:rsid w:val="00E4674D"/>
    <w:rsid w:val="00E46D9B"/>
    <w:rsid w:val="00E474C7"/>
    <w:rsid w:val="00E50230"/>
    <w:rsid w:val="00E515C8"/>
    <w:rsid w:val="00E51751"/>
    <w:rsid w:val="00E523D1"/>
    <w:rsid w:val="00E525C5"/>
    <w:rsid w:val="00E53031"/>
    <w:rsid w:val="00E53448"/>
    <w:rsid w:val="00E537BE"/>
    <w:rsid w:val="00E53869"/>
    <w:rsid w:val="00E53A51"/>
    <w:rsid w:val="00E543CE"/>
    <w:rsid w:val="00E54680"/>
    <w:rsid w:val="00E551D1"/>
    <w:rsid w:val="00E55864"/>
    <w:rsid w:val="00E56E28"/>
    <w:rsid w:val="00E57517"/>
    <w:rsid w:val="00E57A1B"/>
    <w:rsid w:val="00E57CF6"/>
    <w:rsid w:val="00E57F5F"/>
    <w:rsid w:val="00E6011F"/>
    <w:rsid w:val="00E60373"/>
    <w:rsid w:val="00E606CD"/>
    <w:rsid w:val="00E6075A"/>
    <w:rsid w:val="00E60D04"/>
    <w:rsid w:val="00E61AEB"/>
    <w:rsid w:val="00E6215A"/>
    <w:rsid w:val="00E625EA"/>
    <w:rsid w:val="00E62727"/>
    <w:rsid w:val="00E62921"/>
    <w:rsid w:val="00E62BA1"/>
    <w:rsid w:val="00E62C2C"/>
    <w:rsid w:val="00E63DFE"/>
    <w:rsid w:val="00E640F0"/>
    <w:rsid w:val="00E644E1"/>
    <w:rsid w:val="00E645B0"/>
    <w:rsid w:val="00E6467A"/>
    <w:rsid w:val="00E64F8C"/>
    <w:rsid w:val="00E6506E"/>
    <w:rsid w:val="00E65143"/>
    <w:rsid w:val="00E65595"/>
    <w:rsid w:val="00E65FB7"/>
    <w:rsid w:val="00E66432"/>
    <w:rsid w:val="00E66AB2"/>
    <w:rsid w:val="00E66C2C"/>
    <w:rsid w:val="00E66E52"/>
    <w:rsid w:val="00E679F0"/>
    <w:rsid w:val="00E7058D"/>
    <w:rsid w:val="00E706B0"/>
    <w:rsid w:val="00E70F3D"/>
    <w:rsid w:val="00E70FD1"/>
    <w:rsid w:val="00E710E1"/>
    <w:rsid w:val="00E71BF1"/>
    <w:rsid w:val="00E71E57"/>
    <w:rsid w:val="00E72453"/>
    <w:rsid w:val="00E72481"/>
    <w:rsid w:val="00E728E7"/>
    <w:rsid w:val="00E72A9E"/>
    <w:rsid w:val="00E7313A"/>
    <w:rsid w:val="00E7342B"/>
    <w:rsid w:val="00E73F32"/>
    <w:rsid w:val="00E759F1"/>
    <w:rsid w:val="00E75A65"/>
    <w:rsid w:val="00E763F0"/>
    <w:rsid w:val="00E7642B"/>
    <w:rsid w:val="00E766F4"/>
    <w:rsid w:val="00E767A2"/>
    <w:rsid w:val="00E76CD1"/>
    <w:rsid w:val="00E77E05"/>
    <w:rsid w:val="00E77F81"/>
    <w:rsid w:val="00E800E5"/>
    <w:rsid w:val="00E804EB"/>
    <w:rsid w:val="00E80512"/>
    <w:rsid w:val="00E806E1"/>
    <w:rsid w:val="00E80FFC"/>
    <w:rsid w:val="00E810B1"/>
    <w:rsid w:val="00E818EB"/>
    <w:rsid w:val="00E81BDE"/>
    <w:rsid w:val="00E82176"/>
    <w:rsid w:val="00E82581"/>
    <w:rsid w:val="00E826D6"/>
    <w:rsid w:val="00E8284D"/>
    <w:rsid w:val="00E82AEB"/>
    <w:rsid w:val="00E82B13"/>
    <w:rsid w:val="00E82D92"/>
    <w:rsid w:val="00E837C4"/>
    <w:rsid w:val="00E83801"/>
    <w:rsid w:val="00E83981"/>
    <w:rsid w:val="00E842D1"/>
    <w:rsid w:val="00E84467"/>
    <w:rsid w:val="00E8454D"/>
    <w:rsid w:val="00E85389"/>
    <w:rsid w:val="00E85567"/>
    <w:rsid w:val="00E858F3"/>
    <w:rsid w:val="00E85AA2"/>
    <w:rsid w:val="00E86196"/>
    <w:rsid w:val="00E864FC"/>
    <w:rsid w:val="00E865E5"/>
    <w:rsid w:val="00E86A94"/>
    <w:rsid w:val="00E87058"/>
    <w:rsid w:val="00E87132"/>
    <w:rsid w:val="00E87BD3"/>
    <w:rsid w:val="00E87D31"/>
    <w:rsid w:val="00E87DEC"/>
    <w:rsid w:val="00E90DC6"/>
    <w:rsid w:val="00E9139B"/>
    <w:rsid w:val="00E91C3A"/>
    <w:rsid w:val="00E922F8"/>
    <w:rsid w:val="00E92787"/>
    <w:rsid w:val="00E92BE3"/>
    <w:rsid w:val="00E92DAE"/>
    <w:rsid w:val="00E9346F"/>
    <w:rsid w:val="00E93ADE"/>
    <w:rsid w:val="00E93B14"/>
    <w:rsid w:val="00E93E55"/>
    <w:rsid w:val="00E94070"/>
    <w:rsid w:val="00E9418A"/>
    <w:rsid w:val="00E951B0"/>
    <w:rsid w:val="00E951B3"/>
    <w:rsid w:val="00E95832"/>
    <w:rsid w:val="00E95A36"/>
    <w:rsid w:val="00E95C6C"/>
    <w:rsid w:val="00E961A3"/>
    <w:rsid w:val="00E966C9"/>
    <w:rsid w:val="00E978EF"/>
    <w:rsid w:val="00E97E8F"/>
    <w:rsid w:val="00EA051A"/>
    <w:rsid w:val="00EA0761"/>
    <w:rsid w:val="00EA0DEB"/>
    <w:rsid w:val="00EA1B4A"/>
    <w:rsid w:val="00EA1F1A"/>
    <w:rsid w:val="00EA2114"/>
    <w:rsid w:val="00EA27BD"/>
    <w:rsid w:val="00EA2CFA"/>
    <w:rsid w:val="00EA3A9B"/>
    <w:rsid w:val="00EA4673"/>
    <w:rsid w:val="00EA4F65"/>
    <w:rsid w:val="00EA5479"/>
    <w:rsid w:val="00EA55D6"/>
    <w:rsid w:val="00EA5AB5"/>
    <w:rsid w:val="00EA5C08"/>
    <w:rsid w:val="00EA5D09"/>
    <w:rsid w:val="00EA5DAF"/>
    <w:rsid w:val="00EA66C4"/>
    <w:rsid w:val="00EA67D7"/>
    <w:rsid w:val="00EA75B4"/>
    <w:rsid w:val="00EA7A00"/>
    <w:rsid w:val="00EA7CFC"/>
    <w:rsid w:val="00EA7E6A"/>
    <w:rsid w:val="00EB0125"/>
    <w:rsid w:val="00EB0726"/>
    <w:rsid w:val="00EB0767"/>
    <w:rsid w:val="00EB095F"/>
    <w:rsid w:val="00EB0B82"/>
    <w:rsid w:val="00EB1272"/>
    <w:rsid w:val="00EB179F"/>
    <w:rsid w:val="00EB1976"/>
    <w:rsid w:val="00EB197F"/>
    <w:rsid w:val="00EB1A70"/>
    <w:rsid w:val="00EB1C00"/>
    <w:rsid w:val="00EB1F71"/>
    <w:rsid w:val="00EB266E"/>
    <w:rsid w:val="00EB2B4A"/>
    <w:rsid w:val="00EB3ACD"/>
    <w:rsid w:val="00EB3D57"/>
    <w:rsid w:val="00EB43E8"/>
    <w:rsid w:val="00EB460A"/>
    <w:rsid w:val="00EB47DD"/>
    <w:rsid w:val="00EB48CE"/>
    <w:rsid w:val="00EB52FA"/>
    <w:rsid w:val="00EB57F7"/>
    <w:rsid w:val="00EB5F14"/>
    <w:rsid w:val="00EB5FFB"/>
    <w:rsid w:val="00EB7206"/>
    <w:rsid w:val="00EB7C41"/>
    <w:rsid w:val="00EC0392"/>
    <w:rsid w:val="00EC0571"/>
    <w:rsid w:val="00EC0B92"/>
    <w:rsid w:val="00EC0BC8"/>
    <w:rsid w:val="00EC0EB2"/>
    <w:rsid w:val="00EC1B02"/>
    <w:rsid w:val="00EC1BAF"/>
    <w:rsid w:val="00EC1F8E"/>
    <w:rsid w:val="00EC225F"/>
    <w:rsid w:val="00EC26E8"/>
    <w:rsid w:val="00EC2D74"/>
    <w:rsid w:val="00EC3C4C"/>
    <w:rsid w:val="00EC3D25"/>
    <w:rsid w:val="00EC42D0"/>
    <w:rsid w:val="00EC4331"/>
    <w:rsid w:val="00EC4387"/>
    <w:rsid w:val="00EC50F1"/>
    <w:rsid w:val="00EC5B2F"/>
    <w:rsid w:val="00EC5E5D"/>
    <w:rsid w:val="00EC636B"/>
    <w:rsid w:val="00EC63CB"/>
    <w:rsid w:val="00EC6607"/>
    <w:rsid w:val="00EC6C61"/>
    <w:rsid w:val="00EC6FB4"/>
    <w:rsid w:val="00EC75CE"/>
    <w:rsid w:val="00ED0AE6"/>
    <w:rsid w:val="00ED1362"/>
    <w:rsid w:val="00ED1FD9"/>
    <w:rsid w:val="00ED2601"/>
    <w:rsid w:val="00ED2A5C"/>
    <w:rsid w:val="00ED2DF8"/>
    <w:rsid w:val="00ED2E40"/>
    <w:rsid w:val="00ED2E5D"/>
    <w:rsid w:val="00ED32A0"/>
    <w:rsid w:val="00ED3343"/>
    <w:rsid w:val="00ED366F"/>
    <w:rsid w:val="00ED3D91"/>
    <w:rsid w:val="00ED4032"/>
    <w:rsid w:val="00ED47BB"/>
    <w:rsid w:val="00ED4A29"/>
    <w:rsid w:val="00ED4F3B"/>
    <w:rsid w:val="00ED54FD"/>
    <w:rsid w:val="00ED582D"/>
    <w:rsid w:val="00ED5FF9"/>
    <w:rsid w:val="00ED6D4C"/>
    <w:rsid w:val="00ED78BB"/>
    <w:rsid w:val="00ED7931"/>
    <w:rsid w:val="00ED794F"/>
    <w:rsid w:val="00EE0085"/>
    <w:rsid w:val="00EE027D"/>
    <w:rsid w:val="00EE04CC"/>
    <w:rsid w:val="00EE0A68"/>
    <w:rsid w:val="00EE1F10"/>
    <w:rsid w:val="00EE299A"/>
    <w:rsid w:val="00EE2A25"/>
    <w:rsid w:val="00EE2EB0"/>
    <w:rsid w:val="00EE3354"/>
    <w:rsid w:val="00EE3F5F"/>
    <w:rsid w:val="00EE4437"/>
    <w:rsid w:val="00EE4628"/>
    <w:rsid w:val="00EE4750"/>
    <w:rsid w:val="00EE4EFF"/>
    <w:rsid w:val="00EE50C1"/>
    <w:rsid w:val="00EE5101"/>
    <w:rsid w:val="00EE52CA"/>
    <w:rsid w:val="00EE566B"/>
    <w:rsid w:val="00EE568C"/>
    <w:rsid w:val="00EE5762"/>
    <w:rsid w:val="00EE582C"/>
    <w:rsid w:val="00EE5858"/>
    <w:rsid w:val="00EE58DF"/>
    <w:rsid w:val="00EE5CAA"/>
    <w:rsid w:val="00EE633A"/>
    <w:rsid w:val="00EE6413"/>
    <w:rsid w:val="00EE75AB"/>
    <w:rsid w:val="00EF05A3"/>
    <w:rsid w:val="00EF09A4"/>
    <w:rsid w:val="00EF09F3"/>
    <w:rsid w:val="00EF113D"/>
    <w:rsid w:val="00EF1724"/>
    <w:rsid w:val="00EF1F90"/>
    <w:rsid w:val="00EF24EF"/>
    <w:rsid w:val="00EF2787"/>
    <w:rsid w:val="00EF3298"/>
    <w:rsid w:val="00EF34F7"/>
    <w:rsid w:val="00EF3718"/>
    <w:rsid w:val="00EF3B17"/>
    <w:rsid w:val="00EF4370"/>
    <w:rsid w:val="00EF4F57"/>
    <w:rsid w:val="00EF52EA"/>
    <w:rsid w:val="00EF54BF"/>
    <w:rsid w:val="00EF6335"/>
    <w:rsid w:val="00EF64A0"/>
    <w:rsid w:val="00EF6D6C"/>
    <w:rsid w:val="00EF750C"/>
    <w:rsid w:val="00EF78DC"/>
    <w:rsid w:val="00EF7BA6"/>
    <w:rsid w:val="00EF7CD0"/>
    <w:rsid w:val="00EF7FE8"/>
    <w:rsid w:val="00F00050"/>
    <w:rsid w:val="00F0008C"/>
    <w:rsid w:val="00F00123"/>
    <w:rsid w:val="00F00A64"/>
    <w:rsid w:val="00F00F9B"/>
    <w:rsid w:val="00F010E1"/>
    <w:rsid w:val="00F01156"/>
    <w:rsid w:val="00F0147C"/>
    <w:rsid w:val="00F01DA1"/>
    <w:rsid w:val="00F01E9A"/>
    <w:rsid w:val="00F02E36"/>
    <w:rsid w:val="00F031F1"/>
    <w:rsid w:val="00F03BFF"/>
    <w:rsid w:val="00F041DD"/>
    <w:rsid w:val="00F04B24"/>
    <w:rsid w:val="00F05218"/>
    <w:rsid w:val="00F0581C"/>
    <w:rsid w:val="00F05F22"/>
    <w:rsid w:val="00F063C7"/>
    <w:rsid w:val="00F0674E"/>
    <w:rsid w:val="00F06D76"/>
    <w:rsid w:val="00F06DD0"/>
    <w:rsid w:val="00F06E58"/>
    <w:rsid w:val="00F07172"/>
    <w:rsid w:val="00F07182"/>
    <w:rsid w:val="00F073D5"/>
    <w:rsid w:val="00F07D08"/>
    <w:rsid w:val="00F07D4B"/>
    <w:rsid w:val="00F07FD7"/>
    <w:rsid w:val="00F10326"/>
    <w:rsid w:val="00F1067A"/>
    <w:rsid w:val="00F10E62"/>
    <w:rsid w:val="00F10EFC"/>
    <w:rsid w:val="00F119D2"/>
    <w:rsid w:val="00F11C17"/>
    <w:rsid w:val="00F11F6E"/>
    <w:rsid w:val="00F122D3"/>
    <w:rsid w:val="00F12565"/>
    <w:rsid w:val="00F13002"/>
    <w:rsid w:val="00F1535B"/>
    <w:rsid w:val="00F15AEC"/>
    <w:rsid w:val="00F161F4"/>
    <w:rsid w:val="00F16AF7"/>
    <w:rsid w:val="00F16BA4"/>
    <w:rsid w:val="00F17629"/>
    <w:rsid w:val="00F17727"/>
    <w:rsid w:val="00F206B4"/>
    <w:rsid w:val="00F207F1"/>
    <w:rsid w:val="00F20D1B"/>
    <w:rsid w:val="00F214DF"/>
    <w:rsid w:val="00F2159A"/>
    <w:rsid w:val="00F21B9B"/>
    <w:rsid w:val="00F21C68"/>
    <w:rsid w:val="00F21D1F"/>
    <w:rsid w:val="00F21D8F"/>
    <w:rsid w:val="00F221ED"/>
    <w:rsid w:val="00F22693"/>
    <w:rsid w:val="00F2292D"/>
    <w:rsid w:val="00F23024"/>
    <w:rsid w:val="00F2308D"/>
    <w:rsid w:val="00F23300"/>
    <w:rsid w:val="00F23319"/>
    <w:rsid w:val="00F23376"/>
    <w:rsid w:val="00F23D5C"/>
    <w:rsid w:val="00F247AD"/>
    <w:rsid w:val="00F24F7B"/>
    <w:rsid w:val="00F255A6"/>
    <w:rsid w:val="00F26271"/>
    <w:rsid w:val="00F26ABB"/>
    <w:rsid w:val="00F26D32"/>
    <w:rsid w:val="00F26F63"/>
    <w:rsid w:val="00F27755"/>
    <w:rsid w:val="00F27810"/>
    <w:rsid w:val="00F307B3"/>
    <w:rsid w:val="00F3099C"/>
    <w:rsid w:val="00F30B0D"/>
    <w:rsid w:val="00F30C3B"/>
    <w:rsid w:val="00F30CDF"/>
    <w:rsid w:val="00F3176A"/>
    <w:rsid w:val="00F31825"/>
    <w:rsid w:val="00F3185B"/>
    <w:rsid w:val="00F31E70"/>
    <w:rsid w:val="00F31F65"/>
    <w:rsid w:val="00F329A8"/>
    <w:rsid w:val="00F32CFE"/>
    <w:rsid w:val="00F330EE"/>
    <w:rsid w:val="00F33608"/>
    <w:rsid w:val="00F336CC"/>
    <w:rsid w:val="00F33D91"/>
    <w:rsid w:val="00F34049"/>
    <w:rsid w:val="00F342ED"/>
    <w:rsid w:val="00F34486"/>
    <w:rsid w:val="00F345A0"/>
    <w:rsid w:val="00F34A66"/>
    <w:rsid w:val="00F34EB8"/>
    <w:rsid w:val="00F35074"/>
    <w:rsid w:val="00F3563A"/>
    <w:rsid w:val="00F35769"/>
    <w:rsid w:val="00F35ED0"/>
    <w:rsid w:val="00F36274"/>
    <w:rsid w:val="00F364A3"/>
    <w:rsid w:val="00F364B0"/>
    <w:rsid w:val="00F36788"/>
    <w:rsid w:val="00F367C5"/>
    <w:rsid w:val="00F36CE7"/>
    <w:rsid w:val="00F37217"/>
    <w:rsid w:val="00F37357"/>
    <w:rsid w:val="00F375C9"/>
    <w:rsid w:val="00F40F7D"/>
    <w:rsid w:val="00F416C0"/>
    <w:rsid w:val="00F41847"/>
    <w:rsid w:val="00F41D7E"/>
    <w:rsid w:val="00F42918"/>
    <w:rsid w:val="00F431F0"/>
    <w:rsid w:val="00F43CB0"/>
    <w:rsid w:val="00F43D7C"/>
    <w:rsid w:val="00F44074"/>
    <w:rsid w:val="00F44749"/>
    <w:rsid w:val="00F448B1"/>
    <w:rsid w:val="00F44D69"/>
    <w:rsid w:val="00F4512B"/>
    <w:rsid w:val="00F4591F"/>
    <w:rsid w:val="00F45B77"/>
    <w:rsid w:val="00F45FC7"/>
    <w:rsid w:val="00F45FE9"/>
    <w:rsid w:val="00F46A62"/>
    <w:rsid w:val="00F46B5B"/>
    <w:rsid w:val="00F46EEF"/>
    <w:rsid w:val="00F47051"/>
    <w:rsid w:val="00F47130"/>
    <w:rsid w:val="00F471DF"/>
    <w:rsid w:val="00F475CC"/>
    <w:rsid w:val="00F479EC"/>
    <w:rsid w:val="00F5029A"/>
    <w:rsid w:val="00F50474"/>
    <w:rsid w:val="00F504F0"/>
    <w:rsid w:val="00F50897"/>
    <w:rsid w:val="00F50A5D"/>
    <w:rsid w:val="00F51369"/>
    <w:rsid w:val="00F51550"/>
    <w:rsid w:val="00F517F5"/>
    <w:rsid w:val="00F51AA6"/>
    <w:rsid w:val="00F521CB"/>
    <w:rsid w:val="00F528AC"/>
    <w:rsid w:val="00F52A11"/>
    <w:rsid w:val="00F53008"/>
    <w:rsid w:val="00F53360"/>
    <w:rsid w:val="00F533D9"/>
    <w:rsid w:val="00F5380C"/>
    <w:rsid w:val="00F53BBF"/>
    <w:rsid w:val="00F54745"/>
    <w:rsid w:val="00F54D78"/>
    <w:rsid w:val="00F54DA1"/>
    <w:rsid w:val="00F54E67"/>
    <w:rsid w:val="00F55015"/>
    <w:rsid w:val="00F5671A"/>
    <w:rsid w:val="00F568CB"/>
    <w:rsid w:val="00F56A0B"/>
    <w:rsid w:val="00F56B21"/>
    <w:rsid w:val="00F56F57"/>
    <w:rsid w:val="00F57085"/>
    <w:rsid w:val="00F5721C"/>
    <w:rsid w:val="00F60204"/>
    <w:rsid w:val="00F6025B"/>
    <w:rsid w:val="00F61D29"/>
    <w:rsid w:val="00F62979"/>
    <w:rsid w:val="00F630C1"/>
    <w:rsid w:val="00F63393"/>
    <w:rsid w:val="00F63B50"/>
    <w:rsid w:val="00F63ED3"/>
    <w:rsid w:val="00F6412D"/>
    <w:rsid w:val="00F644B8"/>
    <w:rsid w:val="00F64555"/>
    <w:rsid w:val="00F6478A"/>
    <w:rsid w:val="00F64F17"/>
    <w:rsid w:val="00F6581D"/>
    <w:rsid w:val="00F65E8A"/>
    <w:rsid w:val="00F66279"/>
    <w:rsid w:val="00F673F0"/>
    <w:rsid w:val="00F67639"/>
    <w:rsid w:val="00F67AC5"/>
    <w:rsid w:val="00F67D0F"/>
    <w:rsid w:val="00F70115"/>
    <w:rsid w:val="00F701B3"/>
    <w:rsid w:val="00F707E4"/>
    <w:rsid w:val="00F70A5F"/>
    <w:rsid w:val="00F70BCD"/>
    <w:rsid w:val="00F70C45"/>
    <w:rsid w:val="00F70E81"/>
    <w:rsid w:val="00F70E9A"/>
    <w:rsid w:val="00F714A7"/>
    <w:rsid w:val="00F716C6"/>
    <w:rsid w:val="00F71C7C"/>
    <w:rsid w:val="00F7255E"/>
    <w:rsid w:val="00F7304D"/>
    <w:rsid w:val="00F7313B"/>
    <w:rsid w:val="00F731B7"/>
    <w:rsid w:val="00F734B6"/>
    <w:rsid w:val="00F736D3"/>
    <w:rsid w:val="00F738CA"/>
    <w:rsid w:val="00F73DE6"/>
    <w:rsid w:val="00F740A2"/>
    <w:rsid w:val="00F74111"/>
    <w:rsid w:val="00F745C8"/>
    <w:rsid w:val="00F74685"/>
    <w:rsid w:val="00F7477D"/>
    <w:rsid w:val="00F747BA"/>
    <w:rsid w:val="00F74B14"/>
    <w:rsid w:val="00F74BCB"/>
    <w:rsid w:val="00F74CD9"/>
    <w:rsid w:val="00F74E9A"/>
    <w:rsid w:val="00F750A1"/>
    <w:rsid w:val="00F75202"/>
    <w:rsid w:val="00F7582D"/>
    <w:rsid w:val="00F759EA"/>
    <w:rsid w:val="00F76197"/>
    <w:rsid w:val="00F761BB"/>
    <w:rsid w:val="00F764DA"/>
    <w:rsid w:val="00F76B74"/>
    <w:rsid w:val="00F76CAE"/>
    <w:rsid w:val="00F77F16"/>
    <w:rsid w:val="00F80B6F"/>
    <w:rsid w:val="00F812C4"/>
    <w:rsid w:val="00F81399"/>
    <w:rsid w:val="00F816C1"/>
    <w:rsid w:val="00F8173D"/>
    <w:rsid w:val="00F8174E"/>
    <w:rsid w:val="00F81795"/>
    <w:rsid w:val="00F8180D"/>
    <w:rsid w:val="00F81BFA"/>
    <w:rsid w:val="00F81C95"/>
    <w:rsid w:val="00F827F8"/>
    <w:rsid w:val="00F830A3"/>
    <w:rsid w:val="00F830BB"/>
    <w:rsid w:val="00F832D4"/>
    <w:rsid w:val="00F838B3"/>
    <w:rsid w:val="00F83F88"/>
    <w:rsid w:val="00F83F90"/>
    <w:rsid w:val="00F84039"/>
    <w:rsid w:val="00F843A6"/>
    <w:rsid w:val="00F84943"/>
    <w:rsid w:val="00F84D9D"/>
    <w:rsid w:val="00F85004"/>
    <w:rsid w:val="00F851CF"/>
    <w:rsid w:val="00F85772"/>
    <w:rsid w:val="00F85C12"/>
    <w:rsid w:val="00F85C5F"/>
    <w:rsid w:val="00F863F9"/>
    <w:rsid w:val="00F873EA"/>
    <w:rsid w:val="00F9023A"/>
    <w:rsid w:val="00F9036A"/>
    <w:rsid w:val="00F91814"/>
    <w:rsid w:val="00F92529"/>
    <w:rsid w:val="00F92580"/>
    <w:rsid w:val="00F930D0"/>
    <w:rsid w:val="00F936EC"/>
    <w:rsid w:val="00F941A2"/>
    <w:rsid w:val="00F94B45"/>
    <w:rsid w:val="00F94BC9"/>
    <w:rsid w:val="00F94EB1"/>
    <w:rsid w:val="00F953BC"/>
    <w:rsid w:val="00F95B78"/>
    <w:rsid w:val="00F96252"/>
    <w:rsid w:val="00F969F6"/>
    <w:rsid w:val="00F972A1"/>
    <w:rsid w:val="00F9742E"/>
    <w:rsid w:val="00FA0098"/>
    <w:rsid w:val="00FA02C6"/>
    <w:rsid w:val="00FA0408"/>
    <w:rsid w:val="00FA067F"/>
    <w:rsid w:val="00FA0F37"/>
    <w:rsid w:val="00FA145A"/>
    <w:rsid w:val="00FA1894"/>
    <w:rsid w:val="00FA191A"/>
    <w:rsid w:val="00FA2A91"/>
    <w:rsid w:val="00FA2B79"/>
    <w:rsid w:val="00FA2D08"/>
    <w:rsid w:val="00FA2EBB"/>
    <w:rsid w:val="00FA36A8"/>
    <w:rsid w:val="00FA376C"/>
    <w:rsid w:val="00FA4BFE"/>
    <w:rsid w:val="00FA4CCD"/>
    <w:rsid w:val="00FA4D86"/>
    <w:rsid w:val="00FA5B9B"/>
    <w:rsid w:val="00FA6873"/>
    <w:rsid w:val="00FA6C82"/>
    <w:rsid w:val="00FA77CE"/>
    <w:rsid w:val="00FA7BC5"/>
    <w:rsid w:val="00FB00B1"/>
    <w:rsid w:val="00FB00B7"/>
    <w:rsid w:val="00FB1343"/>
    <w:rsid w:val="00FB1733"/>
    <w:rsid w:val="00FB1E2E"/>
    <w:rsid w:val="00FB20B5"/>
    <w:rsid w:val="00FB20EB"/>
    <w:rsid w:val="00FB22D2"/>
    <w:rsid w:val="00FB232D"/>
    <w:rsid w:val="00FB272A"/>
    <w:rsid w:val="00FB2A9C"/>
    <w:rsid w:val="00FB2B18"/>
    <w:rsid w:val="00FB30A1"/>
    <w:rsid w:val="00FB310A"/>
    <w:rsid w:val="00FB4DA5"/>
    <w:rsid w:val="00FB5194"/>
    <w:rsid w:val="00FB5331"/>
    <w:rsid w:val="00FB5666"/>
    <w:rsid w:val="00FB589D"/>
    <w:rsid w:val="00FB5F26"/>
    <w:rsid w:val="00FB6452"/>
    <w:rsid w:val="00FB6EC8"/>
    <w:rsid w:val="00FB72BA"/>
    <w:rsid w:val="00FC03C0"/>
    <w:rsid w:val="00FC0408"/>
    <w:rsid w:val="00FC048D"/>
    <w:rsid w:val="00FC0498"/>
    <w:rsid w:val="00FC052F"/>
    <w:rsid w:val="00FC17A2"/>
    <w:rsid w:val="00FC2191"/>
    <w:rsid w:val="00FC219E"/>
    <w:rsid w:val="00FC2385"/>
    <w:rsid w:val="00FC2D19"/>
    <w:rsid w:val="00FC2D41"/>
    <w:rsid w:val="00FC407D"/>
    <w:rsid w:val="00FC42D1"/>
    <w:rsid w:val="00FC4878"/>
    <w:rsid w:val="00FC4DA4"/>
    <w:rsid w:val="00FC5382"/>
    <w:rsid w:val="00FC5596"/>
    <w:rsid w:val="00FC5820"/>
    <w:rsid w:val="00FC5B74"/>
    <w:rsid w:val="00FC5F2E"/>
    <w:rsid w:val="00FC6149"/>
    <w:rsid w:val="00FC6436"/>
    <w:rsid w:val="00FC65D6"/>
    <w:rsid w:val="00FC66C9"/>
    <w:rsid w:val="00FC6802"/>
    <w:rsid w:val="00FC6AB6"/>
    <w:rsid w:val="00FC6CF9"/>
    <w:rsid w:val="00FC77EE"/>
    <w:rsid w:val="00FC7E93"/>
    <w:rsid w:val="00FD0117"/>
    <w:rsid w:val="00FD09CE"/>
    <w:rsid w:val="00FD0B1A"/>
    <w:rsid w:val="00FD0CD6"/>
    <w:rsid w:val="00FD1F53"/>
    <w:rsid w:val="00FD2B3C"/>
    <w:rsid w:val="00FD3221"/>
    <w:rsid w:val="00FD3356"/>
    <w:rsid w:val="00FD353B"/>
    <w:rsid w:val="00FD3644"/>
    <w:rsid w:val="00FD3772"/>
    <w:rsid w:val="00FD3812"/>
    <w:rsid w:val="00FD4F73"/>
    <w:rsid w:val="00FD5201"/>
    <w:rsid w:val="00FD5429"/>
    <w:rsid w:val="00FD6158"/>
    <w:rsid w:val="00FD6268"/>
    <w:rsid w:val="00FD627F"/>
    <w:rsid w:val="00FD657C"/>
    <w:rsid w:val="00FD72EA"/>
    <w:rsid w:val="00FD79FD"/>
    <w:rsid w:val="00FD7C1B"/>
    <w:rsid w:val="00FE0026"/>
    <w:rsid w:val="00FE07E1"/>
    <w:rsid w:val="00FE0985"/>
    <w:rsid w:val="00FE1282"/>
    <w:rsid w:val="00FE12F7"/>
    <w:rsid w:val="00FE13F4"/>
    <w:rsid w:val="00FE1D50"/>
    <w:rsid w:val="00FE1E5E"/>
    <w:rsid w:val="00FE210F"/>
    <w:rsid w:val="00FE243F"/>
    <w:rsid w:val="00FE2985"/>
    <w:rsid w:val="00FE2DDF"/>
    <w:rsid w:val="00FE2E6C"/>
    <w:rsid w:val="00FE30F6"/>
    <w:rsid w:val="00FE3524"/>
    <w:rsid w:val="00FE3904"/>
    <w:rsid w:val="00FE43B0"/>
    <w:rsid w:val="00FE494C"/>
    <w:rsid w:val="00FE4A1E"/>
    <w:rsid w:val="00FE4EC8"/>
    <w:rsid w:val="00FE5B2C"/>
    <w:rsid w:val="00FE5CAE"/>
    <w:rsid w:val="00FE63C1"/>
    <w:rsid w:val="00FE681B"/>
    <w:rsid w:val="00FE6CD8"/>
    <w:rsid w:val="00FE75B0"/>
    <w:rsid w:val="00FE7679"/>
    <w:rsid w:val="00FE7990"/>
    <w:rsid w:val="00FF0502"/>
    <w:rsid w:val="00FF0819"/>
    <w:rsid w:val="00FF0990"/>
    <w:rsid w:val="00FF0B63"/>
    <w:rsid w:val="00FF0BD5"/>
    <w:rsid w:val="00FF0D75"/>
    <w:rsid w:val="00FF0E64"/>
    <w:rsid w:val="00FF10EB"/>
    <w:rsid w:val="00FF11D8"/>
    <w:rsid w:val="00FF15A0"/>
    <w:rsid w:val="00FF2496"/>
    <w:rsid w:val="00FF2727"/>
    <w:rsid w:val="00FF2C43"/>
    <w:rsid w:val="00FF3469"/>
    <w:rsid w:val="00FF37E0"/>
    <w:rsid w:val="00FF3CDE"/>
    <w:rsid w:val="00FF3D48"/>
    <w:rsid w:val="00FF3E02"/>
    <w:rsid w:val="00FF3E04"/>
    <w:rsid w:val="00FF40E1"/>
    <w:rsid w:val="00FF4E6D"/>
    <w:rsid w:val="00FF52C0"/>
    <w:rsid w:val="00FF5418"/>
    <w:rsid w:val="00FF54C1"/>
    <w:rsid w:val="00FF58A4"/>
    <w:rsid w:val="00FF58A7"/>
    <w:rsid w:val="00FF6037"/>
    <w:rsid w:val="00FF640E"/>
    <w:rsid w:val="00FF6AC0"/>
    <w:rsid w:val="00FF78E0"/>
    <w:rsid w:val="013F59D5"/>
    <w:rsid w:val="01471A91"/>
    <w:rsid w:val="014C0E98"/>
    <w:rsid w:val="017F221A"/>
    <w:rsid w:val="01A25EDC"/>
    <w:rsid w:val="01AD0831"/>
    <w:rsid w:val="01BC424C"/>
    <w:rsid w:val="01D04A82"/>
    <w:rsid w:val="01D31A5A"/>
    <w:rsid w:val="01D4694A"/>
    <w:rsid w:val="01F11296"/>
    <w:rsid w:val="022600EF"/>
    <w:rsid w:val="022A7E6B"/>
    <w:rsid w:val="02484918"/>
    <w:rsid w:val="02523535"/>
    <w:rsid w:val="02605A32"/>
    <w:rsid w:val="026F71B4"/>
    <w:rsid w:val="02793714"/>
    <w:rsid w:val="02842376"/>
    <w:rsid w:val="029139AF"/>
    <w:rsid w:val="02935FC8"/>
    <w:rsid w:val="02D72D0B"/>
    <w:rsid w:val="02EA0B5C"/>
    <w:rsid w:val="02F66627"/>
    <w:rsid w:val="030771A0"/>
    <w:rsid w:val="0324150A"/>
    <w:rsid w:val="033D06B8"/>
    <w:rsid w:val="033F6241"/>
    <w:rsid w:val="035D206D"/>
    <w:rsid w:val="037E7028"/>
    <w:rsid w:val="03A50706"/>
    <w:rsid w:val="03DE287A"/>
    <w:rsid w:val="03E46B95"/>
    <w:rsid w:val="03F40D9A"/>
    <w:rsid w:val="03F76B2B"/>
    <w:rsid w:val="04042404"/>
    <w:rsid w:val="04150212"/>
    <w:rsid w:val="04287C30"/>
    <w:rsid w:val="045013F6"/>
    <w:rsid w:val="04520B92"/>
    <w:rsid w:val="04534EF6"/>
    <w:rsid w:val="045A7CDD"/>
    <w:rsid w:val="0468645D"/>
    <w:rsid w:val="047A4645"/>
    <w:rsid w:val="048F22E9"/>
    <w:rsid w:val="049368E6"/>
    <w:rsid w:val="04E80947"/>
    <w:rsid w:val="04F36E2E"/>
    <w:rsid w:val="05035EFB"/>
    <w:rsid w:val="05042D98"/>
    <w:rsid w:val="051B1321"/>
    <w:rsid w:val="054D3491"/>
    <w:rsid w:val="055076E1"/>
    <w:rsid w:val="057E6E93"/>
    <w:rsid w:val="058010BE"/>
    <w:rsid w:val="058109E1"/>
    <w:rsid w:val="05B97E06"/>
    <w:rsid w:val="05D750FF"/>
    <w:rsid w:val="05FC6148"/>
    <w:rsid w:val="05FC7108"/>
    <w:rsid w:val="064A0AB3"/>
    <w:rsid w:val="06621D45"/>
    <w:rsid w:val="068A4E6D"/>
    <w:rsid w:val="07065514"/>
    <w:rsid w:val="07103A6C"/>
    <w:rsid w:val="071773B0"/>
    <w:rsid w:val="073B1708"/>
    <w:rsid w:val="07561222"/>
    <w:rsid w:val="0779782E"/>
    <w:rsid w:val="077C0CD9"/>
    <w:rsid w:val="078274C8"/>
    <w:rsid w:val="07E158FC"/>
    <w:rsid w:val="07EE2140"/>
    <w:rsid w:val="07EE2887"/>
    <w:rsid w:val="07F31C0B"/>
    <w:rsid w:val="08044ECC"/>
    <w:rsid w:val="081C1C1F"/>
    <w:rsid w:val="081C7981"/>
    <w:rsid w:val="08234B4B"/>
    <w:rsid w:val="082D77D3"/>
    <w:rsid w:val="085100D7"/>
    <w:rsid w:val="085A0497"/>
    <w:rsid w:val="085F360E"/>
    <w:rsid w:val="08610515"/>
    <w:rsid w:val="08703781"/>
    <w:rsid w:val="087241FC"/>
    <w:rsid w:val="088A0D17"/>
    <w:rsid w:val="088B4F42"/>
    <w:rsid w:val="08A71878"/>
    <w:rsid w:val="08CE6F15"/>
    <w:rsid w:val="08DF1771"/>
    <w:rsid w:val="08F0371C"/>
    <w:rsid w:val="09163221"/>
    <w:rsid w:val="09192CB9"/>
    <w:rsid w:val="091E0E4C"/>
    <w:rsid w:val="09227725"/>
    <w:rsid w:val="092E25AB"/>
    <w:rsid w:val="097C01F9"/>
    <w:rsid w:val="097C60B7"/>
    <w:rsid w:val="09806B31"/>
    <w:rsid w:val="099074D1"/>
    <w:rsid w:val="099E2019"/>
    <w:rsid w:val="09BD637D"/>
    <w:rsid w:val="09DA5511"/>
    <w:rsid w:val="0A216CD0"/>
    <w:rsid w:val="0A322DA9"/>
    <w:rsid w:val="0A337B95"/>
    <w:rsid w:val="0A3815F7"/>
    <w:rsid w:val="0A4875A5"/>
    <w:rsid w:val="0A5C08C2"/>
    <w:rsid w:val="0A942FA2"/>
    <w:rsid w:val="0A9D743F"/>
    <w:rsid w:val="0AA72962"/>
    <w:rsid w:val="0AB8395C"/>
    <w:rsid w:val="0ABA2D57"/>
    <w:rsid w:val="0ABA47BB"/>
    <w:rsid w:val="0ACD7827"/>
    <w:rsid w:val="0ADD7C3C"/>
    <w:rsid w:val="0AE21A7B"/>
    <w:rsid w:val="0AEC6959"/>
    <w:rsid w:val="0AF326AA"/>
    <w:rsid w:val="0B0C2974"/>
    <w:rsid w:val="0B0E3AF2"/>
    <w:rsid w:val="0B151AFB"/>
    <w:rsid w:val="0B717475"/>
    <w:rsid w:val="0BAD01B2"/>
    <w:rsid w:val="0BB85269"/>
    <w:rsid w:val="0BB93A9A"/>
    <w:rsid w:val="0BBF7ACE"/>
    <w:rsid w:val="0BC33683"/>
    <w:rsid w:val="0BD2343C"/>
    <w:rsid w:val="0BD240F7"/>
    <w:rsid w:val="0C231912"/>
    <w:rsid w:val="0C241A9D"/>
    <w:rsid w:val="0C440E35"/>
    <w:rsid w:val="0C5F1C9E"/>
    <w:rsid w:val="0C670061"/>
    <w:rsid w:val="0C6E458D"/>
    <w:rsid w:val="0C7A1750"/>
    <w:rsid w:val="0C831102"/>
    <w:rsid w:val="0C8E52EA"/>
    <w:rsid w:val="0CAE43A6"/>
    <w:rsid w:val="0CB44CDC"/>
    <w:rsid w:val="0CBB2985"/>
    <w:rsid w:val="0CC44933"/>
    <w:rsid w:val="0CE87650"/>
    <w:rsid w:val="0CEC2F98"/>
    <w:rsid w:val="0D281D90"/>
    <w:rsid w:val="0D2C6349"/>
    <w:rsid w:val="0D2D5559"/>
    <w:rsid w:val="0D3B41A1"/>
    <w:rsid w:val="0D505C40"/>
    <w:rsid w:val="0D5D4F39"/>
    <w:rsid w:val="0D707FE0"/>
    <w:rsid w:val="0D966794"/>
    <w:rsid w:val="0DA62320"/>
    <w:rsid w:val="0DC84DEF"/>
    <w:rsid w:val="0DE7460B"/>
    <w:rsid w:val="0DFB6CD0"/>
    <w:rsid w:val="0E1C297E"/>
    <w:rsid w:val="0E2549A1"/>
    <w:rsid w:val="0E2E5A6B"/>
    <w:rsid w:val="0E371BE9"/>
    <w:rsid w:val="0E443777"/>
    <w:rsid w:val="0E501115"/>
    <w:rsid w:val="0E520F9A"/>
    <w:rsid w:val="0E5C5BF3"/>
    <w:rsid w:val="0E5C6360"/>
    <w:rsid w:val="0E6266AD"/>
    <w:rsid w:val="0E8C2774"/>
    <w:rsid w:val="0EA00CDD"/>
    <w:rsid w:val="0EB711F8"/>
    <w:rsid w:val="0EC04308"/>
    <w:rsid w:val="0ECA37BD"/>
    <w:rsid w:val="0F395B68"/>
    <w:rsid w:val="0F5173A4"/>
    <w:rsid w:val="0F89697D"/>
    <w:rsid w:val="0F8B2199"/>
    <w:rsid w:val="0F8C6602"/>
    <w:rsid w:val="0FB223D9"/>
    <w:rsid w:val="0FCD4A10"/>
    <w:rsid w:val="0FCF13D0"/>
    <w:rsid w:val="0FEF5853"/>
    <w:rsid w:val="0FFA6E3B"/>
    <w:rsid w:val="10161800"/>
    <w:rsid w:val="104B34AD"/>
    <w:rsid w:val="104C063D"/>
    <w:rsid w:val="10577237"/>
    <w:rsid w:val="10596A91"/>
    <w:rsid w:val="1094688B"/>
    <w:rsid w:val="10B33F65"/>
    <w:rsid w:val="10BC24AF"/>
    <w:rsid w:val="10E024B8"/>
    <w:rsid w:val="10E326CF"/>
    <w:rsid w:val="10FF2397"/>
    <w:rsid w:val="110A7F5B"/>
    <w:rsid w:val="11417725"/>
    <w:rsid w:val="11612C8D"/>
    <w:rsid w:val="116B1D07"/>
    <w:rsid w:val="11766702"/>
    <w:rsid w:val="11783DD6"/>
    <w:rsid w:val="11942509"/>
    <w:rsid w:val="119F4A7B"/>
    <w:rsid w:val="11AA657C"/>
    <w:rsid w:val="11B70390"/>
    <w:rsid w:val="11B95B7E"/>
    <w:rsid w:val="11BA7520"/>
    <w:rsid w:val="11CD4889"/>
    <w:rsid w:val="11CE746F"/>
    <w:rsid w:val="11FF27F2"/>
    <w:rsid w:val="11FF4F49"/>
    <w:rsid w:val="120807D8"/>
    <w:rsid w:val="12082F46"/>
    <w:rsid w:val="1230569A"/>
    <w:rsid w:val="123862C1"/>
    <w:rsid w:val="123B0C0A"/>
    <w:rsid w:val="12406524"/>
    <w:rsid w:val="126007A1"/>
    <w:rsid w:val="12606575"/>
    <w:rsid w:val="12694A24"/>
    <w:rsid w:val="126D1690"/>
    <w:rsid w:val="128B72CE"/>
    <w:rsid w:val="12994F37"/>
    <w:rsid w:val="12BE53D5"/>
    <w:rsid w:val="12DD0FCD"/>
    <w:rsid w:val="12EB6522"/>
    <w:rsid w:val="12ED4198"/>
    <w:rsid w:val="12FC396B"/>
    <w:rsid w:val="13146CE0"/>
    <w:rsid w:val="132C1F60"/>
    <w:rsid w:val="132C67E2"/>
    <w:rsid w:val="134679F2"/>
    <w:rsid w:val="134E75D7"/>
    <w:rsid w:val="13524813"/>
    <w:rsid w:val="135325C0"/>
    <w:rsid w:val="135A4049"/>
    <w:rsid w:val="13716260"/>
    <w:rsid w:val="13903987"/>
    <w:rsid w:val="13934F37"/>
    <w:rsid w:val="13A25E31"/>
    <w:rsid w:val="13D37F45"/>
    <w:rsid w:val="13E501E2"/>
    <w:rsid w:val="13F50E66"/>
    <w:rsid w:val="13F51BF3"/>
    <w:rsid w:val="13F57F6C"/>
    <w:rsid w:val="14055116"/>
    <w:rsid w:val="140E4DAD"/>
    <w:rsid w:val="14175956"/>
    <w:rsid w:val="141D4181"/>
    <w:rsid w:val="14235E4A"/>
    <w:rsid w:val="1438501C"/>
    <w:rsid w:val="143B6FDD"/>
    <w:rsid w:val="14445A80"/>
    <w:rsid w:val="14643F0E"/>
    <w:rsid w:val="14773A8D"/>
    <w:rsid w:val="14835D02"/>
    <w:rsid w:val="14897556"/>
    <w:rsid w:val="149C7A64"/>
    <w:rsid w:val="14A449C1"/>
    <w:rsid w:val="14A50CFD"/>
    <w:rsid w:val="14BD76BF"/>
    <w:rsid w:val="14CB2609"/>
    <w:rsid w:val="14D50B6D"/>
    <w:rsid w:val="153D6FD7"/>
    <w:rsid w:val="154C192F"/>
    <w:rsid w:val="156370EF"/>
    <w:rsid w:val="156C01EB"/>
    <w:rsid w:val="158D1497"/>
    <w:rsid w:val="15AE59A6"/>
    <w:rsid w:val="15C475AF"/>
    <w:rsid w:val="15C508A1"/>
    <w:rsid w:val="161706EB"/>
    <w:rsid w:val="161D5773"/>
    <w:rsid w:val="164208E0"/>
    <w:rsid w:val="16497ACF"/>
    <w:rsid w:val="167D73BF"/>
    <w:rsid w:val="16822531"/>
    <w:rsid w:val="168A56EA"/>
    <w:rsid w:val="168B119D"/>
    <w:rsid w:val="16AB0F69"/>
    <w:rsid w:val="16DB7169"/>
    <w:rsid w:val="17176D9D"/>
    <w:rsid w:val="171F7AB3"/>
    <w:rsid w:val="172F6BB5"/>
    <w:rsid w:val="173D7EC8"/>
    <w:rsid w:val="17484A5C"/>
    <w:rsid w:val="174E1F3A"/>
    <w:rsid w:val="17814A83"/>
    <w:rsid w:val="17984FF0"/>
    <w:rsid w:val="17B14830"/>
    <w:rsid w:val="1819684C"/>
    <w:rsid w:val="182431BA"/>
    <w:rsid w:val="18250B35"/>
    <w:rsid w:val="18517CB4"/>
    <w:rsid w:val="185B4374"/>
    <w:rsid w:val="18657698"/>
    <w:rsid w:val="18735D7E"/>
    <w:rsid w:val="18795F2B"/>
    <w:rsid w:val="18833584"/>
    <w:rsid w:val="189259A7"/>
    <w:rsid w:val="189D0043"/>
    <w:rsid w:val="18A34D8B"/>
    <w:rsid w:val="18B26ACA"/>
    <w:rsid w:val="18CC2617"/>
    <w:rsid w:val="18F951C9"/>
    <w:rsid w:val="19003881"/>
    <w:rsid w:val="19222A2F"/>
    <w:rsid w:val="1929692A"/>
    <w:rsid w:val="19407906"/>
    <w:rsid w:val="19466572"/>
    <w:rsid w:val="19556B56"/>
    <w:rsid w:val="195D411D"/>
    <w:rsid w:val="1989580D"/>
    <w:rsid w:val="19910FF1"/>
    <w:rsid w:val="19962F97"/>
    <w:rsid w:val="19BE4382"/>
    <w:rsid w:val="19E674E7"/>
    <w:rsid w:val="19EE4624"/>
    <w:rsid w:val="1A135D56"/>
    <w:rsid w:val="1A245FA7"/>
    <w:rsid w:val="1A254468"/>
    <w:rsid w:val="1A305380"/>
    <w:rsid w:val="1A315F17"/>
    <w:rsid w:val="1A3311F4"/>
    <w:rsid w:val="1A741409"/>
    <w:rsid w:val="1A741431"/>
    <w:rsid w:val="1A9E21FD"/>
    <w:rsid w:val="1AAE0B03"/>
    <w:rsid w:val="1AE93550"/>
    <w:rsid w:val="1B064DA7"/>
    <w:rsid w:val="1B0B36C2"/>
    <w:rsid w:val="1B2C1A8E"/>
    <w:rsid w:val="1B3171FC"/>
    <w:rsid w:val="1B391536"/>
    <w:rsid w:val="1B7F5A38"/>
    <w:rsid w:val="1B8B31A7"/>
    <w:rsid w:val="1B9F4B59"/>
    <w:rsid w:val="1BC977D4"/>
    <w:rsid w:val="1BD91879"/>
    <w:rsid w:val="1BF2714B"/>
    <w:rsid w:val="1BFD0D34"/>
    <w:rsid w:val="1BFE156F"/>
    <w:rsid w:val="1C181715"/>
    <w:rsid w:val="1C2C0CB2"/>
    <w:rsid w:val="1C8E29C5"/>
    <w:rsid w:val="1C9F2D43"/>
    <w:rsid w:val="1CA75C0D"/>
    <w:rsid w:val="1CB47CD2"/>
    <w:rsid w:val="1CD60DF1"/>
    <w:rsid w:val="1CE24525"/>
    <w:rsid w:val="1D057D11"/>
    <w:rsid w:val="1D0E22CA"/>
    <w:rsid w:val="1D2B2219"/>
    <w:rsid w:val="1D3477CA"/>
    <w:rsid w:val="1D542179"/>
    <w:rsid w:val="1D7A236A"/>
    <w:rsid w:val="1D7C46A1"/>
    <w:rsid w:val="1D815742"/>
    <w:rsid w:val="1D8E47A8"/>
    <w:rsid w:val="1D925D2F"/>
    <w:rsid w:val="1D926CA9"/>
    <w:rsid w:val="1D973EA8"/>
    <w:rsid w:val="1DAC645C"/>
    <w:rsid w:val="1DC60F93"/>
    <w:rsid w:val="1DDB73A3"/>
    <w:rsid w:val="1DDE201B"/>
    <w:rsid w:val="1DFB0A4E"/>
    <w:rsid w:val="1E1E5F22"/>
    <w:rsid w:val="1E2877C2"/>
    <w:rsid w:val="1E340A4A"/>
    <w:rsid w:val="1E412700"/>
    <w:rsid w:val="1E521E5C"/>
    <w:rsid w:val="1E571694"/>
    <w:rsid w:val="1E5B464E"/>
    <w:rsid w:val="1E7C25B3"/>
    <w:rsid w:val="1E845A39"/>
    <w:rsid w:val="1EA123D2"/>
    <w:rsid w:val="1EA3650A"/>
    <w:rsid w:val="1EC07D65"/>
    <w:rsid w:val="1EC412E8"/>
    <w:rsid w:val="1EC522BB"/>
    <w:rsid w:val="1ECD2BF0"/>
    <w:rsid w:val="1EE15971"/>
    <w:rsid w:val="1EE876B3"/>
    <w:rsid w:val="1F043D59"/>
    <w:rsid w:val="1F0532F9"/>
    <w:rsid w:val="1F1D0735"/>
    <w:rsid w:val="1F7E72B1"/>
    <w:rsid w:val="1F8914AF"/>
    <w:rsid w:val="1F904E01"/>
    <w:rsid w:val="1FA119DF"/>
    <w:rsid w:val="1FA65CD4"/>
    <w:rsid w:val="1FBA71B9"/>
    <w:rsid w:val="1FD51BC5"/>
    <w:rsid w:val="1FDC6A0F"/>
    <w:rsid w:val="1FDE001F"/>
    <w:rsid w:val="1FF97014"/>
    <w:rsid w:val="200E4AD1"/>
    <w:rsid w:val="201751C6"/>
    <w:rsid w:val="20303E66"/>
    <w:rsid w:val="204308CE"/>
    <w:rsid w:val="20565B39"/>
    <w:rsid w:val="206E4898"/>
    <w:rsid w:val="207E17ED"/>
    <w:rsid w:val="20860552"/>
    <w:rsid w:val="208F669F"/>
    <w:rsid w:val="209677A6"/>
    <w:rsid w:val="20A85E3A"/>
    <w:rsid w:val="20B4391E"/>
    <w:rsid w:val="20B74745"/>
    <w:rsid w:val="20CC0F09"/>
    <w:rsid w:val="20D51DE8"/>
    <w:rsid w:val="20D818C1"/>
    <w:rsid w:val="20EF4C85"/>
    <w:rsid w:val="210E3D02"/>
    <w:rsid w:val="214A102B"/>
    <w:rsid w:val="2168629D"/>
    <w:rsid w:val="216B01CD"/>
    <w:rsid w:val="217F21D3"/>
    <w:rsid w:val="219173A5"/>
    <w:rsid w:val="21922DF8"/>
    <w:rsid w:val="21A87926"/>
    <w:rsid w:val="21B82027"/>
    <w:rsid w:val="21CB7D7F"/>
    <w:rsid w:val="21ED20D2"/>
    <w:rsid w:val="21ED5288"/>
    <w:rsid w:val="2211637E"/>
    <w:rsid w:val="2214323D"/>
    <w:rsid w:val="223C2B2A"/>
    <w:rsid w:val="22444C57"/>
    <w:rsid w:val="225D6623"/>
    <w:rsid w:val="22AE0FC2"/>
    <w:rsid w:val="22C4454E"/>
    <w:rsid w:val="22F610D4"/>
    <w:rsid w:val="23005752"/>
    <w:rsid w:val="23066604"/>
    <w:rsid w:val="233702A5"/>
    <w:rsid w:val="23501C26"/>
    <w:rsid w:val="23760A23"/>
    <w:rsid w:val="237D0064"/>
    <w:rsid w:val="239238A6"/>
    <w:rsid w:val="23A423F9"/>
    <w:rsid w:val="23AC477C"/>
    <w:rsid w:val="23CC5331"/>
    <w:rsid w:val="23D50DAD"/>
    <w:rsid w:val="23D85588"/>
    <w:rsid w:val="23E92B4B"/>
    <w:rsid w:val="240E3F9B"/>
    <w:rsid w:val="242C2170"/>
    <w:rsid w:val="246747F6"/>
    <w:rsid w:val="24BC771F"/>
    <w:rsid w:val="24C071CA"/>
    <w:rsid w:val="24CA1152"/>
    <w:rsid w:val="24CB1EEB"/>
    <w:rsid w:val="24FD392F"/>
    <w:rsid w:val="2513712F"/>
    <w:rsid w:val="251F40B8"/>
    <w:rsid w:val="254D5077"/>
    <w:rsid w:val="25526134"/>
    <w:rsid w:val="255B6B57"/>
    <w:rsid w:val="25790B76"/>
    <w:rsid w:val="25852ABC"/>
    <w:rsid w:val="25AB6F50"/>
    <w:rsid w:val="25AC2667"/>
    <w:rsid w:val="25BF45D6"/>
    <w:rsid w:val="25C031E4"/>
    <w:rsid w:val="25C04685"/>
    <w:rsid w:val="25C2246F"/>
    <w:rsid w:val="25D02248"/>
    <w:rsid w:val="25D825E9"/>
    <w:rsid w:val="25F661B4"/>
    <w:rsid w:val="260A0E94"/>
    <w:rsid w:val="261153D4"/>
    <w:rsid w:val="261A4990"/>
    <w:rsid w:val="26232F64"/>
    <w:rsid w:val="2645651A"/>
    <w:rsid w:val="264D49F1"/>
    <w:rsid w:val="264E38AF"/>
    <w:rsid w:val="26514BEF"/>
    <w:rsid w:val="265C1262"/>
    <w:rsid w:val="26611A91"/>
    <w:rsid w:val="266320C3"/>
    <w:rsid w:val="2688770A"/>
    <w:rsid w:val="26894756"/>
    <w:rsid w:val="268E651A"/>
    <w:rsid w:val="26900E30"/>
    <w:rsid w:val="2699089B"/>
    <w:rsid w:val="269E0052"/>
    <w:rsid w:val="26C27DA4"/>
    <w:rsid w:val="26EF2F1C"/>
    <w:rsid w:val="27012509"/>
    <w:rsid w:val="273F79BC"/>
    <w:rsid w:val="27562BC4"/>
    <w:rsid w:val="27802951"/>
    <w:rsid w:val="27862E39"/>
    <w:rsid w:val="278B6531"/>
    <w:rsid w:val="278C3424"/>
    <w:rsid w:val="278F6428"/>
    <w:rsid w:val="27C2528B"/>
    <w:rsid w:val="27E544A4"/>
    <w:rsid w:val="27F77CF4"/>
    <w:rsid w:val="2848512C"/>
    <w:rsid w:val="28574F56"/>
    <w:rsid w:val="28664CE2"/>
    <w:rsid w:val="286B5489"/>
    <w:rsid w:val="28701076"/>
    <w:rsid w:val="287C51C3"/>
    <w:rsid w:val="289005CA"/>
    <w:rsid w:val="28964219"/>
    <w:rsid w:val="28A909E4"/>
    <w:rsid w:val="28AF4849"/>
    <w:rsid w:val="28CE6F6A"/>
    <w:rsid w:val="29106070"/>
    <w:rsid w:val="291C4312"/>
    <w:rsid w:val="291D624C"/>
    <w:rsid w:val="2925781E"/>
    <w:rsid w:val="292726B9"/>
    <w:rsid w:val="292D272B"/>
    <w:rsid w:val="294A6EAE"/>
    <w:rsid w:val="2958232B"/>
    <w:rsid w:val="29624993"/>
    <w:rsid w:val="29781AF8"/>
    <w:rsid w:val="29A34ABF"/>
    <w:rsid w:val="29C02F39"/>
    <w:rsid w:val="29C70006"/>
    <w:rsid w:val="29DF04CF"/>
    <w:rsid w:val="29E0219C"/>
    <w:rsid w:val="29E37C47"/>
    <w:rsid w:val="29E53AF6"/>
    <w:rsid w:val="29E81A1F"/>
    <w:rsid w:val="29FF45B9"/>
    <w:rsid w:val="2A180DBC"/>
    <w:rsid w:val="2A2B2D2A"/>
    <w:rsid w:val="2A2F6FD6"/>
    <w:rsid w:val="2A3F2D01"/>
    <w:rsid w:val="2A5B02ED"/>
    <w:rsid w:val="2AAE107D"/>
    <w:rsid w:val="2ADB5104"/>
    <w:rsid w:val="2AE240FC"/>
    <w:rsid w:val="2AFD09CA"/>
    <w:rsid w:val="2AFD7CA9"/>
    <w:rsid w:val="2AFE3C78"/>
    <w:rsid w:val="2B0B28FA"/>
    <w:rsid w:val="2B1964B5"/>
    <w:rsid w:val="2B1B3E6F"/>
    <w:rsid w:val="2B227000"/>
    <w:rsid w:val="2B2C1512"/>
    <w:rsid w:val="2B3435F7"/>
    <w:rsid w:val="2B382FAC"/>
    <w:rsid w:val="2B3D59DB"/>
    <w:rsid w:val="2B425E31"/>
    <w:rsid w:val="2B5027DF"/>
    <w:rsid w:val="2B5076F0"/>
    <w:rsid w:val="2B6108C1"/>
    <w:rsid w:val="2B62632A"/>
    <w:rsid w:val="2B8A093F"/>
    <w:rsid w:val="2BA44A8C"/>
    <w:rsid w:val="2BE01BAA"/>
    <w:rsid w:val="2BE11AFF"/>
    <w:rsid w:val="2BEE604C"/>
    <w:rsid w:val="2BF11668"/>
    <w:rsid w:val="2C117CF6"/>
    <w:rsid w:val="2C233F29"/>
    <w:rsid w:val="2C255628"/>
    <w:rsid w:val="2C2636EF"/>
    <w:rsid w:val="2C2E09A7"/>
    <w:rsid w:val="2C3629C3"/>
    <w:rsid w:val="2C3B2617"/>
    <w:rsid w:val="2C4757AB"/>
    <w:rsid w:val="2C4C103E"/>
    <w:rsid w:val="2C4C31AE"/>
    <w:rsid w:val="2C4D798C"/>
    <w:rsid w:val="2C5145BC"/>
    <w:rsid w:val="2C64239B"/>
    <w:rsid w:val="2C7E6C31"/>
    <w:rsid w:val="2C83789E"/>
    <w:rsid w:val="2C872404"/>
    <w:rsid w:val="2C8E62EE"/>
    <w:rsid w:val="2CA676A4"/>
    <w:rsid w:val="2CB75154"/>
    <w:rsid w:val="2CC2075F"/>
    <w:rsid w:val="2CCF2A7D"/>
    <w:rsid w:val="2CE94AAC"/>
    <w:rsid w:val="2D0114B7"/>
    <w:rsid w:val="2D0A2CD7"/>
    <w:rsid w:val="2D160DE8"/>
    <w:rsid w:val="2D225563"/>
    <w:rsid w:val="2D2F4B0F"/>
    <w:rsid w:val="2D3C4FE6"/>
    <w:rsid w:val="2D5F0FB3"/>
    <w:rsid w:val="2D896DBC"/>
    <w:rsid w:val="2D8E6AA1"/>
    <w:rsid w:val="2D9E3F3B"/>
    <w:rsid w:val="2DB779FE"/>
    <w:rsid w:val="2DBB1973"/>
    <w:rsid w:val="2DBE18B9"/>
    <w:rsid w:val="2DD83121"/>
    <w:rsid w:val="2DDD09AD"/>
    <w:rsid w:val="2DE05A99"/>
    <w:rsid w:val="2DE216EF"/>
    <w:rsid w:val="2DE64306"/>
    <w:rsid w:val="2DFB2779"/>
    <w:rsid w:val="2DFD0E12"/>
    <w:rsid w:val="2E082789"/>
    <w:rsid w:val="2E1164EC"/>
    <w:rsid w:val="2E185C20"/>
    <w:rsid w:val="2E426A37"/>
    <w:rsid w:val="2E671D49"/>
    <w:rsid w:val="2E6A506F"/>
    <w:rsid w:val="2E6A6855"/>
    <w:rsid w:val="2E6C246A"/>
    <w:rsid w:val="2ED732BB"/>
    <w:rsid w:val="2EDA26BE"/>
    <w:rsid w:val="2F054589"/>
    <w:rsid w:val="2F1932C1"/>
    <w:rsid w:val="2F204FF5"/>
    <w:rsid w:val="2F3A21D2"/>
    <w:rsid w:val="2F3C01AA"/>
    <w:rsid w:val="2F4E6D45"/>
    <w:rsid w:val="2F6659DC"/>
    <w:rsid w:val="2F6F65CE"/>
    <w:rsid w:val="2F9677AD"/>
    <w:rsid w:val="2FA84559"/>
    <w:rsid w:val="2FC40808"/>
    <w:rsid w:val="2FC96718"/>
    <w:rsid w:val="2FD82AB0"/>
    <w:rsid w:val="2FE76C8B"/>
    <w:rsid w:val="2FEA18BD"/>
    <w:rsid w:val="2FF173E0"/>
    <w:rsid w:val="2FFE5920"/>
    <w:rsid w:val="300A5D72"/>
    <w:rsid w:val="30112832"/>
    <w:rsid w:val="301D4BC6"/>
    <w:rsid w:val="30232C19"/>
    <w:rsid w:val="30302B6A"/>
    <w:rsid w:val="303A097A"/>
    <w:rsid w:val="3048439E"/>
    <w:rsid w:val="3051671B"/>
    <w:rsid w:val="307E57DD"/>
    <w:rsid w:val="30862437"/>
    <w:rsid w:val="308650AE"/>
    <w:rsid w:val="30967FE3"/>
    <w:rsid w:val="30A32B7A"/>
    <w:rsid w:val="30C10E42"/>
    <w:rsid w:val="30C81BB7"/>
    <w:rsid w:val="30C978F2"/>
    <w:rsid w:val="30CA3404"/>
    <w:rsid w:val="30E95E7C"/>
    <w:rsid w:val="31017834"/>
    <w:rsid w:val="31220E89"/>
    <w:rsid w:val="312D18BF"/>
    <w:rsid w:val="312D1B16"/>
    <w:rsid w:val="312D35B7"/>
    <w:rsid w:val="314B0208"/>
    <w:rsid w:val="31517FD3"/>
    <w:rsid w:val="3169588A"/>
    <w:rsid w:val="319E506D"/>
    <w:rsid w:val="31B00C4C"/>
    <w:rsid w:val="31C109BA"/>
    <w:rsid w:val="31CC4502"/>
    <w:rsid w:val="320A6979"/>
    <w:rsid w:val="321369B4"/>
    <w:rsid w:val="321B6422"/>
    <w:rsid w:val="32603881"/>
    <w:rsid w:val="327626B1"/>
    <w:rsid w:val="327A01E3"/>
    <w:rsid w:val="327B17B0"/>
    <w:rsid w:val="3294217F"/>
    <w:rsid w:val="32A743AC"/>
    <w:rsid w:val="32C22770"/>
    <w:rsid w:val="32EC701F"/>
    <w:rsid w:val="33160E42"/>
    <w:rsid w:val="33170050"/>
    <w:rsid w:val="331E5FDE"/>
    <w:rsid w:val="33266D0A"/>
    <w:rsid w:val="333B777A"/>
    <w:rsid w:val="336903C8"/>
    <w:rsid w:val="33811C82"/>
    <w:rsid w:val="3395773F"/>
    <w:rsid w:val="33B811A0"/>
    <w:rsid w:val="33BF137E"/>
    <w:rsid w:val="33CB5D28"/>
    <w:rsid w:val="33E64BC7"/>
    <w:rsid w:val="33FF5013"/>
    <w:rsid w:val="3401216B"/>
    <w:rsid w:val="340438AC"/>
    <w:rsid w:val="340B4389"/>
    <w:rsid w:val="34156163"/>
    <w:rsid w:val="34250C97"/>
    <w:rsid w:val="342E68F6"/>
    <w:rsid w:val="34403235"/>
    <w:rsid w:val="34426F06"/>
    <w:rsid w:val="3445303D"/>
    <w:rsid w:val="347D3556"/>
    <w:rsid w:val="348470F5"/>
    <w:rsid w:val="348A40E9"/>
    <w:rsid w:val="349B7B23"/>
    <w:rsid w:val="349C4117"/>
    <w:rsid w:val="34A17BD5"/>
    <w:rsid w:val="34F82B97"/>
    <w:rsid w:val="35196C7F"/>
    <w:rsid w:val="35281BFB"/>
    <w:rsid w:val="35345F20"/>
    <w:rsid w:val="3562340C"/>
    <w:rsid w:val="358908F6"/>
    <w:rsid w:val="35A03043"/>
    <w:rsid w:val="35D00315"/>
    <w:rsid w:val="35DA363B"/>
    <w:rsid w:val="35E648EC"/>
    <w:rsid w:val="35E97864"/>
    <w:rsid w:val="36097FEA"/>
    <w:rsid w:val="360B058A"/>
    <w:rsid w:val="3623408A"/>
    <w:rsid w:val="362A250C"/>
    <w:rsid w:val="363317C9"/>
    <w:rsid w:val="363730BF"/>
    <w:rsid w:val="365D2FDA"/>
    <w:rsid w:val="367040D8"/>
    <w:rsid w:val="36853639"/>
    <w:rsid w:val="368E1A09"/>
    <w:rsid w:val="36AA5B3D"/>
    <w:rsid w:val="36CE041E"/>
    <w:rsid w:val="36E06418"/>
    <w:rsid w:val="36EC1A59"/>
    <w:rsid w:val="36EE605B"/>
    <w:rsid w:val="371D0B03"/>
    <w:rsid w:val="372D3EF0"/>
    <w:rsid w:val="374503B2"/>
    <w:rsid w:val="37466DAA"/>
    <w:rsid w:val="37647989"/>
    <w:rsid w:val="3768021F"/>
    <w:rsid w:val="37710B89"/>
    <w:rsid w:val="3773699D"/>
    <w:rsid w:val="37834192"/>
    <w:rsid w:val="378E2258"/>
    <w:rsid w:val="37947E48"/>
    <w:rsid w:val="37EB311D"/>
    <w:rsid w:val="3809157F"/>
    <w:rsid w:val="38166F6B"/>
    <w:rsid w:val="38285B1A"/>
    <w:rsid w:val="38286CC9"/>
    <w:rsid w:val="3834566E"/>
    <w:rsid w:val="384E7E60"/>
    <w:rsid w:val="385E482E"/>
    <w:rsid w:val="38703ECC"/>
    <w:rsid w:val="38855357"/>
    <w:rsid w:val="389749D2"/>
    <w:rsid w:val="38AD50E0"/>
    <w:rsid w:val="38BF71D3"/>
    <w:rsid w:val="38C5591F"/>
    <w:rsid w:val="38CF6861"/>
    <w:rsid w:val="38E50468"/>
    <w:rsid w:val="38ED6961"/>
    <w:rsid w:val="38EF0028"/>
    <w:rsid w:val="38F013B3"/>
    <w:rsid w:val="38F40240"/>
    <w:rsid w:val="391976DF"/>
    <w:rsid w:val="39296E97"/>
    <w:rsid w:val="393B2A2C"/>
    <w:rsid w:val="396357E8"/>
    <w:rsid w:val="39656A30"/>
    <w:rsid w:val="39C560B8"/>
    <w:rsid w:val="39CF02A3"/>
    <w:rsid w:val="39F949B9"/>
    <w:rsid w:val="3A250E21"/>
    <w:rsid w:val="3A2E5CCC"/>
    <w:rsid w:val="3A39033A"/>
    <w:rsid w:val="3A740808"/>
    <w:rsid w:val="3A754F53"/>
    <w:rsid w:val="3A766AB8"/>
    <w:rsid w:val="3AA26CEC"/>
    <w:rsid w:val="3AB83E5C"/>
    <w:rsid w:val="3AB854B6"/>
    <w:rsid w:val="3AC42566"/>
    <w:rsid w:val="3ACC23FA"/>
    <w:rsid w:val="3AD46AAA"/>
    <w:rsid w:val="3AF4737C"/>
    <w:rsid w:val="3B245833"/>
    <w:rsid w:val="3B3167B3"/>
    <w:rsid w:val="3B4C1F27"/>
    <w:rsid w:val="3B834496"/>
    <w:rsid w:val="3B8D5995"/>
    <w:rsid w:val="3B9A6425"/>
    <w:rsid w:val="3BC122B3"/>
    <w:rsid w:val="3BE32B48"/>
    <w:rsid w:val="3BE62B4B"/>
    <w:rsid w:val="3BEB485F"/>
    <w:rsid w:val="3BED6FDC"/>
    <w:rsid w:val="3BFB1702"/>
    <w:rsid w:val="3C057EF1"/>
    <w:rsid w:val="3C064FAC"/>
    <w:rsid w:val="3C1601AD"/>
    <w:rsid w:val="3C471E65"/>
    <w:rsid w:val="3C4A3D9B"/>
    <w:rsid w:val="3C6504EB"/>
    <w:rsid w:val="3C813580"/>
    <w:rsid w:val="3C90587B"/>
    <w:rsid w:val="3C9C5419"/>
    <w:rsid w:val="3CD72DF8"/>
    <w:rsid w:val="3CF03D11"/>
    <w:rsid w:val="3D003779"/>
    <w:rsid w:val="3D046F50"/>
    <w:rsid w:val="3D0654BB"/>
    <w:rsid w:val="3D125DB9"/>
    <w:rsid w:val="3D2379AC"/>
    <w:rsid w:val="3D321FBA"/>
    <w:rsid w:val="3D3D1989"/>
    <w:rsid w:val="3D3D3DA1"/>
    <w:rsid w:val="3D46037C"/>
    <w:rsid w:val="3D47179E"/>
    <w:rsid w:val="3D4F68C0"/>
    <w:rsid w:val="3D6E198C"/>
    <w:rsid w:val="3D6F018C"/>
    <w:rsid w:val="3D6F7F2D"/>
    <w:rsid w:val="3D805978"/>
    <w:rsid w:val="3D814A0B"/>
    <w:rsid w:val="3D873749"/>
    <w:rsid w:val="3DBA6D49"/>
    <w:rsid w:val="3DC7089A"/>
    <w:rsid w:val="3DEC2754"/>
    <w:rsid w:val="3DF3404A"/>
    <w:rsid w:val="3DF820D7"/>
    <w:rsid w:val="3E1F03F5"/>
    <w:rsid w:val="3E2C2F7F"/>
    <w:rsid w:val="3E2E5899"/>
    <w:rsid w:val="3E484A32"/>
    <w:rsid w:val="3E686822"/>
    <w:rsid w:val="3EA07DD2"/>
    <w:rsid w:val="3EA16F08"/>
    <w:rsid w:val="3EEC3D0D"/>
    <w:rsid w:val="3EFF210D"/>
    <w:rsid w:val="3F035AE7"/>
    <w:rsid w:val="3F135AA0"/>
    <w:rsid w:val="3F1643D8"/>
    <w:rsid w:val="3F381FDD"/>
    <w:rsid w:val="3F4476CD"/>
    <w:rsid w:val="3F602F93"/>
    <w:rsid w:val="3F6A52ED"/>
    <w:rsid w:val="3F802976"/>
    <w:rsid w:val="3F8F0F26"/>
    <w:rsid w:val="3F9C387B"/>
    <w:rsid w:val="3FE87C12"/>
    <w:rsid w:val="3FEB4BC5"/>
    <w:rsid w:val="3FF4567E"/>
    <w:rsid w:val="3FFB49A4"/>
    <w:rsid w:val="40127A5C"/>
    <w:rsid w:val="401B1208"/>
    <w:rsid w:val="401F5033"/>
    <w:rsid w:val="40297185"/>
    <w:rsid w:val="405328BD"/>
    <w:rsid w:val="40632D75"/>
    <w:rsid w:val="40640ABA"/>
    <w:rsid w:val="407934E3"/>
    <w:rsid w:val="407F53E0"/>
    <w:rsid w:val="40A11294"/>
    <w:rsid w:val="40A204FB"/>
    <w:rsid w:val="40A63F0F"/>
    <w:rsid w:val="40A6551E"/>
    <w:rsid w:val="40B73230"/>
    <w:rsid w:val="40BC7839"/>
    <w:rsid w:val="40C708AB"/>
    <w:rsid w:val="40CB0C94"/>
    <w:rsid w:val="40DF25DF"/>
    <w:rsid w:val="40E73C09"/>
    <w:rsid w:val="40E87C4F"/>
    <w:rsid w:val="41115E47"/>
    <w:rsid w:val="413027AD"/>
    <w:rsid w:val="41420A39"/>
    <w:rsid w:val="4153163C"/>
    <w:rsid w:val="41587ADD"/>
    <w:rsid w:val="419940BD"/>
    <w:rsid w:val="41D2393D"/>
    <w:rsid w:val="41E77975"/>
    <w:rsid w:val="41F82310"/>
    <w:rsid w:val="42160079"/>
    <w:rsid w:val="4221567F"/>
    <w:rsid w:val="4231155E"/>
    <w:rsid w:val="4250510A"/>
    <w:rsid w:val="4269685C"/>
    <w:rsid w:val="427B0A6F"/>
    <w:rsid w:val="42957252"/>
    <w:rsid w:val="429F04F7"/>
    <w:rsid w:val="42B9488B"/>
    <w:rsid w:val="42DE3807"/>
    <w:rsid w:val="42E43CB0"/>
    <w:rsid w:val="431A0B38"/>
    <w:rsid w:val="4329259C"/>
    <w:rsid w:val="43335A19"/>
    <w:rsid w:val="436C7B31"/>
    <w:rsid w:val="439731B8"/>
    <w:rsid w:val="43AF0728"/>
    <w:rsid w:val="43C53365"/>
    <w:rsid w:val="43E07973"/>
    <w:rsid w:val="43F64DA7"/>
    <w:rsid w:val="444F6EC7"/>
    <w:rsid w:val="445C42EB"/>
    <w:rsid w:val="445C7EFB"/>
    <w:rsid w:val="447A4199"/>
    <w:rsid w:val="447E50B6"/>
    <w:rsid w:val="44802E0E"/>
    <w:rsid w:val="44882266"/>
    <w:rsid w:val="448B7082"/>
    <w:rsid w:val="449B1267"/>
    <w:rsid w:val="44A71232"/>
    <w:rsid w:val="44B06D13"/>
    <w:rsid w:val="44B80DBF"/>
    <w:rsid w:val="44C241A2"/>
    <w:rsid w:val="44C71029"/>
    <w:rsid w:val="44F10961"/>
    <w:rsid w:val="4510614B"/>
    <w:rsid w:val="45333D12"/>
    <w:rsid w:val="453A4C0E"/>
    <w:rsid w:val="45462DB3"/>
    <w:rsid w:val="454F52EA"/>
    <w:rsid w:val="456513DB"/>
    <w:rsid w:val="456D3B81"/>
    <w:rsid w:val="457B102A"/>
    <w:rsid w:val="45AB3C8D"/>
    <w:rsid w:val="45AE3F53"/>
    <w:rsid w:val="45C90FB2"/>
    <w:rsid w:val="45E33391"/>
    <w:rsid w:val="45F83019"/>
    <w:rsid w:val="45FA0103"/>
    <w:rsid w:val="45FE550D"/>
    <w:rsid w:val="46062CF0"/>
    <w:rsid w:val="461A7AC7"/>
    <w:rsid w:val="466841AC"/>
    <w:rsid w:val="467471CB"/>
    <w:rsid w:val="46871E4C"/>
    <w:rsid w:val="46896DEF"/>
    <w:rsid w:val="46986D5D"/>
    <w:rsid w:val="46A27015"/>
    <w:rsid w:val="46A365F7"/>
    <w:rsid w:val="46C430A1"/>
    <w:rsid w:val="46DD3374"/>
    <w:rsid w:val="46DE71B9"/>
    <w:rsid w:val="46E40326"/>
    <w:rsid w:val="46F310CA"/>
    <w:rsid w:val="47074545"/>
    <w:rsid w:val="472B30C5"/>
    <w:rsid w:val="47413A87"/>
    <w:rsid w:val="476F5AB7"/>
    <w:rsid w:val="479F4109"/>
    <w:rsid w:val="47B83CC4"/>
    <w:rsid w:val="47BB613C"/>
    <w:rsid w:val="47C14582"/>
    <w:rsid w:val="47CE5B3B"/>
    <w:rsid w:val="47D45D4A"/>
    <w:rsid w:val="48197357"/>
    <w:rsid w:val="481F5F99"/>
    <w:rsid w:val="4834714B"/>
    <w:rsid w:val="48416FAA"/>
    <w:rsid w:val="48502F20"/>
    <w:rsid w:val="487A1665"/>
    <w:rsid w:val="489A3B9A"/>
    <w:rsid w:val="48A263E1"/>
    <w:rsid w:val="48B01352"/>
    <w:rsid w:val="48D15952"/>
    <w:rsid w:val="48D24FC6"/>
    <w:rsid w:val="48E34557"/>
    <w:rsid w:val="48F42367"/>
    <w:rsid w:val="48F977A5"/>
    <w:rsid w:val="490D04C9"/>
    <w:rsid w:val="49133DDE"/>
    <w:rsid w:val="494F6304"/>
    <w:rsid w:val="495F6869"/>
    <w:rsid w:val="496E53C5"/>
    <w:rsid w:val="498271EB"/>
    <w:rsid w:val="49A115A8"/>
    <w:rsid w:val="49A506AC"/>
    <w:rsid w:val="49D106C7"/>
    <w:rsid w:val="49D75EFE"/>
    <w:rsid w:val="49ED1287"/>
    <w:rsid w:val="49F3332A"/>
    <w:rsid w:val="49F6769A"/>
    <w:rsid w:val="4A4F69DD"/>
    <w:rsid w:val="4A583AE8"/>
    <w:rsid w:val="4A5C2746"/>
    <w:rsid w:val="4A8869E5"/>
    <w:rsid w:val="4A92681F"/>
    <w:rsid w:val="4AAA5CD3"/>
    <w:rsid w:val="4ABE451E"/>
    <w:rsid w:val="4AC17789"/>
    <w:rsid w:val="4AC521F3"/>
    <w:rsid w:val="4AEB6B17"/>
    <w:rsid w:val="4AF37679"/>
    <w:rsid w:val="4B50287F"/>
    <w:rsid w:val="4B5122BC"/>
    <w:rsid w:val="4B5868B4"/>
    <w:rsid w:val="4B5B3874"/>
    <w:rsid w:val="4B6A58C7"/>
    <w:rsid w:val="4B700457"/>
    <w:rsid w:val="4B7C7729"/>
    <w:rsid w:val="4BAB480C"/>
    <w:rsid w:val="4BE80C09"/>
    <w:rsid w:val="4C130B70"/>
    <w:rsid w:val="4C1F051D"/>
    <w:rsid w:val="4C2D3C0D"/>
    <w:rsid w:val="4C394B38"/>
    <w:rsid w:val="4C4C6CFB"/>
    <w:rsid w:val="4C4F525A"/>
    <w:rsid w:val="4C723FC5"/>
    <w:rsid w:val="4C7C02F8"/>
    <w:rsid w:val="4C9A608A"/>
    <w:rsid w:val="4CAE1796"/>
    <w:rsid w:val="4CBC2E35"/>
    <w:rsid w:val="4CBF1594"/>
    <w:rsid w:val="4CCD3632"/>
    <w:rsid w:val="4CE532AC"/>
    <w:rsid w:val="4D0C0C2F"/>
    <w:rsid w:val="4D297313"/>
    <w:rsid w:val="4D325B25"/>
    <w:rsid w:val="4D6F00DE"/>
    <w:rsid w:val="4D9A1059"/>
    <w:rsid w:val="4DA11127"/>
    <w:rsid w:val="4DA549CF"/>
    <w:rsid w:val="4DBB5CA1"/>
    <w:rsid w:val="4DE40D90"/>
    <w:rsid w:val="4E042DE3"/>
    <w:rsid w:val="4E0B7FC1"/>
    <w:rsid w:val="4E3D1395"/>
    <w:rsid w:val="4E8646B1"/>
    <w:rsid w:val="4E92190F"/>
    <w:rsid w:val="4E9703F7"/>
    <w:rsid w:val="4EA377F0"/>
    <w:rsid w:val="4EA560F4"/>
    <w:rsid w:val="4EA7385D"/>
    <w:rsid w:val="4EB90223"/>
    <w:rsid w:val="4EF015F4"/>
    <w:rsid w:val="4EF07E7A"/>
    <w:rsid w:val="4F112C6B"/>
    <w:rsid w:val="4F2A7373"/>
    <w:rsid w:val="4F2D41BF"/>
    <w:rsid w:val="4F2E7575"/>
    <w:rsid w:val="4F3A1C26"/>
    <w:rsid w:val="4F3C4387"/>
    <w:rsid w:val="4F473A81"/>
    <w:rsid w:val="4F511463"/>
    <w:rsid w:val="4F81198B"/>
    <w:rsid w:val="4F81232D"/>
    <w:rsid w:val="4F897738"/>
    <w:rsid w:val="4F9E0476"/>
    <w:rsid w:val="4FA266A0"/>
    <w:rsid w:val="4FA720C5"/>
    <w:rsid w:val="4FF7445D"/>
    <w:rsid w:val="501148B8"/>
    <w:rsid w:val="50145356"/>
    <w:rsid w:val="501F6D2A"/>
    <w:rsid w:val="50220321"/>
    <w:rsid w:val="50277352"/>
    <w:rsid w:val="50355A88"/>
    <w:rsid w:val="506365EB"/>
    <w:rsid w:val="50714878"/>
    <w:rsid w:val="50922E92"/>
    <w:rsid w:val="50B67575"/>
    <w:rsid w:val="50B961CD"/>
    <w:rsid w:val="50CC27D0"/>
    <w:rsid w:val="50DA36DA"/>
    <w:rsid w:val="50F56DBD"/>
    <w:rsid w:val="50F6758F"/>
    <w:rsid w:val="510759AD"/>
    <w:rsid w:val="510868C6"/>
    <w:rsid w:val="513013C2"/>
    <w:rsid w:val="515F5C41"/>
    <w:rsid w:val="516578FC"/>
    <w:rsid w:val="5186406D"/>
    <w:rsid w:val="51D36CC9"/>
    <w:rsid w:val="521B4C1A"/>
    <w:rsid w:val="52285E9D"/>
    <w:rsid w:val="523E2DE8"/>
    <w:rsid w:val="52A035F2"/>
    <w:rsid w:val="52AF0B73"/>
    <w:rsid w:val="52D9445A"/>
    <w:rsid w:val="52DB7417"/>
    <w:rsid w:val="533E1B33"/>
    <w:rsid w:val="53432B25"/>
    <w:rsid w:val="53AB7961"/>
    <w:rsid w:val="53AF6A5B"/>
    <w:rsid w:val="53D275BB"/>
    <w:rsid w:val="53D8194C"/>
    <w:rsid w:val="53E9259D"/>
    <w:rsid w:val="540B7D0D"/>
    <w:rsid w:val="54293B80"/>
    <w:rsid w:val="54312413"/>
    <w:rsid w:val="54511757"/>
    <w:rsid w:val="545B1438"/>
    <w:rsid w:val="54783D32"/>
    <w:rsid w:val="54854DAA"/>
    <w:rsid w:val="5493422B"/>
    <w:rsid w:val="54AC1EEB"/>
    <w:rsid w:val="54B33FC7"/>
    <w:rsid w:val="54BB339A"/>
    <w:rsid w:val="54C11F9F"/>
    <w:rsid w:val="54C63D12"/>
    <w:rsid w:val="54CD2A37"/>
    <w:rsid w:val="54D60F87"/>
    <w:rsid w:val="54F35A59"/>
    <w:rsid w:val="55145C2C"/>
    <w:rsid w:val="55153718"/>
    <w:rsid w:val="5517338D"/>
    <w:rsid w:val="552667B8"/>
    <w:rsid w:val="55470D9F"/>
    <w:rsid w:val="555B30CE"/>
    <w:rsid w:val="555B501B"/>
    <w:rsid w:val="556704CE"/>
    <w:rsid w:val="558179C9"/>
    <w:rsid w:val="558E2409"/>
    <w:rsid w:val="559516B6"/>
    <w:rsid w:val="559C4EA5"/>
    <w:rsid w:val="55C11152"/>
    <w:rsid w:val="55ED540A"/>
    <w:rsid w:val="563B1727"/>
    <w:rsid w:val="56634FC4"/>
    <w:rsid w:val="56B744FF"/>
    <w:rsid w:val="56EB32ED"/>
    <w:rsid w:val="56F12F42"/>
    <w:rsid w:val="56F76B89"/>
    <w:rsid w:val="57005D36"/>
    <w:rsid w:val="57385C78"/>
    <w:rsid w:val="573D2D61"/>
    <w:rsid w:val="573F53C6"/>
    <w:rsid w:val="57746DAC"/>
    <w:rsid w:val="57761330"/>
    <w:rsid w:val="57856D24"/>
    <w:rsid w:val="578A21DD"/>
    <w:rsid w:val="578D383D"/>
    <w:rsid w:val="579A6155"/>
    <w:rsid w:val="57A65853"/>
    <w:rsid w:val="57AB70CA"/>
    <w:rsid w:val="57E061E7"/>
    <w:rsid w:val="57EE60F8"/>
    <w:rsid w:val="57F1181F"/>
    <w:rsid w:val="57F67225"/>
    <w:rsid w:val="581F40D7"/>
    <w:rsid w:val="582B5FD0"/>
    <w:rsid w:val="585030C9"/>
    <w:rsid w:val="58705B36"/>
    <w:rsid w:val="587378F9"/>
    <w:rsid w:val="58837DE2"/>
    <w:rsid w:val="58867311"/>
    <w:rsid w:val="5887282D"/>
    <w:rsid w:val="588E4ED9"/>
    <w:rsid w:val="58D04F5D"/>
    <w:rsid w:val="59022563"/>
    <w:rsid w:val="59061E22"/>
    <w:rsid w:val="59477732"/>
    <w:rsid w:val="595413A1"/>
    <w:rsid w:val="59802BA0"/>
    <w:rsid w:val="59875ACE"/>
    <w:rsid w:val="598A06B4"/>
    <w:rsid w:val="59A02198"/>
    <w:rsid w:val="59AF519D"/>
    <w:rsid w:val="59B13F82"/>
    <w:rsid w:val="59C23447"/>
    <w:rsid w:val="59E41F31"/>
    <w:rsid w:val="59F90A0B"/>
    <w:rsid w:val="5A062892"/>
    <w:rsid w:val="5A1005D3"/>
    <w:rsid w:val="5A111B4A"/>
    <w:rsid w:val="5A244A86"/>
    <w:rsid w:val="5A371465"/>
    <w:rsid w:val="5A56129A"/>
    <w:rsid w:val="5A8C6E29"/>
    <w:rsid w:val="5A8F58EC"/>
    <w:rsid w:val="5AA92138"/>
    <w:rsid w:val="5AB6716C"/>
    <w:rsid w:val="5AF515AA"/>
    <w:rsid w:val="5AF64985"/>
    <w:rsid w:val="5B15722A"/>
    <w:rsid w:val="5B2F6622"/>
    <w:rsid w:val="5B333E4B"/>
    <w:rsid w:val="5B5945C5"/>
    <w:rsid w:val="5B6600BF"/>
    <w:rsid w:val="5B822D86"/>
    <w:rsid w:val="5B8D26A1"/>
    <w:rsid w:val="5B9266F1"/>
    <w:rsid w:val="5B9608D0"/>
    <w:rsid w:val="5B9A26F6"/>
    <w:rsid w:val="5BA031E7"/>
    <w:rsid w:val="5BA4219D"/>
    <w:rsid w:val="5BAE7A30"/>
    <w:rsid w:val="5BB721D9"/>
    <w:rsid w:val="5BBC0CE4"/>
    <w:rsid w:val="5BD025FE"/>
    <w:rsid w:val="5BD50D77"/>
    <w:rsid w:val="5BEF1B5D"/>
    <w:rsid w:val="5C1443BB"/>
    <w:rsid w:val="5C255D7A"/>
    <w:rsid w:val="5C2E4DC8"/>
    <w:rsid w:val="5C385BF7"/>
    <w:rsid w:val="5C403BFE"/>
    <w:rsid w:val="5C406961"/>
    <w:rsid w:val="5C4B52C6"/>
    <w:rsid w:val="5C526926"/>
    <w:rsid w:val="5C6E5DB1"/>
    <w:rsid w:val="5C7B120D"/>
    <w:rsid w:val="5CAE3868"/>
    <w:rsid w:val="5CB00EB7"/>
    <w:rsid w:val="5CD10384"/>
    <w:rsid w:val="5CDA17B8"/>
    <w:rsid w:val="5CE7285E"/>
    <w:rsid w:val="5D0B5035"/>
    <w:rsid w:val="5D1C68F8"/>
    <w:rsid w:val="5D203DAF"/>
    <w:rsid w:val="5D234849"/>
    <w:rsid w:val="5D2A2FFC"/>
    <w:rsid w:val="5D3E6D2D"/>
    <w:rsid w:val="5D4A1FC6"/>
    <w:rsid w:val="5D5647DF"/>
    <w:rsid w:val="5D627FBA"/>
    <w:rsid w:val="5D9B2170"/>
    <w:rsid w:val="5DA20F2D"/>
    <w:rsid w:val="5DA75B57"/>
    <w:rsid w:val="5DA83C65"/>
    <w:rsid w:val="5DB37578"/>
    <w:rsid w:val="5DC6470A"/>
    <w:rsid w:val="5DEC3B01"/>
    <w:rsid w:val="5DF36E65"/>
    <w:rsid w:val="5E0958EC"/>
    <w:rsid w:val="5E0B14EF"/>
    <w:rsid w:val="5E3D754F"/>
    <w:rsid w:val="5E544CC5"/>
    <w:rsid w:val="5E7A0CE6"/>
    <w:rsid w:val="5F170F45"/>
    <w:rsid w:val="5F1D171D"/>
    <w:rsid w:val="5F266E7F"/>
    <w:rsid w:val="5F2A1529"/>
    <w:rsid w:val="5F3217A1"/>
    <w:rsid w:val="5F324F47"/>
    <w:rsid w:val="5F3A0FF5"/>
    <w:rsid w:val="5F3D7C0F"/>
    <w:rsid w:val="5F4969E1"/>
    <w:rsid w:val="5F4E3B8E"/>
    <w:rsid w:val="5F6A6FD2"/>
    <w:rsid w:val="5F7438FA"/>
    <w:rsid w:val="5FA81F84"/>
    <w:rsid w:val="5FB3574D"/>
    <w:rsid w:val="5FF7188D"/>
    <w:rsid w:val="5FF90DA0"/>
    <w:rsid w:val="600135CD"/>
    <w:rsid w:val="600A359F"/>
    <w:rsid w:val="601900D9"/>
    <w:rsid w:val="60635955"/>
    <w:rsid w:val="607E7918"/>
    <w:rsid w:val="60A32108"/>
    <w:rsid w:val="60A52761"/>
    <w:rsid w:val="60A80AA7"/>
    <w:rsid w:val="60C25C16"/>
    <w:rsid w:val="61575410"/>
    <w:rsid w:val="6176601C"/>
    <w:rsid w:val="61903BE7"/>
    <w:rsid w:val="619E0170"/>
    <w:rsid w:val="61F85576"/>
    <w:rsid w:val="62443104"/>
    <w:rsid w:val="62806A3C"/>
    <w:rsid w:val="62902CC2"/>
    <w:rsid w:val="629930CE"/>
    <w:rsid w:val="629D53CA"/>
    <w:rsid w:val="62B4371A"/>
    <w:rsid w:val="62B66B41"/>
    <w:rsid w:val="62B90E98"/>
    <w:rsid w:val="62C654DC"/>
    <w:rsid w:val="62D45C20"/>
    <w:rsid w:val="62DA54AE"/>
    <w:rsid w:val="62DF24F0"/>
    <w:rsid w:val="62E25EC3"/>
    <w:rsid w:val="62E61243"/>
    <w:rsid w:val="62E90C68"/>
    <w:rsid w:val="62FC15E0"/>
    <w:rsid w:val="62FD31C9"/>
    <w:rsid w:val="63301C81"/>
    <w:rsid w:val="63376D6A"/>
    <w:rsid w:val="638A0AC1"/>
    <w:rsid w:val="638F4443"/>
    <w:rsid w:val="639A3AF3"/>
    <w:rsid w:val="63DF3468"/>
    <w:rsid w:val="63E827AD"/>
    <w:rsid w:val="63F94707"/>
    <w:rsid w:val="63FF0A2A"/>
    <w:rsid w:val="6434242F"/>
    <w:rsid w:val="64355C74"/>
    <w:rsid w:val="64381A24"/>
    <w:rsid w:val="64A05465"/>
    <w:rsid w:val="64A7537F"/>
    <w:rsid w:val="64B075E4"/>
    <w:rsid w:val="64BD568B"/>
    <w:rsid w:val="64BE031D"/>
    <w:rsid w:val="64C10681"/>
    <w:rsid w:val="64EC247C"/>
    <w:rsid w:val="64F0393E"/>
    <w:rsid w:val="653815B6"/>
    <w:rsid w:val="655464C5"/>
    <w:rsid w:val="65612A91"/>
    <w:rsid w:val="656C2024"/>
    <w:rsid w:val="657062B9"/>
    <w:rsid w:val="657210E4"/>
    <w:rsid w:val="65787643"/>
    <w:rsid w:val="65992506"/>
    <w:rsid w:val="659A7E37"/>
    <w:rsid w:val="65B235B3"/>
    <w:rsid w:val="65C84BBB"/>
    <w:rsid w:val="65E00DD2"/>
    <w:rsid w:val="65F241B6"/>
    <w:rsid w:val="66060856"/>
    <w:rsid w:val="66232E00"/>
    <w:rsid w:val="662F3D35"/>
    <w:rsid w:val="66364FFE"/>
    <w:rsid w:val="669F0B85"/>
    <w:rsid w:val="66A50C25"/>
    <w:rsid w:val="66B62CBD"/>
    <w:rsid w:val="66C83704"/>
    <w:rsid w:val="66CB331D"/>
    <w:rsid w:val="66EB0CD7"/>
    <w:rsid w:val="67362E19"/>
    <w:rsid w:val="675C3E99"/>
    <w:rsid w:val="677F1DD4"/>
    <w:rsid w:val="67A26C35"/>
    <w:rsid w:val="67A957EB"/>
    <w:rsid w:val="67B61ED7"/>
    <w:rsid w:val="67C41C44"/>
    <w:rsid w:val="67C43300"/>
    <w:rsid w:val="67C7380B"/>
    <w:rsid w:val="67CA2EFD"/>
    <w:rsid w:val="67EA222A"/>
    <w:rsid w:val="67F02AB0"/>
    <w:rsid w:val="67F43143"/>
    <w:rsid w:val="67F95DCB"/>
    <w:rsid w:val="67FB776A"/>
    <w:rsid w:val="68031A22"/>
    <w:rsid w:val="680D2599"/>
    <w:rsid w:val="68191CEA"/>
    <w:rsid w:val="683226D0"/>
    <w:rsid w:val="68437FD1"/>
    <w:rsid w:val="68466883"/>
    <w:rsid w:val="684D1BAC"/>
    <w:rsid w:val="686E4179"/>
    <w:rsid w:val="687654A6"/>
    <w:rsid w:val="688434D6"/>
    <w:rsid w:val="6891032A"/>
    <w:rsid w:val="68D7011E"/>
    <w:rsid w:val="68E42686"/>
    <w:rsid w:val="68F33F8B"/>
    <w:rsid w:val="68F95B2D"/>
    <w:rsid w:val="69084D05"/>
    <w:rsid w:val="690C6177"/>
    <w:rsid w:val="690F748C"/>
    <w:rsid w:val="694B78D0"/>
    <w:rsid w:val="695914CA"/>
    <w:rsid w:val="69C23473"/>
    <w:rsid w:val="69CA2CD7"/>
    <w:rsid w:val="69CF0333"/>
    <w:rsid w:val="69E7590E"/>
    <w:rsid w:val="69F94B25"/>
    <w:rsid w:val="6A0C60FC"/>
    <w:rsid w:val="6A4853B4"/>
    <w:rsid w:val="6A4F6358"/>
    <w:rsid w:val="6A545D63"/>
    <w:rsid w:val="6A65301A"/>
    <w:rsid w:val="6A6C41CE"/>
    <w:rsid w:val="6A7E19F5"/>
    <w:rsid w:val="6A856248"/>
    <w:rsid w:val="6AA13425"/>
    <w:rsid w:val="6ADE5499"/>
    <w:rsid w:val="6B027F92"/>
    <w:rsid w:val="6B095828"/>
    <w:rsid w:val="6B13289D"/>
    <w:rsid w:val="6B194743"/>
    <w:rsid w:val="6B3E6C29"/>
    <w:rsid w:val="6B547C7C"/>
    <w:rsid w:val="6B6146D7"/>
    <w:rsid w:val="6B822E65"/>
    <w:rsid w:val="6BC07264"/>
    <w:rsid w:val="6BCE2BE9"/>
    <w:rsid w:val="6C1D408F"/>
    <w:rsid w:val="6C217681"/>
    <w:rsid w:val="6C3062DB"/>
    <w:rsid w:val="6C3322A0"/>
    <w:rsid w:val="6C3841ED"/>
    <w:rsid w:val="6C3F1426"/>
    <w:rsid w:val="6C4444BB"/>
    <w:rsid w:val="6C690C8A"/>
    <w:rsid w:val="6C723AA7"/>
    <w:rsid w:val="6C7522C1"/>
    <w:rsid w:val="6C80548B"/>
    <w:rsid w:val="6C965971"/>
    <w:rsid w:val="6CA0536D"/>
    <w:rsid w:val="6CB76602"/>
    <w:rsid w:val="6CC76549"/>
    <w:rsid w:val="6CD97AE2"/>
    <w:rsid w:val="6CEB09BE"/>
    <w:rsid w:val="6CEC1AA9"/>
    <w:rsid w:val="6D1B5985"/>
    <w:rsid w:val="6D3C01A6"/>
    <w:rsid w:val="6D46274A"/>
    <w:rsid w:val="6D4A1779"/>
    <w:rsid w:val="6D51529D"/>
    <w:rsid w:val="6D613277"/>
    <w:rsid w:val="6D752268"/>
    <w:rsid w:val="6D855B12"/>
    <w:rsid w:val="6DCE5FD6"/>
    <w:rsid w:val="6DDF3A68"/>
    <w:rsid w:val="6DFF0F79"/>
    <w:rsid w:val="6E05705D"/>
    <w:rsid w:val="6E1135E9"/>
    <w:rsid w:val="6E146121"/>
    <w:rsid w:val="6E2F5246"/>
    <w:rsid w:val="6E3065AF"/>
    <w:rsid w:val="6E3079D5"/>
    <w:rsid w:val="6E410F89"/>
    <w:rsid w:val="6E4164FB"/>
    <w:rsid w:val="6E50156C"/>
    <w:rsid w:val="6E682569"/>
    <w:rsid w:val="6E6F130D"/>
    <w:rsid w:val="6E6F4989"/>
    <w:rsid w:val="6E71035E"/>
    <w:rsid w:val="6E824A06"/>
    <w:rsid w:val="6EA61A83"/>
    <w:rsid w:val="6EB3131B"/>
    <w:rsid w:val="6EB5096A"/>
    <w:rsid w:val="6ED74E66"/>
    <w:rsid w:val="6EEE519E"/>
    <w:rsid w:val="6EF322F3"/>
    <w:rsid w:val="6EF36ECC"/>
    <w:rsid w:val="6EF543A5"/>
    <w:rsid w:val="6F287EDA"/>
    <w:rsid w:val="6F330DA4"/>
    <w:rsid w:val="6F4E3402"/>
    <w:rsid w:val="6F733CB5"/>
    <w:rsid w:val="6F9123A6"/>
    <w:rsid w:val="6F9D0E95"/>
    <w:rsid w:val="6F9D3848"/>
    <w:rsid w:val="6FBD4821"/>
    <w:rsid w:val="6FCB05DA"/>
    <w:rsid w:val="6FD4088D"/>
    <w:rsid w:val="6FE50A09"/>
    <w:rsid w:val="6FED7F61"/>
    <w:rsid w:val="6FFB73F8"/>
    <w:rsid w:val="704679F6"/>
    <w:rsid w:val="705838E8"/>
    <w:rsid w:val="70611AB3"/>
    <w:rsid w:val="707962C2"/>
    <w:rsid w:val="70AD4760"/>
    <w:rsid w:val="70AE7FFF"/>
    <w:rsid w:val="70F50C6D"/>
    <w:rsid w:val="71012D98"/>
    <w:rsid w:val="71056FF9"/>
    <w:rsid w:val="7117401A"/>
    <w:rsid w:val="71345B50"/>
    <w:rsid w:val="718765FF"/>
    <w:rsid w:val="71910EE0"/>
    <w:rsid w:val="71A85F88"/>
    <w:rsid w:val="71E32467"/>
    <w:rsid w:val="720F0EF9"/>
    <w:rsid w:val="72281EB4"/>
    <w:rsid w:val="72367428"/>
    <w:rsid w:val="723865C9"/>
    <w:rsid w:val="72423B09"/>
    <w:rsid w:val="72544682"/>
    <w:rsid w:val="728C7DEC"/>
    <w:rsid w:val="729953A2"/>
    <w:rsid w:val="72AC1616"/>
    <w:rsid w:val="73152EDD"/>
    <w:rsid w:val="73167F8C"/>
    <w:rsid w:val="731E62A0"/>
    <w:rsid w:val="733236EC"/>
    <w:rsid w:val="73397FC5"/>
    <w:rsid w:val="733B28D2"/>
    <w:rsid w:val="734D76F1"/>
    <w:rsid w:val="735468EF"/>
    <w:rsid w:val="7394444F"/>
    <w:rsid w:val="739A5D57"/>
    <w:rsid w:val="73D1775D"/>
    <w:rsid w:val="73D70DA6"/>
    <w:rsid w:val="73F729D0"/>
    <w:rsid w:val="745160C5"/>
    <w:rsid w:val="74552265"/>
    <w:rsid w:val="745D1EDC"/>
    <w:rsid w:val="7463127F"/>
    <w:rsid w:val="74673A5F"/>
    <w:rsid w:val="74702018"/>
    <w:rsid w:val="74775560"/>
    <w:rsid w:val="74790842"/>
    <w:rsid w:val="7493038B"/>
    <w:rsid w:val="749628B1"/>
    <w:rsid w:val="749A7FB6"/>
    <w:rsid w:val="74C67626"/>
    <w:rsid w:val="750A38CF"/>
    <w:rsid w:val="751565F4"/>
    <w:rsid w:val="751B75E0"/>
    <w:rsid w:val="75377F70"/>
    <w:rsid w:val="75624E56"/>
    <w:rsid w:val="75787BC1"/>
    <w:rsid w:val="758B61E0"/>
    <w:rsid w:val="75B80DD9"/>
    <w:rsid w:val="75CA3D66"/>
    <w:rsid w:val="75DF47E5"/>
    <w:rsid w:val="75DF633E"/>
    <w:rsid w:val="75E832AF"/>
    <w:rsid w:val="75F80EDD"/>
    <w:rsid w:val="75FD72A4"/>
    <w:rsid w:val="7606400B"/>
    <w:rsid w:val="760E2416"/>
    <w:rsid w:val="762660FF"/>
    <w:rsid w:val="76320C57"/>
    <w:rsid w:val="763A6B8D"/>
    <w:rsid w:val="7690180E"/>
    <w:rsid w:val="769136B0"/>
    <w:rsid w:val="769A3447"/>
    <w:rsid w:val="76A1646D"/>
    <w:rsid w:val="76BF3924"/>
    <w:rsid w:val="76E82A44"/>
    <w:rsid w:val="76F9138A"/>
    <w:rsid w:val="76FE1383"/>
    <w:rsid w:val="773D23BD"/>
    <w:rsid w:val="77486B66"/>
    <w:rsid w:val="7790165D"/>
    <w:rsid w:val="77B93FA2"/>
    <w:rsid w:val="77E11024"/>
    <w:rsid w:val="77F85318"/>
    <w:rsid w:val="77F97A91"/>
    <w:rsid w:val="77FF5C20"/>
    <w:rsid w:val="781C14B2"/>
    <w:rsid w:val="783507A1"/>
    <w:rsid w:val="78452A18"/>
    <w:rsid w:val="785A2037"/>
    <w:rsid w:val="787F2563"/>
    <w:rsid w:val="78AC1642"/>
    <w:rsid w:val="78BE0F83"/>
    <w:rsid w:val="78C71C03"/>
    <w:rsid w:val="79391B2F"/>
    <w:rsid w:val="79410C3F"/>
    <w:rsid w:val="794F01CA"/>
    <w:rsid w:val="7957290A"/>
    <w:rsid w:val="796C5F84"/>
    <w:rsid w:val="79792374"/>
    <w:rsid w:val="79A869B5"/>
    <w:rsid w:val="79A911D1"/>
    <w:rsid w:val="79AC3EB1"/>
    <w:rsid w:val="79B21659"/>
    <w:rsid w:val="79B838A6"/>
    <w:rsid w:val="79C61F15"/>
    <w:rsid w:val="79CD5934"/>
    <w:rsid w:val="79D62ABF"/>
    <w:rsid w:val="79EF728D"/>
    <w:rsid w:val="7A477AC9"/>
    <w:rsid w:val="7A48508B"/>
    <w:rsid w:val="7A5B6EEC"/>
    <w:rsid w:val="7A7553A5"/>
    <w:rsid w:val="7A832299"/>
    <w:rsid w:val="7A877B5A"/>
    <w:rsid w:val="7A9A7123"/>
    <w:rsid w:val="7AA524D3"/>
    <w:rsid w:val="7AAC1D8B"/>
    <w:rsid w:val="7ABF3344"/>
    <w:rsid w:val="7AC95611"/>
    <w:rsid w:val="7AE62B88"/>
    <w:rsid w:val="7AEB4724"/>
    <w:rsid w:val="7AEF4996"/>
    <w:rsid w:val="7AFF757F"/>
    <w:rsid w:val="7B1A4D93"/>
    <w:rsid w:val="7B480645"/>
    <w:rsid w:val="7B4B0FD3"/>
    <w:rsid w:val="7B4C746E"/>
    <w:rsid w:val="7B5F4B9F"/>
    <w:rsid w:val="7B600127"/>
    <w:rsid w:val="7B674749"/>
    <w:rsid w:val="7B872DAB"/>
    <w:rsid w:val="7BA85F6D"/>
    <w:rsid w:val="7BAD384E"/>
    <w:rsid w:val="7BB14FF1"/>
    <w:rsid w:val="7BB17113"/>
    <w:rsid w:val="7BB82AE6"/>
    <w:rsid w:val="7BB82E7F"/>
    <w:rsid w:val="7BBB3194"/>
    <w:rsid w:val="7C8C47F7"/>
    <w:rsid w:val="7CC34CD6"/>
    <w:rsid w:val="7CD50BD5"/>
    <w:rsid w:val="7CDF2AF8"/>
    <w:rsid w:val="7CF3777D"/>
    <w:rsid w:val="7D082B82"/>
    <w:rsid w:val="7D154242"/>
    <w:rsid w:val="7D19144C"/>
    <w:rsid w:val="7D1B7C14"/>
    <w:rsid w:val="7D1F0657"/>
    <w:rsid w:val="7D5712C4"/>
    <w:rsid w:val="7D5B43A2"/>
    <w:rsid w:val="7D5F3C81"/>
    <w:rsid w:val="7D636143"/>
    <w:rsid w:val="7D660583"/>
    <w:rsid w:val="7D7D4A84"/>
    <w:rsid w:val="7D8C6FC5"/>
    <w:rsid w:val="7DAD5006"/>
    <w:rsid w:val="7DB652E5"/>
    <w:rsid w:val="7DB72A34"/>
    <w:rsid w:val="7DFA77E6"/>
    <w:rsid w:val="7DFB7793"/>
    <w:rsid w:val="7E15362A"/>
    <w:rsid w:val="7E153D01"/>
    <w:rsid w:val="7E366954"/>
    <w:rsid w:val="7E5B5CE5"/>
    <w:rsid w:val="7E63363C"/>
    <w:rsid w:val="7E8835EA"/>
    <w:rsid w:val="7EB21847"/>
    <w:rsid w:val="7EDC65F9"/>
    <w:rsid w:val="7EE15D1B"/>
    <w:rsid w:val="7EF1123E"/>
    <w:rsid w:val="7F1A4CD8"/>
    <w:rsid w:val="7F3D7D7B"/>
    <w:rsid w:val="7F430801"/>
    <w:rsid w:val="7F4915BE"/>
    <w:rsid w:val="7F503682"/>
    <w:rsid w:val="7F5F640D"/>
    <w:rsid w:val="7F6D38A1"/>
    <w:rsid w:val="7F962489"/>
    <w:rsid w:val="7F971F85"/>
    <w:rsid w:val="7FA13BA5"/>
    <w:rsid w:val="7FB37871"/>
    <w:rsid w:val="7FE752F9"/>
    <w:rsid w:val="7FEA4EDF"/>
    <w:rsid w:val="7FF94C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1"/>
    <w:qFormat/>
    <w:uiPriority w:val="99"/>
    <w:pPr>
      <w:ind w:firstLine="0" w:firstLineChars="0"/>
      <w:jc w:val="center"/>
      <w:outlineLvl w:val="0"/>
    </w:pPr>
    <w:rPr>
      <w:b/>
      <w:bCs/>
      <w:kern w:val="44"/>
      <w:sz w:val="44"/>
      <w:szCs w:val="44"/>
    </w:rPr>
  </w:style>
  <w:style w:type="paragraph" w:styleId="4">
    <w:name w:val="heading 2"/>
    <w:basedOn w:val="1"/>
    <w:next w:val="1"/>
    <w:link w:val="42"/>
    <w:unhideWhenUsed/>
    <w:qFormat/>
    <w:uiPriority w:val="99"/>
    <w:pPr>
      <w:spacing w:beforeLines="25" w:afterLines="25" w:line="240" w:lineRule="auto"/>
      <w:ind w:firstLine="0" w:firstLineChars="0"/>
      <w:outlineLvl w:val="1"/>
    </w:pPr>
    <w:rPr>
      <w:rFonts w:cstheme="majorBidi"/>
      <w:b/>
      <w:bCs/>
      <w:sz w:val="30"/>
      <w:szCs w:val="32"/>
    </w:rPr>
  </w:style>
  <w:style w:type="paragraph" w:styleId="5">
    <w:name w:val="heading 3"/>
    <w:basedOn w:val="4"/>
    <w:next w:val="1"/>
    <w:link w:val="43"/>
    <w:unhideWhenUsed/>
    <w:qFormat/>
    <w:uiPriority w:val="99"/>
    <w:pPr>
      <w:outlineLvl w:val="2"/>
    </w:pPr>
    <w:rPr>
      <w:sz w:val="24"/>
    </w:rPr>
  </w:style>
  <w:style w:type="paragraph" w:styleId="2">
    <w:name w:val="heading 4"/>
    <w:basedOn w:val="1"/>
    <w:next w:val="1"/>
    <w:link w:val="6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9"/>
    <w:semiHidden/>
    <w:unhideWhenUsed/>
    <w:qFormat/>
    <w:uiPriority w:val="9"/>
    <w:pPr>
      <w:keepNext/>
      <w:keepLines/>
      <w:spacing w:before="280" w:after="290" w:line="376" w:lineRule="auto"/>
      <w:outlineLvl w:val="4"/>
    </w:pPr>
    <w:rPr>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firstLine="0" w:firstLineChars="0"/>
    </w:pPr>
    <w:rPr>
      <w:rFonts w:asciiTheme="minorHAnsi" w:hAnsiTheme="minorHAnsi" w:eastAsiaTheme="minorEastAsia" w:cstheme="minorBidi"/>
      <w:sz w:val="21"/>
      <w:szCs w:val="22"/>
    </w:rPr>
  </w:style>
  <w:style w:type="paragraph" w:styleId="8">
    <w:name w:val="Normal Indent"/>
    <w:basedOn w:val="1"/>
    <w:link w:val="62"/>
    <w:qFormat/>
    <w:uiPriority w:val="99"/>
    <w:pPr>
      <w:spacing w:line="324" w:lineRule="auto"/>
      <w:ind w:firstLine="420"/>
    </w:pPr>
    <w:rPr>
      <w:rFonts w:asciiTheme="minorHAnsi" w:hAnsiTheme="minorHAnsi" w:cstheme="minorBidi"/>
    </w:rPr>
  </w:style>
  <w:style w:type="paragraph" w:styleId="9">
    <w:name w:val="caption"/>
    <w:basedOn w:val="1"/>
    <w:next w:val="1"/>
    <w:qFormat/>
    <w:uiPriority w:val="0"/>
    <w:pPr>
      <w:ind w:firstLine="0" w:firstLineChars="0"/>
    </w:pPr>
    <w:rPr>
      <w:rFonts w:ascii="Cambria" w:hAnsi="Cambria" w:eastAsia="黑体"/>
      <w:sz w:val="20"/>
      <w:szCs w:val="20"/>
    </w:rPr>
  </w:style>
  <w:style w:type="paragraph" w:styleId="10">
    <w:name w:val="Document Map"/>
    <w:basedOn w:val="1"/>
    <w:link w:val="78"/>
    <w:semiHidden/>
    <w:unhideWhenUsed/>
    <w:qFormat/>
    <w:uiPriority w:val="99"/>
    <w:rPr>
      <w:rFonts w:ascii="宋体"/>
      <w:sz w:val="18"/>
      <w:szCs w:val="18"/>
    </w:rPr>
  </w:style>
  <w:style w:type="paragraph" w:styleId="11">
    <w:name w:val="annotation text"/>
    <w:basedOn w:val="1"/>
    <w:link w:val="79"/>
    <w:semiHidden/>
    <w:unhideWhenUsed/>
    <w:qFormat/>
    <w:uiPriority w:val="99"/>
    <w:pPr>
      <w:jc w:val="left"/>
    </w:pPr>
  </w:style>
  <w:style w:type="paragraph" w:styleId="12">
    <w:name w:val="Body Text"/>
    <w:basedOn w:val="1"/>
    <w:link w:val="58"/>
    <w:semiHidden/>
    <w:unhideWhenUsed/>
    <w:qFormat/>
    <w:uiPriority w:val="99"/>
    <w:pPr>
      <w:spacing w:after="120"/>
    </w:pPr>
  </w:style>
  <w:style w:type="paragraph" w:styleId="13">
    <w:name w:val="Body Text Indent"/>
    <w:basedOn w:val="1"/>
    <w:next w:val="14"/>
    <w:link w:val="45"/>
    <w:qFormat/>
    <w:uiPriority w:val="0"/>
    <w:pPr>
      <w:ind w:firstLine="560" w:firstLineChars="0"/>
    </w:pPr>
    <w:rPr>
      <w:rFonts w:ascii="宋体" w:hAnsi="宋体"/>
      <w:sz w:val="21"/>
      <w:szCs w:val="20"/>
    </w:rPr>
  </w:style>
  <w:style w:type="paragraph" w:styleId="14">
    <w:name w:val="footer"/>
    <w:basedOn w:val="1"/>
    <w:link w:val="39"/>
    <w:unhideWhenUsed/>
    <w:qFormat/>
    <w:uiPriority w:val="99"/>
    <w:pPr>
      <w:tabs>
        <w:tab w:val="center" w:pos="4153"/>
        <w:tab w:val="right" w:pos="8306"/>
      </w:tabs>
      <w:jc w:val="left"/>
    </w:pPr>
    <w:rPr>
      <w:sz w:val="18"/>
      <w:szCs w:val="18"/>
    </w:rPr>
  </w:style>
  <w:style w:type="paragraph" w:styleId="15">
    <w:name w:val="toc 5"/>
    <w:basedOn w:val="1"/>
    <w:next w:val="1"/>
    <w:unhideWhenUsed/>
    <w:qFormat/>
    <w:uiPriority w:val="39"/>
    <w:pPr>
      <w:ind w:left="1680" w:leftChars="800" w:firstLine="0" w:firstLineChars="0"/>
    </w:pPr>
    <w:rPr>
      <w:rFonts w:asciiTheme="minorHAnsi" w:hAnsiTheme="minorHAnsi" w:eastAsiaTheme="minorEastAsia" w:cstheme="minorBidi"/>
      <w:sz w:val="21"/>
      <w:szCs w:val="22"/>
    </w:rPr>
  </w:style>
  <w:style w:type="paragraph" w:styleId="16">
    <w:name w:val="toc 3"/>
    <w:basedOn w:val="1"/>
    <w:next w:val="1"/>
    <w:unhideWhenUsed/>
    <w:qFormat/>
    <w:uiPriority w:val="39"/>
    <w:pPr>
      <w:ind w:left="840" w:leftChars="400"/>
    </w:pPr>
  </w:style>
  <w:style w:type="paragraph" w:styleId="17">
    <w:name w:val="Plain Text"/>
    <w:basedOn w:val="1"/>
    <w:next w:val="14"/>
    <w:link w:val="88"/>
    <w:unhideWhenUsed/>
    <w:qFormat/>
    <w:uiPriority w:val="99"/>
    <w:pPr>
      <w:adjustRightInd/>
      <w:snapToGrid/>
      <w:spacing w:line="240" w:lineRule="auto"/>
      <w:ind w:firstLine="0" w:firstLineChars="0"/>
    </w:pPr>
    <w:rPr>
      <w:rFonts w:ascii="宋体" w:hAnsi="Courier New"/>
      <w:sz w:val="21"/>
      <w:szCs w:val="21"/>
    </w:rPr>
  </w:style>
  <w:style w:type="paragraph" w:styleId="18">
    <w:name w:val="toc 8"/>
    <w:basedOn w:val="1"/>
    <w:next w:val="1"/>
    <w:unhideWhenUsed/>
    <w:qFormat/>
    <w:uiPriority w:val="39"/>
    <w:pPr>
      <w:ind w:left="2940" w:leftChars="1400" w:firstLine="0" w:firstLineChars="0"/>
    </w:pPr>
    <w:rPr>
      <w:rFonts w:asciiTheme="minorHAnsi" w:hAnsiTheme="minorHAnsi" w:eastAsiaTheme="minorEastAsia" w:cstheme="minorBidi"/>
      <w:sz w:val="21"/>
      <w:szCs w:val="22"/>
    </w:rPr>
  </w:style>
  <w:style w:type="paragraph" w:styleId="19">
    <w:name w:val="Date"/>
    <w:basedOn w:val="1"/>
    <w:next w:val="1"/>
    <w:link w:val="40"/>
    <w:unhideWhenUsed/>
    <w:qFormat/>
    <w:uiPriority w:val="99"/>
    <w:pPr>
      <w:ind w:left="100" w:leftChars="2500"/>
    </w:pPr>
  </w:style>
  <w:style w:type="paragraph" w:styleId="20">
    <w:name w:val="Body Text Indent 2"/>
    <w:basedOn w:val="1"/>
    <w:link w:val="86"/>
    <w:unhideWhenUsed/>
    <w:qFormat/>
    <w:uiPriority w:val="99"/>
    <w:pPr>
      <w:spacing w:after="120" w:line="480" w:lineRule="auto"/>
      <w:ind w:left="420" w:leftChars="200"/>
    </w:pPr>
  </w:style>
  <w:style w:type="paragraph" w:styleId="21">
    <w:name w:val="Balloon Text"/>
    <w:basedOn w:val="1"/>
    <w:link w:val="44"/>
    <w:unhideWhenUsed/>
    <w:qFormat/>
    <w:uiPriority w:val="99"/>
    <w:rPr>
      <w:sz w:val="18"/>
      <w:szCs w:val="18"/>
    </w:rPr>
  </w:style>
  <w:style w:type="paragraph" w:styleId="22">
    <w:name w:val="header"/>
    <w:basedOn w:val="1"/>
    <w:link w:val="38"/>
    <w:unhideWhenUsed/>
    <w:qFormat/>
    <w:uiPriority w:val="99"/>
    <w:pPr>
      <w:pBdr>
        <w:bottom w:val="single" w:color="auto" w:sz="6" w:space="1"/>
      </w:pBdr>
      <w:tabs>
        <w:tab w:val="center" w:pos="4153"/>
        <w:tab w:val="right" w:pos="8306"/>
      </w:tabs>
      <w:ind w:firstLine="360"/>
      <w:jc w:val="center"/>
    </w:pPr>
    <w:rPr>
      <w:sz w:val="18"/>
      <w:szCs w:val="18"/>
    </w:rPr>
  </w:style>
  <w:style w:type="paragraph" w:styleId="23">
    <w:name w:val="toc 1"/>
    <w:basedOn w:val="1"/>
    <w:next w:val="1"/>
    <w:unhideWhenUsed/>
    <w:qFormat/>
    <w:uiPriority w:val="39"/>
  </w:style>
  <w:style w:type="paragraph" w:styleId="24">
    <w:name w:val="toc 4"/>
    <w:basedOn w:val="1"/>
    <w:next w:val="1"/>
    <w:unhideWhenUsed/>
    <w:qFormat/>
    <w:uiPriority w:val="39"/>
    <w:pPr>
      <w:ind w:left="1260" w:leftChars="600" w:firstLine="0" w:firstLineChars="0"/>
    </w:pPr>
    <w:rPr>
      <w:rFonts w:asciiTheme="minorHAnsi" w:hAnsiTheme="minorHAnsi" w:eastAsiaTheme="minorEastAsia" w:cstheme="minorBidi"/>
      <w:sz w:val="21"/>
      <w:szCs w:val="22"/>
    </w:rPr>
  </w:style>
  <w:style w:type="paragraph" w:styleId="25">
    <w:name w:val="toc 6"/>
    <w:basedOn w:val="1"/>
    <w:next w:val="1"/>
    <w:unhideWhenUsed/>
    <w:qFormat/>
    <w:uiPriority w:val="39"/>
    <w:pPr>
      <w:ind w:left="2100" w:leftChars="1000" w:firstLine="0" w:firstLineChars="0"/>
    </w:pPr>
    <w:rPr>
      <w:rFonts w:asciiTheme="minorHAnsi" w:hAnsiTheme="minorHAnsi" w:eastAsiaTheme="minorEastAsia" w:cstheme="minorBidi"/>
      <w:sz w:val="21"/>
      <w:szCs w:val="22"/>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firstLine="0" w:firstLineChars="0"/>
    </w:pPr>
    <w:rPr>
      <w:rFonts w:asciiTheme="minorHAnsi" w:hAnsiTheme="minorHAnsi" w:eastAsiaTheme="minorEastAsia" w:cstheme="minorBidi"/>
      <w:sz w:val="21"/>
      <w:szCs w:val="22"/>
    </w:rPr>
  </w:style>
  <w:style w:type="paragraph" w:styleId="28">
    <w:name w:val="Normal (Web)"/>
    <w:basedOn w:val="1"/>
    <w:qFormat/>
    <w:uiPriority w:val="99"/>
    <w:pPr>
      <w:spacing w:before="100" w:beforeAutospacing="1" w:after="100" w:afterAutospacing="1" w:line="240" w:lineRule="auto"/>
      <w:ind w:firstLine="0" w:firstLineChars="0"/>
      <w:jc w:val="left"/>
    </w:pPr>
    <w:rPr>
      <w:rFonts w:ascii="宋体" w:hAnsi="宋体"/>
      <w:kern w:val="0"/>
      <w:sz w:val="18"/>
      <w:szCs w:val="20"/>
    </w:rPr>
  </w:style>
  <w:style w:type="paragraph" w:styleId="29">
    <w:name w:val="annotation subject"/>
    <w:basedOn w:val="11"/>
    <w:next w:val="11"/>
    <w:link w:val="80"/>
    <w:semiHidden/>
    <w:unhideWhenUsed/>
    <w:qFormat/>
    <w:uiPriority w:val="99"/>
    <w:rPr>
      <w:b/>
      <w:bCs/>
    </w:rPr>
  </w:style>
  <w:style w:type="paragraph" w:styleId="30">
    <w:name w:val="Body Text First Indent 2"/>
    <w:basedOn w:val="13"/>
    <w:qFormat/>
    <w:uiPriority w:val="0"/>
    <w:pPr>
      <w:tabs>
        <w:tab w:val="left" w:pos="0"/>
      </w:tabs>
      <w:adjustRightInd/>
      <w:spacing w:after="120" w:line="240" w:lineRule="auto"/>
      <w:ind w:left="420" w:leftChars="200" w:firstLine="420"/>
    </w:pPr>
    <w:rPr>
      <w:rFonts w:eastAsia="华文细黑"/>
    </w:rPr>
  </w:style>
  <w:style w:type="table" w:styleId="32">
    <w:name w:val="Table Grid"/>
    <w:basedOn w:val="3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22"/>
    <w:rPr>
      <w:b/>
    </w:rPr>
  </w:style>
  <w:style w:type="character" w:styleId="35">
    <w:name w:val="Emphasis"/>
    <w:basedOn w:val="33"/>
    <w:qFormat/>
    <w:uiPriority w:val="20"/>
    <w:rPr>
      <w:i/>
    </w:rPr>
  </w:style>
  <w:style w:type="character" w:styleId="36">
    <w:name w:val="Hyperlink"/>
    <w:basedOn w:val="33"/>
    <w:unhideWhenUsed/>
    <w:qFormat/>
    <w:uiPriority w:val="99"/>
    <w:rPr>
      <w:color w:val="0000FF" w:themeColor="hyperlink"/>
      <w:u w:val="single"/>
    </w:rPr>
  </w:style>
  <w:style w:type="character" w:styleId="37">
    <w:name w:val="annotation reference"/>
    <w:basedOn w:val="33"/>
    <w:semiHidden/>
    <w:unhideWhenUsed/>
    <w:qFormat/>
    <w:uiPriority w:val="99"/>
    <w:rPr>
      <w:sz w:val="21"/>
      <w:szCs w:val="21"/>
    </w:rPr>
  </w:style>
  <w:style w:type="character" w:customStyle="1" w:styleId="38">
    <w:name w:val="页眉 Char"/>
    <w:basedOn w:val="33"/>
    <w:link w:val="22"/>
    <w:qFormat/>
    <w:uiPriority w:val="99"/>
    <w:rPr>
      <w:kern w:val="2"/>
      <w:sz w:val="18"/>
      <w:szCs w:val="18"/>
    </w:rPr>
  </w:style>
  <w:style w:type="character" w:customStyle="1" w:styleId="39">
    <w:name w:val="页脚 Char"/>
    <w:basedOn w:val="33"/>
    <w:link w:val="14"/>
    <w:qFormat/>
    <w:uiPriority w:val="99"/>
    <w:rPr>
      <w:sz w:val="18"/>
      <w:szCs w:val="18"/>
    </w:rPr>
  </w:style>
  <w:style w:type="character" w:customStyle="1" w:styleId="40">
    <w:name w:val="日期 Char"/>
    <w:basedOn w:val="33"/>
    <w:link w:val="19"/>
    <w:semiHidden/>
    <w:qFormat/>
    <w:uiPriority w:val="99"/>
    <w:rPr>
      <w:rFonts w:ascii="Times New Roman" w:hAnsi="Times New Roman" w:eastAsia="宋体" w:cs="Times New Roman"/>
      <w:szCs w:val="24"/>
    </w:rPr>
  </w:style>
  <w:style w:type="character" w:customStyle="1" w:styleId="41">
    <w:name w:val="标题 1 Char"/>
    <w:basedOn w:val="33"/>
    <w:link w:val="3"/>
    <w:qFormat/>
    <w:uiPriority w:val="99"/>
    <w:rPr>
      <w:b/>
      <w:bCs/>
      <w:kern w:val="44"/>
      <w:sz w:val="44"/>
      <w:szCs w:val="44"/>
    </w:rPr>
  </w:style>
  <w:style w:type="character" w:customStyle="1" w:styleId="42">
    <w:name w:val="标题 2 Char"/>
    <w:basedOn w:val="33"/>
    <w:link w:val="4"/>
    <w:qFormat/>
    <w:uiPriority w:val="99"/>
    <w:rPr>
      <w:rFonts w:cstheme="majorBidi"/>
      <w:b/>
      <w:bCs/>
      <w:kern w:val="2"/>
      <w:sz w:val="30"/>
      <w:szCs w:val="32"/>
    </w:rPr>
  </w:style>
  <w:style w:type="character" w:customStyle="1" w:styleId="43">
    <w:name w:val="标题 3 Char"/>
    <w:basedOn w:val="33"/>
    <w:link w:val="5"/>
    <w:qFormat/>
    <w:uiPriority w:val="99"/>
    <w:rPr>
      <w:rFonts w:cstheme="majorBidi"/>
      <w:b/>
      <w:bCs/>
      <w:kern w:val="2"/>
      <w:sz w:val="24"/>
      <w:szCs w:val="32"/>
    </w:rPr>
  </w:style>
  <w:style w:type="character" w:customStyle="1" w:styleId="44">
    <w:name w:val="批注框文本 Char"/>
    <w:basedOn w:val="33"/>
    <w:link w:val="21"/>
    <w:semiHidden/>
    <w:qFormat/>
    <w:uiPriority w:val="99"/>
    <w:rPr>
      <w:rFonts w:ascii="Times New Roman" w:hAnsi="Times New Roman" w:eastAsia="宋体" w:cs="Times New Roman"/>
      <w:sz w:val="18"/>
      <w:szCs w:val="18"/>
    </w:rPr>
  </w:style>
  <w:style w:type="character" w:customStyle="1" w:styleId="45">
    <w:name w:val="正文文本缩进 Char"/>
    <w:basedOn w:val="33"/>
    <w:link w:val="13"/>
    <w:qFormat/>
    <w:uiPriority w:val="0"/>
    <w:rPr>
      <w:rFonts w:ascii="宋体" w:hAnsi="宋体" w:eastAsia="宋体" w:cs="Times New Roman"/>
      <w:szCs w:val="20"/>
    </w:rPr>
  </w:style>
  <w:style w:type="paragraph" w:customStyle="1" w:styleId="46">
    <w:name w:val="1"/>
    <w:basedOn w:val="1"/>
    <w:next w:val="13"/>
    <w:qFormat/>
    <w:uiPriority w:val="0"/>
    <w:pPr>
      <w:ind w:firstLine="538" w:firstLineChars="192"/>
    </w:pPr>
  </w:style>
  <w:style w:type="paragraph" w:customStyle="1" w:styleId="47">
    <w:name w:val="列出段落1"/>
    <w:basedOn w:val="1"/>
    <w:qFormat/>
    <w:uiPriority w:val="34"/>
    <w:pPr>
      <w:ind w:firstLine="420"/>
    </w:pPr>
  </w:style>
  <w:style w:type="paragraph" w:customStyle="1" w:styleId="48">
    <w:name w:val="TOC 标题1"/>
    <w:basedOn w:val="3"/>
    <w:next w:val="1"/>
    <w:unhideWhenUsed/>
    <w:qFormat/>
    <w:uiPriority w:val="39"/>
    <w:pPr>
      <w:spacing w:before="48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9">
    <w:name w:val="Char1"/>
    <w:basedOn w:val="1"/>
    <w:qFormat/>
    <w:uiPriority w:val="0"/>
    <w:pPr>
      <w:ind w:firstLine="0" w:firstLineChars="0"/>
    </w:pPr>
    <w:rPr>
      <w:sz w:val="21"/>
      <w:szCs w:val="20"/>
    </w:rPr>
  </w:style>
  <w:style w:type="paragraph" w:customStyle="1" w:styleId="50">
    <w:name w:val="段"/>
    <w:link w:val="51"/>
    <w:qFormat/>
    <w:uiPriority w:val="0"/>
    <w:pPr>
      <w:autoSpaceDE w:val="0"/>
      <w:autoSpaceDN w:val="0"/>
      <w:spacing w:line="360" w:lineRule="auto"/>
      <w:ind w:firstLine="200" w:firstLineChars="200"/>
      <w:jc w:val="both"/>
    </w:pPr>
    <w:rPr>
      <w:rFonts w:ascii="宋体" w:hAnsi="Times New Roman" w:eastAsia="宋体" w:cs="Times New Roman"/>
      <w:kern w:val="2"/>
      <w:sz w:val="22"/>
      <w:lang w:val="en-US" w:eastAsia="zh-CN" w:bidi="ar-SA"/>
    </w:rPr>
  </w:style>
  <w:style w:type="character" w:customStyle="1" w:styleId="51">
    <w:name w:val="段 Char Char"/>
    <w:link w:val="50"/>
    <w:qFormat/>
    <w:locked/>
    <w:uiPriority w:val="0"/>
    <w:rPr>
      <w:rFonts w:ascii="宋体" w:hAnsi="Times New Roman" w:eastAsia="宋体" w:cs="Times New Roman"/>
      <w:sz w:val="22"/>
      <w:szCs w:val="20"/>
    </w:rPr>
  </w:style>
  <w:style w:type="paragraph" w:styleId="52">
    <w:name w:val="List Paragraph"/>
    <w:basedOn w:val="1"/>
    <w:unhideWhenUsed/>
    <w:qFormat/>
    <w:uiPriority w:val="34"/>
    <w:pPr>
      <w:ind w:firstLine="420"/>
    </w:pPr>
  </w:style>
  <w:style w:type="character" w:customStyle="1" w:styleId="53">
    <w:name w:val="font01"/>
    <w:qFormat/>
    <w:uiPriority w:val="0"/>
    <w:rPr>
      <w:rFonts w:hint="eastAsia" w:ascii="宋体" w:hAnsi="宋体" w:eastAsia="宋体" w:cs="宋体"/>
      <w:color w:val="000000"/>
      <w:sz w:val="22"/>
      <w:szCs w:val="22"/>
      <w:u w:val="none"/>
    </w:rPr>
  </w:style>
  <w:style w:type="paragraph" w:customStyle="1" w:styleId="54">
    <w:name w:val="bg表内容"/>
    <w:basedOn w:val="1"/>
    <w:next w:val="1"/>
    <w:qFormat/>
    <w:uiPriority w:val="0"/>
    <w:pPr>
      <w:spacing w:line="240" w:lineRule="auto"/>
      <w:ind w:left="-113" w:right="-113" w:firstLine="0" w:firstLineChars="0"/>
      <w:jc w:val="center"/>
    </w:pPr>
    <w:rPr>
      <w:sz w:val="18"/>
      <w:szCs w:val="20"/>
    </w:rPr>
  </w:style>
  <w:style w:type="paragraph" w:customStyle="1" w:styleId="55">
    <w:name w:val="bg正文"/>
    <w:basedOn w:val="1"/>
    <w:qFormat/>
    <w:uiPriority w:val="0"/>
    <w:pPr>
      <w:spacing w:line="240" w:lineRule="auto"/>
      <w:ind w:firstLine="0" w:firstLineChars="0"/>
    </w:pPr>
  </w:style>
  <w:style w:type="character" w:customStyle="1" w:styleId="56">
    <w:name w:val="页眉 Char1"/>
    <w:qFormat/>
    <w:uiPriority w:val="99"/>
    <w:rPr>
      <w:kern w:val="2"/>
      <w:sz w:val="21"/>
      <w:szCs w:val="24"/>
    </w:rPr>
  </w:style>
  <w:style w:type="paragraph" w:customStyle="1" w:styleId="57">
    <w:name w:val="bg正文首行缩进"/>
    <w:basedOn w:val="55"/>
    <w:qFormat/>
    <w:uiPriority w:val="0"/>
    <w:pPr>
      <w:spacing w:line="400" w:lineRule="exact"/>
      <w:ind w:firstLine="482"/>
    </w:pPr>
    <w:rPr>
      <w:szCs w:val="20"/>
    </w:rPr>
  </w:style>
  <w:style w:type="character" w:customStyle="1" w:styleId="58">
    <w:name w:val="正文文本 Char"/>
    <w:basedOn w:val="33"/>
    <w:link w:val="12"/>
    <w:semiHidden/>
    <w:qFormat/>
    <w:uiPriority w:val="99"/>
    <w:rPr>
      <w:rFonts w:ascii="Times New Roman" w:hAnsi="Times New Roman" w:eastAsia="宋体" w:cs="Times New Roman"/>
      <w:kern w:val="2"/>
      <w:sz w:val="24"/>
      <w:szCs w:val="24"/>
    </w:rPr>
  </w:style>
  <w:style w:type="character" w:customStyle="1" w:styleId="59">
    <w:name w:val="标题 5 Char"/>
    <w:basedOn w:val="33"/>
    <w:link w:val="6"/>
    <w:semiHidden/>
    <w:qFormat/>
    <w:uiPriority w:val="9"/>
    <w:rPr>
      <w:rFonts w:ascii="Times New Roman" w:hAnsi="Times New Roman" w:eastAsia="宋体" w:cs="Times New Roman"/>
      <w:b/>
      <w:bCs/>
      <w:kern w:val="2"/>
      <w:sz w:val="28"/>
      <w:szCs w:val="28"/>
    </w:rPr>
  </w:style>
  <w:style w:type="character" w:customStyle="1" w:styleId="60">
    <w:name w:val="标题 4 Char"/>
    <w:basedOn w:val="33"/>
    <w:link w:val="2"/>
    <w:qFormat/>
    <w:uiPriority w:val="9"/>
    <w:rPr>
      <w:rFonts w:asciiTheme="majorHAnsi" w:hAnsiTheme="majorHAnsi" w:eastAsiaTheme="majorEastAsia" w:cstheme="majorBidi"/>
      <w:b/>
      <w:bCs/>
      <w:kern w:val="2"/>
      <w:sz w:val="28"/>
      <w:szCs w:val="28"/>
    </w:rPr>
  </w:style>
  <w:style w:type="paragraph" w:customStyle="1" w:styleId="61">
    <w:name w:val="Table Paragraph"/>
    <w:basedOn w:val="1"/>
    <w:qFormat/>
    <w:uiPriority w:val="0"/>
    <w:pPr>
      <w:spacing w:line="240" w:lineRule="auto"/>
      <w:ind w:firstLine="0" w:firstLineChars="0"/>
      <w:jc w:val="left"/>
    </w:pPr>
    <w:rPr>
      <w:rFonts w:ascii="Calibri" w:hAnsi="Calibri" w:eastAsia="Calibri"/>
      <w:kern w:val="0"/>
      <w:sz w:val="22"/>
      <w:szCs w:val="22"/>
      <w:lang w:eastAsia="en-US"/>
    </w:rPr>
  </w:style>
  <w:style w:type="character" w:customStyle="1" w:styleId="62">
    <w:name w:val="正文缩进 Char"/>
    <w:link w:val="8"/>
    <w:qFormat/>
    <w:uiPriority w:val="0"/>
    <w:rPr>
      <w:rFonts w:eastAsia="宋体"/>
      <w:kern w:val="2"/>
      <w:sz w:val="24"/>
      <w:szCs w:val="24"/>
    </w:rPr>
  </w:style>
  <w:style w:type="paragraph" w:customStyle="1" w:styleId="63">
    <w:name w:val="表格文字"/>
    <w:basedOn w:val="1"/>
    <w:link w:val="64"/>
    <w:qFormat/>
    <w:uiPriority w:val="0"/>
    <w:pPr>
      <w:spacing w:line="240" w:lineRule="auto"/>
      <w:ind w:firstLine="0" w:firstLineChars="0"/>
      <w:jc w:val="center"/>
    </w:pPr>
    <w:rPr>
      <w:sz w:val="21"/>
      <w:szCs w:val="20"/>
    </w:rPr>
  </w:style>
  <w:style w:type="character" w:customStyle="1" w:styleId="64">
    <w:name w:val="表格文字 Char Char"/>
    <w:link w:val="63"/>
    <w:qFormat/>
    <w:uiPriority w:val="0"/>
    <w:rPr>
      <w:kern w:val="2"/>
      <w:sz w:val="21"/>
    </w:rPr>
  </w:style>
  <w:style w:type="paragraph" w:customStyle="1" w:styleId="65">
    <w:name w:val="样式 首行缩进:  2 字符"/>
    <w:basedOn w:val="1"/>
    <w:qFormat/>
    <w:uiPriority w:val="0"/>
    <w:pPr>
      <w:spacing w:line="440" w:lineRule="exact"/>
    </w:pPr>
    <w:rPr>
      <w:rFonts w:cs="宋体"/>
      <w:szCs w:val="20"/>
    </w:rPr>
  </w:style>
  <w:style w:type="character" w:customStyle="1" w:styleId="66">
    <w:name w:val="font21"/>
    <w:basedOn w:val="33"/>
    <w:qFormat/>
    <w:uiPriority w:val="0"/>
    <w:rPr>
      <w:rFonts w:hint="eastAsia" w:ascii="仿宋" w:hAnsi="仿宋" w:eastAsia="仿宋" w:cs="仿宋"/>
      <w:color w:val="000000"/>
      <w:sz w:val="12"/>
      <w:szCs w:val="12"/>
      <w:u w:val="none"/>
    </w:rPr>
  </w:style>
  <w:style w:type="paragraph" w:customStyle="1" w:styleId="67">
    <w:name w:val="图表标题"/>
    <w:basedOn w:val="1"/>
    <w:next w:val="1"/>
    <w:qFormat/>
    <w:uiPriority w:val="0"/>
    <w:pPr>
      <w:spacing w:line="240" w:lineRule="auto"/>
      <w:ind w:firstLine="0" w:firstLineChars="0"/>
      <w:jc w:val="center"/>
    </w:pPr>
    <w:rPr>
      <w:b/>
      <w:color w:val="000000"/>
      <w:sz w:val="21"/>
      <w:szCs w:val="28"/>
    </w:rPr>
  </w:style>
  <w:style w:type="character" w:customStyle="1" w:styleId="68">
    <w:name w:val="font51"/>
    <w:basedOn w:val="33"/>
    <w:qFormat/>
    <w:uiPriority w:val="0"/>
    <w:rPr>
      <w:rFonts w:hint="eastAsia" w:ascii="宋体" w:hAnsi="宋体" w:eastAsia="宋体" w:cs="宋体"/>
      <w:color w:val="auto"/>
      <w:sz w:val="21"/>
      <w:szCs w:val="21"/>
      <w:u w:val="none"/>
    </w:rPr>
  </w:style>
  <w:style w:type="paragraph" w:customStyle="1" w:styleId="69">
    <w:name w:val="无间隔 Char"/>
    <w:basedOn w:val="1"/>
    <w:qFormat/>
    <w:uiPriority w:val="0"/>
    <w:pPr>
      <w:jc w:val="left"/>
    </w:pPr>
    <w:rPr>
      <w:rFonts w:ascii="Cambria" w:hAnsi="Cambria"/>
      <w:kern w:val="0"/>
      <w:sz w:val="22"/>
      <w:szCs w:val="22"/>
      <w:lang w:eastAsia="en-US" w:bidi="en-US"/>
    </w:rPr>
  </w:style>
  <w:style w:type="character" w:customStyle="1" w:styleId="70">
    <w:name w:val="font11"/>
    <w:basedOn w:val="33"/>
    <w:qFormat/>
    <w:uiPriority w:val="0"/>
    <w:rPr>
      <w:rFonts w:hint="eastAsia" w:ascii="宋体" w:hAnsi="宋体" w:eastAsia="宋体" w:cs="宋体"/>
      <w:color w:val="000000"/>
      <w:sz w:val="15"/>
      <w:szCs w:val="15"/>
      <w:u w:val="none"/>
    </w:rPr>
  </w:style>
  <w:style w:type="character" w:customStyle="1" w:styleId="71">
    <w:name w:val="font31"/>
    <w:basedOn w:val="33"/>
    <w:qFormat/>
    <w:uiPriority w:val="0"/>
    <w:rPr>
      <w:rFonts w:hint="default" w:ascii="Times New Roman" w:hAnsi="Times New Roman" w:cs="Times New Roman"/>
      <w:color w:val="000000"/>
      <w:sz w:val="15"/>
      <w:szCs w:val="15"/>
      <w:u w:val="none"/>
    </w:rPr>
  </w:style>
  <w:style w:type="character" w:customStyle="1" w:styleId="72">
    <w:name w:val="font61"/>
    <w:basedOn w:val="33"/>
    <w:qFormat/>
    <w:uiPriority w:val="0"/>
    <w:rPr>
      <w:rFonts w:hint="default" w:ascii="Times New Roman" w:hAnsi="Times New Roman" w:cs="Times New Roman"/>
      <w:b/>
      <w:color w:val="000000"/>
      <w:sz w:val="21"/>
      <w:szCs w:val="21"/>
      <w:u w:val="none"/>
    </w:rPr>
  </w:style>
  <w:style w:type="character" w:customStyle="1" w:styleId="73">
    <w:name w:val="font71"/>
    <w:basedOn w:val="33"/>
    <w:qFormat/>
    <w:uiPriority w:val="0"/>
    <w:rPr>
      <w:rFonts w:hint="eastAsia" w:ascii="宋体" w:hAnsi="宋体" w:eastAsia="宋体" w:cs="宋体"/>
      <w:color w:val="000000"/>
      <w:sz w:val="24"/>
      <w:szCs w:val="24"/>
      <w:u w:val="none"/>
    </w:rPr>
  </w:style>
  <w:style w:type="character" w:customStyle="1" w:styleId="74">
    <w:name w:val="bsharetext"/>
    <w:basedOn w:val="33"/>
    <w:qFormat/>
    <w:uiPriority w:val="0"/>
  </w:style>
  <w:style w:type="character" w:customStyle="1" w:styleId="75">
    <w:name w:val="font41"/>
    <w:basedOn w:val="33"/>
    <w:qFormat/>
    <w:uiPriority w:val="0"/>
    <w:rPr>
      <w:rFonts w:hint="eastAsia" w:ascii="宋体" w:hAnsi="宋体" w:eastAsia="宋体" w:cs="宋体"/>
      <w:color w:val="000000"/>
      <w:sz w:val="18"/>
      <w:szCs w:val="18"/>
      <w:u w:val="none"/>
    </w:rPr>
  </w:style>
  <w:style w:type="character" w:customStyle="1" w:styleId="76">
    <w:name w:val="font91"/>
    <w:basedOn w:val="33"/>
    <w:qFormat/>
    <w:uiPriority w:val="0"/>
    <w:rPr>
      <w:rFonts w:hint="eastAsia" w:ascii="宋体" w:hAnsi="宋体" w:eastAsia="宋体" w:cs="宋体"/>
      <w:color w:val="000000"/>
      <w:sz w:val="18"/>
      <w:szCs w:val="18"/>
      <w:u w:val="none"/>
    </w:rPr>
  </w:style>
  <w:style w:type="paragraph" w:customStyle="1" w:styleId="77">
    <w:name w:val="TOC 标题2"/>
    <w:basedOn w:val="3"/>
    <w:next w:val="1"/>
    <w:unhideWhenUsed/>
    <w:qFormat/>
    <w:uiPriority w:val="39"/>
    <w:pPr>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78">
    <w:name w:val="文档结构图 Char"/>
    <w:basedOn w:val="33"/>
    <w:link w:val="10"/>
    <w:semiHidden/>
    <w:qFormat/>
    <w:uiPriority w:val="99"/>
    <w:rPr>
      <w:rFonts w:ascii="宋体"/>
      <w:kern w:val="2"/>
      <w:sz w:val="18"/>
      <w:szCs w:val="18"/>
    </w:rPr>
  </w:style>
  <w:style w:type="character" w:customStyle="1" w:styleId="79">
    <w:name w:val="批注文字 Char"/>
    <w:basedOn w:val="33"/>
    <w:link w:val="11"/>
    <w:semiHidden/>
    <w:qFormat/>
    <w:uiPriority w:val="99"/>
    <w:rPr>
      <w:kern w:val="2"/>
      <w:sz w:val="24"/>
      <w:szCs w:val="24"/>
    </w:rPr>
  </w:style>
  <w:style w:type="character" w:customStyle="1" w:styleId="80">
    <w:name w:val="批注主题 Char"/>
    <w:basedOn w:val="79"/>
    <w:link w:val="29"/>
    <w:semiHidden/>
    <w:qFormat/>
    <w:uiPriority w:val="99"/>
    <w:rPr>
      <w:b/>
      <w:bCs/>
      <w:kern w:val="2"/>
      <w:sz w:val="24"/>
      <w:szCs w:val="24"/>
    </w:rPr>
  </w:style>
  <w:style w:type="paragraph" w:customStyle="1" w:styleId="81">
    <w:name w:val="修订1"/>
    <w:hidden/>
    <w:unhideWhenUsed/>
    <w:qFormat/>
    <w:uiPriority w:val="99"/>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82">
    <w:name w:val="书籍标题1"/>
    <w:basedOn w:val="33"/>
    <w:qFormat/>
    <w:uiPriority w:val="33"/>
    <w:rPr>
      <w:b/>
      <w:bCs/>
      <w:smallCaps/>
      <w:spacing w:val="5"/>
    </w:rPr>
  </w:style>
  <w:style w:type="paragraph" w:styleId="83">
    <w:name w:val="No Spacing"/>
    <w:qFormat/>
    <w:uiPriority w:val="1"/>
    <w:pPr>
      <w:widowControl w:val="0"/>
      <w:jc w:val="center"/>
    </w:pPr>
    <w:rPr>
      <w:rFonts w:ascii="Times New Roman" w:hAnsi="Times New Roman" w:eastAsia="宋体" w:cs="宋体"/>
      <w:sz w:val="21"/>
      <w:szCs w:val="21"/>
      <w:lang w:val="en-US" w:eastAsia="zh-CN" w:bidi="ar-SA"/>
    </w:rPr>
  </w:style>
  <w:style w:type="paragraph" w:customStyle="1" w:styleId="84">
    <w:name w:val="表格内容"/>
    <w:basedOn w:val="1"/>
    <w:next w:val="3"/>
    <w:qFormat/>
    <w:uiPriority w:val="0"/>
    <w:pPr>
      <w:spacing w:line="240" w:lineRule="auto"/>
      <w:ind w:firstLine="0" w:firstLineChars="0"/>
      <w:jc w:val="center"/>
    </w:pPr>
    <w:rPr>
      <w:sz w:val="21"/>
      <w:szCs w:val="21"/>
    </w:rPr>
  </w:style>
  <w:style w:type="character" w:customStyle="1" w:styleId="85">
    <w:name w:val="书籍标题2"/>
    <w:basedOn w:val="33"/>
    <w:qFormat/>
    <w:uiPriority w:val="33"/>
    <w:rPr>
      <w:b/>
      <w:bCs/>
      <w:smallCaps/>
      <w:spacing w:val="5"/>
    </w:rPr>
  </w:style>
  <w:style w:type="character" w:customStyle="1" w:styleId="86">
    <w:name w:val="正文文本缩进 2 Char"/>
    <w:basedOn w:val="33"/>
    <w:link w:val="20"/>
    <w:qFormat/>
    <w:uiPriority w:val="99"/>
    <w:rPr>
      <w:kern w:val="2"/>
      <w:sz w:val="24"/>
      <w:szCs w:val="24"/>
    </w:rPr>
  </w:style>
  <w:style w:type="paragraph" w:customStyle="1" w:styleId="87">
    <w:name w:val="正文1"/>
    <w:qFormat/>
    <w:uiPriority w:val="0"/>
    <w:pPr>
      <w:jc w:val="both"/>
    </w:pPr>
    <w:rPr>
      <w:rFonts w:ascii="Calibri" w:hAnsi="Calibri" w:eastAsia="宋体" w:cs="Calibri"/>
      <w:kern w:val="2"/>
      <w:sz w:val="21"/>
      <w:szCs w:val="21"/>
      <w:lang w:val="en-US" w:eastAsia="zh-CN" w:bidi="ar-SA"/>
    </w:rPr>
  </w:style>
  <w:style w:type="character" w:customStyle="1" w:styleId="88">
    <w:name w:val="纯文本 Char"/>
    <w:basedOn w:val="33"/>
    <w:link w:val="17"/>
    <w:qFormat/>
    <w:uiPriority w:val="99"/>
    <w:rPr>
      <w:rFonts w:ascii="宋体" w:hAnsi="Courier New"/>
      <w:kern w:val="2"/>
      <w:sz w:val="21"/>
      <w:szCs w:val="21"/>
    </w:rPr>
  </w:style>
  <w:style w:type="paragraph" w:customStyle="1" w:styleId="89">
    <w:name w:val="报告正文"/>
    <w:basedOn w:val="1"/>
    <w:qFormat/>
    <w:uiPriority w:val="99"/>
  </w:style>
  <w:style w:type="paragraph" w:customStyle="1" w:styleId="90">
    <w:name w:val="Plain Text"/>
    <w:basedOn w:val="1"/>
    <w:qFormat/>
    <w:uiPriority w:val="0"/>
    <w:pPr>
      <w:spacing w:line="520" w:lineRule="exact"/>
      <w:ind w:firstLine="200" w:firstLineChars="200"/>
    </w:pPr>
    <w:rPr>
      <w:rFonts w:ascii="宋体" w:hAnsi="Courier New"/>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FB1CF3-E892-421B-B3CF-007089F4D1D8}">
  <ds:schemaRefs/>
</ds:datastoreItem>
</file>

<file path=docProps/app.xml><?xml version="1.0" encoding="utf-8"?>
<Properties xmlns="http://schemas.openxmlformats.org/officeDocument/2006/extended-properties" xmlns:vt="http://schemas.openxmlformats.org/officeDocument/2006/docPropsVTypes">
  <Template>Normal.dotm</Template>
  <Company>微软用户</Company>
  <Pages>127</Pages>
  <Words>78359</Words>
  <Characters>88696</Characters>
  <Lines>1012</Lines>
  <Paragraphs>285</Paragraphs>
  <TotalTime>3</TotalTime>
  <ScaleCrop>false</ScaleCrop>
  <LinksUpToDate>false</LinksUpToDate>
  <CharactersWithSpaces>89083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2020-02-11T06:01:00Z</dcterms:created>
  <dc:creator>Administrator</dc:creator>
  <cp:lastModifiedBy>Administrator</cp:lastModifiedBy>
  <cp:lastPrinted>2020-09-21T00:59:00Z</cp:lastPrinted>
  <dcterms:modified xsi:type="dcterms:W3CDTF">2023-02-14T09:22:15Z</dcterms:modified>
  <cp:revision>1873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2A91C5DE73374565AAE8A1DC7B806BA8</vt:lpwstr>
  </property>
</Properties>
</file>