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32"/>
          <w:szCs w:val="32"/>
        </w:rPr>
      </w:pPr>
    </w:p>
    <w:p>
      <w:pPr>
        <w:adjustRightInd w:val="0"/>
        <w:snapToGrid w:val="0"/>
        <w:spacing w:line="700" w:lineRule="exact"/>
        <w:jc w:val="center"/>
        <w:outlineLvl w:val="0"/>
        <w:rPr>
          <w:rFonts w:ascii="方正小标宋_GBK" w:hAnsi="宋体" w:eastAsia="方正小标宋_GBK"/>
          <w:color w:val="000000"/>
          <w:sz w:val="48"/>
          <w:szCs w:val="48"/>
        </w:rPr>
      </w:pPr>
      <w:bookmarkStart w:id="1" w:name="_Toc15378441"/>
      <w:bookmarkStart w:id="2" w:name="_Toc15377425"/>
      <w:bookmarkStart w:id="3" w:name="_Toc15396597"/>
      <w:bookmarkStart w:id="4" w:name="_Toc15396475"/>
      <w:bookmarkStart w:id="5" w:name="_Toc15377193"/>
      <w:r>
        <w:rPr>
          <w:rFonts w:ascii="方正小标宋_GBK" w:hAnsi="黑体" w:eastAsia="方正小标宋_GBK" w:cs="方正小标宋_GBK"/>
          <w:color w:val="000000"/>
          <w:sz w:val="48"/>
          <w:szCs w:val="48"/>
        </w:rPr>
        <w:t>20</w:t>
      </w:r>
      <w:r>
        <w:rPr>
          <w:rFonts w:hint="eastAsia" w:ascii="方正小标宋_GBK" w:hAnsi="黑体" w:eastAsia="方正小标宋_GBK" w:cs="方正小标宋_GBK"/>
          <w:color w:val="000000"/>
          <w:sz w:val="48"/>
          <w:szCs w:val="48"/>
          <w:lang w:val="en-US" w:eastAsia="zh-CN"/>
        </w:rPr>
        <w:t>20</w:t>
      </w:r>
      <w:r>
        <w:rPr>
          <w:rFonts w:hint="eastAsia" w:ascii="方正小标宋_GBK" w:hAnsi="宋体" w:eastAsia="方正小标宋_GBK" w:cs="方正小标宋_GBK"/>
          <w:color w:val="000000"/>
          <w:sz w:val="48"/>
          <w:szCs w:val="48"/>
        </w:rPr>
        <w:t>年度</w:t>
      </w:r>
      <w:bookmarkEnd w:id="1"/>
      <w:bookmarkEnd w:id="2"/>
      <w:bookmarkEnd w:id="3"/>
      <w:bookmarkEnd w:id="4"/>
      <w:bookmarkEnd w:id="5"/>
    </w:p>
    <w:p>
      <w:pPr>
        <w:adjustRightInd w:val="0"/>
        <w:snapToGrid w:val="0"/>
        <w:spacing w:line="700" w:lineRule="exact"/>
        <w:jc w:val="center"/>
        <w:outlineLvl w:val="0"/>
        <w:rPr>
          <w:rFonts w:hint="eastAsia" w:ascii="方正小标宋_GBK" w:hAnsi="宋体" w:eastAsia="方正小标宋_GBK" w:cs="方正小标宋_GBK"/>
          <w:color w:val="000000"/>
          <w:sz w:val="48"/>
          <w:szCs w:val="48"/>
        </w:rPr>
      </w:pPr>
      <w:bookmarkStart w:id="6" w:name="_Toc15396476"/>
      <w:bookmarkStart w:id="7" w:name="_Toc15377194"/>
      <w:bookmarkStart w:id="8" w:name="_Toc15396598"/>
      <w:bookmarkStart w:id="9" w:name="_Toc15377426"/>
      <w:bookmarkStart w:id="10" w:name="_Toc15378442"/>
      <w:r>
        <w:rPr>
          <w:rFonts w:hint="eastAsia" w:ascii="方正小标宋_GBK" w:hAnsi="宋体" w:eastAsia="方正小标宋_GBK" w:cs="方正小标宋_GBK"/>
          <w:color w:val="000000"/>
          <w:sz w:val="48"/>
          <w:szCs w:val="48"/>
        </w:rPr>
        <w:t>广元市</w:t>
      </w:r>
      <w:bookmarkEnd w:id="0"/>
      <w:bookmarkStart w:id="11" w:name="_Toc15306268"/>
      <w:r>
        <w:rPr>
          <w:rFonts w:hint="eastAsia" w:ascii="方正小标宋_GBK" w:hAnsi="宋体" w:eastAsia="方正小标宋_GBK" w:cs="方正小标宋_GBK"/>
          <w:color w:val="000000"/>
          <w:sz w:val="48"/>
          <w:szCs w:val="48"/>
          <w:lang w:eastAsia="zh-CN"/>
        </w:rPr>
        <w:t>地质环境监测站</w:t>
      </w:r>
      <w:r>
        <w:rPr>
          <w:rFonts w:hint="eastAsia" w:ascii="方正小标宋_GBK" w:hAnsi="宋体" w:eastAsia="方正小标宋_GBK" w:cs="方正小标宋_GBK"/>
          <w:color w:val="000000"/>
          <w:sz w:val="48"/>
          <w:szCs w:val="48"/>
        </w:rPr>
        <w:t>部门决算</w:t>
      </w:r>
      <w:bookmarkEnd w:id="6"/>
      <w:bookmarkEnd w:id="7"/>
      <w:bookmarkEnd w:id="8"/>
      <w:bookmarkEnd w:id="9"/>
      <w:bookmarkEnd w:id="10"/>
      <w:bookmarkEnd w:id="11"/>
    </w:p>
    <w:p>
      <w:pPr>
        <w:adjustRightInd w:val="0"/>
        <w:snapToGrid w:val="0"/>
        <w:spacing w:line="700" w:lineRule="exact"/>
        <w:jc w:val="center"/>
        <w:outlineLvl w:val="0"/>
        <w:rPr>
          <w:rFonts w:hint="eastAsia" w:ascii="方正小标宋_GBK" w:hAnsi="宋体" w:eastAsia="方正小标宋_GBK"/>
          <w:color w:val="000000"/>
          <w:sz w:val="48"/>
          <w:szCs w:val="48"/>
          <w:lang w:eastAsia="zh-CN"/>
        </w:rPr>
      </w:pPr>
      <w:r>
        <w:rPr>
          <w:rFonts w:hint="eastAsia" w:ascii="方正小标宋_GBK" w:hAnsi="宋体" w:eastAsia="方正小标宋_GBK" w:cs="方正小标宋_GBK"/>
          <w:color w:val="000000"/>
          <w:sz w:val="48"/>
          <w:szCs w:val="48"/>
          <w:lang w:eastAsia="zh-CN"/>
        </w:rPr>
        <w:t>编制说明</w:t>
      </w: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52"/>
          <w:szCs w:val="52"/>
        </w:rPr>
      </w:pPr>
    </w:p>
    <w:p>
      <w:pPr>
        <w:widowControl/>
        <w:jc w:val="center"/>
        <w:rPr>
          <w:rFonts w:hint="eastAsia" w:ascii="黑体" w:hAnsi="黑体" w:eastAsia="黑体" w:cs="黑体"/>
          <w:color w:val="000000"/>
          <w:sz w:val="36"/>
          <w:szCs w:val="36"/>
        </w:rPr>
      </w:pPr>
      <w:r>
        <w:rPr>
          <w:rFonts w:ascii="方正小标宋简体" w:hAnsi="宋体" w:eastAsia="方正小标宋简体"/>
          <w:color w:val="000000"/>
          <w:sz w:val="36"/>
          <w:szCs w:val="36"/>
        </w:rPr>
        <w:br w:type="page"/>
      </w:r>
      <w:r>
        <w:rPr>
          <w:rFonts w:hint="eastAsia" w:asciiTheme="majorEastAsia" w:hAnsiTheme="majorEastAsia" w:eastAsiaTheme="majorEastAsia" w:cstheme="majorEastAsia"/>
          <w:b/>
          <w:bCs/>
          <w:color w:val="000000"/>
          <w:sz w:val="36"/>
          <w:szCs w:val="36"/>
        </w:rPr>
        <w:t>目    录</w:t>
      </w:r>
    </w:p>
    <w:p>
      <w:pPr>
        <w:widowControl/>
        <w:jc w:val="center"/>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lang w:eastAsia="zh-CN"/>
        </w:rPr>
        <w:t>（公开时间：</w:t>
      </w:r>
      <w:r>
        <w:rPr>
          <w:rFonts w:hint="eastAsia" w:asciiTheme="minorEastAsia" w:hAnsiTheme="minorEastAsia" w:eastAsiaTheme="minorEastAsia" w:cstheme="minorEastAsia"/>
          <w:b w:val="0"/>
          <w:bCs w:val="0"/>
          <w:color w:val="000000"/>
          <w:sz w:val="30"/>
          <w:szCs w:val="30"/>
          <w:lang w:val="en-US" w:eastAsia="zh-CN"/>
        </w:rPr>
        <w:t>2021年9月29日</w:t>
      </w:r>
      <w:r>
        <w:rPr>
          <w:rFonts w:hint="eastAsia" w:asciiTheme="minorEastAsia" w:hAnsiTheme="minorEastAsia" w:eastAsiaTheme="minorEastAsia" w:cstheme="minorEastAsia"/>
          <w:b w:val="0"/>
          <w:bCs w:val="0"/>
          <w:color w:val="000000"/>
          <w:sz w:val="30"/>
          <w:szCs w:val="30"/>
          <w:lang w:eastAsia="zh-CN"/>
        </w:rPr>
        <w:t>）</w:t>
      </w:r>
    </w:p>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 部门概况</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一、基本职能及主要</w:t>
      </w:r>
      <w:r>
        <w:rPr>
          <w:rFonts w:hint="eastAsia" w:asciiTheme="minorEastAsia" w:hAnsiTheme="minorEastAsia" w:eastAsiaTheme="minorEastAsia" w:cstheme="minorEastAsia"/>
          <w:sz w:val="28"/>
          <w:szCs w:val="28"/>
          <w:lang w:eastAsia="zh-CN"/>
        </w:rPr>
        <w:t>工</w:t>
      </w:r>
      <w:r>
        <w:rPr>
          <w:rFonts w:hint="eastAsia" w:asciiTheme="minorEastAsia" w:hAnsiTheme="minorEastAsia" w:eastAsiaTheme="minorEastAsia" w:cstheme="minorEastAsia"/>
          <w:sz w:val="28"/>
          <w:szCs w:val="28"/>
        </w:rPr>
        <w:t>作…………………………………………………</w:t>
      </w:r>
      <w:r>
        <w:rPr>
          <w:rFonts w:hint="eastAsia" w:asciiTheme="minorEastAsia" w:hAnsiTheme="minorEastAsia" w:eastAsiaTheme="minorEastAsia" w:cstheme="minorEastAsia"/>
          <w:sz w:val="28"/>
          <w:szCs w:val="28"/>
          <w:lang w:val="en-US" w:eastAsia="zh-CN"/>
        </w:rPr>
        <w:t>4</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二、机构设置………………………………………………………………</w:t>
      </w:r>
      <w:r>
        <w:rPr>
          <w:rFonts w:hint="eastAsia" w:asciiTheme="minorEastAsia" w:hAnsiTheme="minorEastAsia" w:eastAsiaTheme="minorEastAsia" w:cstheme="minorEastAsia"/>
          <w:sz w:val="28"/>
          <w:szCs w:val="28"/>
          <w:lang w:val="en-US" w:eastAsia="zh-CN"/>
        </w:rPr>
        <w:t>8</w:t>
      </w:r>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年度部门决算情况说明</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一、收入支出决算总体情况说明…………………………………………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二、收入决算情况说明……………………………………………………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三、支出决算情况说明……………………………………………………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lang w:val="en-US" w:eastAsia="zh-CN"/>
        </w:rPr>
        <w:t>10</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七、“三公”经费财政拨款支出决算情况说明……………………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lang w:val="en-US" w:eastAsia="zh-CN"/>
        </w:rPr>
        <w:t>12</w:t>
      </w:r>
    </w:p>
    <w:p>
      <w:pPr>
        <w:pStyle w:val="11"/>
        <w:adjustRightInd w:val="0"/>
        <w:snapToGrid w:val="0"/>
        <w:spacing w:line="380" w:lineRule="exact"/>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lang w:val="en-US" w:eastAsia="zh-CN"/>
        </w:rPr>
        <w:t>12</w:t>
      </w:r>
    </w:p>
    <w:p>
      <w:pPr>
        <w:adjustRightInd w:val="0"/>
        <w:snapToGrid w:val="0"/>
        <w:spacing w:line="380" w:lineRule="exact"/>
        <w:ind w:firstLine="560" w:firstLineChars="200"/>
        <w:jc w:val="left"/>
        <w:rPr>
          <w:rFonts w:hint="default" w:asciiTheme="minorEastAsia" w:hAnsiTheme="minorEastAsia" w:eastAsiaTheme="minorEastAsia" w:cstheme="minorEastAsia"/>
          <w:sz w:val="28"/>
          <w:szCs w:val="28"/>
          <w:lang w:val="en-US" w:eastAsia="zh-CN"/>
        </w:rPr>
      </w:pPr>
      <w:r>
        <w:rPr>
          <w:rStyle w:val="16"/>
          <w:rFonts w:hint="eastAsia" w:asciiTheme="minorEastAsia" w:hAnsiTheme="minorEastAsia" w:eastAsiaTheme="minorEastAsia" w:cstheme="minorEastAsia"/>
          <w:color w:val="000000"/>
          <w:sz w:val="28"/>
          <w:szCs w:val="28"/>
          <w:u w:val="none"/>
        </w:rPr>
        <w:t>十、</w:t>
      </w:r>
      <w:r>
        <w:rPr>
          <w:rFonts w:hint="eastAsia" w:asciiTheme="minorEastAsia" w:hAnsiTheme="minorEastAsia" w:eastAsiaTheme="minorEastAsia" w:cstheme="minorEastAsia"/>
          <w:sz w:val="28"/>
          <w:szCs w:val="28"/>
        </w:rPr>
        <w:t>其他重要事项的情况说明…………………………………………</w:t>
      </w:r>
      <w:r>
        <w:rPr>
          <w:rFonts w:hint="eastAsia" w:asciiTheme="minorEastAsia" w:hAnsiTheme="minorEastAsia" w:eastAsiaTheme="minorEastAsia" w:cstheme="minorEastAsia"/>
          <w:sz w:val="28"/>
          <w:szCs w:val="28"/>
          <w:lang w:val="en-US" w:eastAsia="zh-CN"/>
        </w:rPr>
        <w:t>12</w:t>
      </w:r>
    </w:p>
    <w:p>
      <w:pPr>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第三部分 名词解释…</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w:t>
      </w:r>
    </w:p>
    <w:p>
      <w:pPr>
        <w:pStyle w:val="10"/>
        <w:rPr>
          <w:rFonts w:hint="eastAsia" w:asciiTheme="minorEastAsia" w:hAnsiTheme="minorEastAsia" w:eastAsiaTheme="minorEastAsia" w:cstheme="minorEastAsia"/>
          <w:sz w:val="28"/>
          <w:szCs w:val="28"/>
        </w:rPr>
      </w:pPr>
    </w:p>
    <w:p>
      <w:pPr>
        <w:adjustRightInd w:val="0"/>
        <w:snapToGrid w:val="0"/>
        <w:spacing w:line="38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2"/>
          <w:sz w:val="28"/>
          <w:szCs w:val="28"/>
          <w:lang w:val="en-US" w:eastAsia="zh-CN" w:bidi="ar-SA"/>
        </w:rPr>
        <w:t>第四部分 附件…</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19</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19</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附件2……………………………………………………………………</w:t>
      </w:r>
      <w:r>
        <w:rPr>
          <w:rFonts w:hint="eastAsia" w:asciiTheme="minorEastAsia" w:hAnsiTheme="minorEastAsia" w:eastAsiaTheme="minorEastAsia" w:cstheme="minorEastAsia"/>
          <w:sz w:val="28"/>
          <w:szCs w:val="28"/>
          <w:lang w:val="en-US" w:eastAsia="zh-CN"/>
        </w:rPr>
        <w:t>26</w:t>
      </w:r>
    </w:p>
    <w:p>
      <w:pPr>
        <w:pStyle w:val="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第五部分 附表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二、收入决算表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四、财政拨款收入支出决算总表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六、一般公共预算财政拨款支出决算表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七、一般公共预算财政拨款支出决算明细表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八、一般公共预算财政拨款基本支出决算表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九、一般公共预算财政拨款项目支出决算表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十、一般公共预算财政拨款“三公”经费支出决算表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十一、政府性基金预算财政拨款收入支出决算表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十二、政府性基金预算财政拨款“三公”经费支出决算表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十三、国有资本经营预算财政拨款收入支出决算表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十四、国有资本经营预算财政拨款支出决算表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widowControl/>
        <w:spacing w:line="440" w:lineRule="exact"/>
        <w:jc w:val="left"/>
        <w:rPr>
          <w:rFonts w:ascii="仿宋" w:hAnsi="仿宋" w:eastAsia="仿宋"/>
          <w:kern w:val="44"/>
          <w:sz w:val="24"/>
          <w:szCs w:val="24"/>
        </w:rPr>
      </w:pPr>
      <w:bookmarkStart w:id="12" w:name="_Toc15377196"/>
      <w:bookmarkStart w:id="13" w:name="_Toc15396599"/>
    </w:p>
    <w:p>
      <w:pPr>
        <w:widowControl/>
        <w:spacing w:line="440" w:lineRule="exact"/>
        <w:jc w:val="left"/>
        <w:rPr>
          <w:rFonts w:ascii="仿宋" w:hAnsi="仿宋" w:eastAsia="仿宋"/>
          <w:kern w:val="44"/>
          <w:sz w:val="24"/>
          <w:szCs w:val="24"/>
        </w:rPr>
      </w:pPr>
    </w:p>
    <w:p>
      <w:pPr>
        <w:widowControl/>
        <w:spacing w:line="440" w:lineRule="exact"/>
        <w:jc w:val="left"/>
        <w:rPr>
          <w:rFonts w:ascii="仿宋" w:hAnsi="仿宋" w:eastAsia="仿宋"/>
          <w:kern w:val="44"/>
          <w:sz w:val="24"/>
          <w:szCs w:val="24"/>
        </w:rPr>
      </w:pPr>
    </w:p>
    <w:p>
      <w:pPr>
        <w:pStyle w:val="2"/>
        <w:jc w:val="center"/>
        <w:rPr>
          <w:rStyle w:val="17"/>
          <w:rFonts w:ascii="方正小标宋_GBK" w:hAnsi="黑体" w:eastAsia="方正小标宋_GBK"/>
          <w:b/>
          <w:bCs/>
          <w:sz w:val="40"/>
          <w:szCs w:val="40"/>
        </w:rPr>
      </w:pPr>
      <w:r>
        <w:rPr>
          <w:rFonts w:hint="eastAsia" w:ascii="方正小标宋_GBK" w:hAnsi="黑体" w:eastAsia="方正小标宋_GBK" w:cs="方正小标宋_GBK"/>
          <w:b w:val="0"/>
          <w:bCs w:val="0"/>
          <w:sz w:val="40"/>
          <w:szCs w:val="40"/>
        </w:rPr>
        <w:t>第一部分</w:t>
      </w:r>
      <w:r>
        <w:rPr>
          <w:rFonts w:ascii="方正小标宋_GBK" w:hAnsi="黑体" w:eastAsia="方正小标宋_GBK" w:cs="方正小标宋_GBK"/>
          <w:b w:val="0"/>
          <w:bCs w:val="0"/>
          <w:sz w:val="40"/>
          <w:szCs w:val="40"/>
        </w:rPr>
        <w:t xml:space="preserve"> </w:t>
      </w:r>
      <w:r>
        <w:rPr>
          <w:rStyle w:val="17"/>
          <w:rFonts w:hint="eastAsia" w:ascii="方正小标宋_GBK" w:hAnsi="黑体" w:eastAsia="方正小标宋_GBK" w:cs="方正小标宋_GBK"/>
          <w:b w:val="0"/>
          <w:bCs w:val="0"/>
          <w:sz w:val="40"/>
          <w:szCs w:val="40"/>
        </w:rPr>
        <w:t>部门概况</w:t>
      </w:r>
      <w:bookmarkEnd w:id="12"/>
      <w:bookmarkEnd w:id="13"/>
    </w:p>
    <w:p>
      <w:pPr>
        <w:pStyle w:val="3"/>
        <w:spacing w:before="0" w:after="0" w:line="500" w:lineRule="exact"/>
        <w:rPr>
          <w:rStyle w:val="18"/>
          <w:rFonts w:hint="eastAsia" w:ascii="黑体" w:hAnsi="黑体" w:eastAsia="黑体" w:cs="黑体"/>
          <w:b w:val="0"/>
          <w:bCs w:val="0"/>
          <w:sz w:val="30"/>
          <w:szCs w:val="30"/>
        </w:rPr>
      </w:pPr>
      <w:bookmarkStart w:id="14" w:name="_Toc15396600"/>
      <w:bookmarkStart w:id="15" w:name="_Toc15377197"/>
      <w:r>
        <w:rPr>
          <w:rFonts w:ascii="黑体" w:hAnsi="黑体" w:eastAsia="黑体" w:cs="黑体"/>
          <w:b w:val="0"/>
          <w:bCs w:val="0"/>
          <w:color w:val="000000"/>
        </w:rPr>
        <w:t xml:space="preserve"> </w:t>
      </w:r>
      <w:r>
        <w:rPr>
          <w:rFonts w:hint="eastAsia" w:ascii="黑体" w:hAnsi="黑体" w:eastAsia="黑体" w:cs="黑体"/>
          <w:b w:val="0"/>
          <w:bCs w:val="0"/>
          <w:color w:val="000000"/>
          <w:sz w:val="30"/>
          <w:szCs w:val="30"/>
        </w:rPr>
        <w:t>一、基</w:t>
      </w:r>
      <w:r>
        <w:rPr>
          <w:rStyle w:val="18"/>
          <w:rFonts w:hint="eastAsia" w:ascii="黑体" w:hAnsi="黑体" w:eastAsia="黑体" w:cs="黑体"/>
          <w:b w:val="0"/>
          <w:bCs w:val="0"/>
          <w:sz w:val="30"/>
          <w:szCs w:val="30"/>
        </w:rPr>
        <w:t>本职能及主要工作</w:t>
      </w:r>
      <w:bookmarkEnd w:id="14"/>
      <w:bookmarkEnd w:id="15"/>
    </w:p>
    <w:p>
      <w:pPr>
        <w:spacing w:line="560" w:lineRule="exact"/>
        <w:rPr>
          <w:rFonts w:hint="eastAsia" w:ascii="黑体" w:hAnsi="黑体" w:eastAsia="黑体" w:cs="黑体"/>
          <w:b w:val="0"/>
          <w:bCs w:val="0"/>
          <w:color w:val="000000"/>
          <w:kern w:val="2"/>
          <w:sz w:val="30"/>
          <w:szCs w:val="30"/>
          <w:lang w:val="en-US" w:eastAsia="zh-CN" w:bidi="ar-SA"/>
        </w:rPr>
      </w:pPr>
      <w:bookmarkStart w:id="16" w:name="_Toc15377198"/>
      <w:bookmarkStart w:id="17" w:name="_Toc15378445"/>
      <w:r>
        <w:rPr>
          <w:rFonts w:hint="eastAsia" w:ascii="黑体" w:hAnsi="黑体" w:eastAsia="黑体" w:cs="黑体"/>
          <w:b w:val="0"/>
          <w:bCs w:val="0"/>
          <w:color w:val="000000"/>
          <w:kern w:val="2"/>
          <w:sz w:val="30"/>
          <w:szCs w:val="30"/>
          <w:lang w:val="en-US" w:eastAsia="zh-CN" w:bidi="ar-SA"/>
        </w:rPr>
        <w:t>（一）基本职能</w:t>
      </w:r>
      <w:bookmarkEnd w:id="16"/>
      <w:bookmarkEnd w:id="17"/>
    </w:p>
    <w:p>
      <w:pPr>
        <w:spacing w:line="540" w:lineRule="exact"/>
        <w:ind w:firstLine="640" w:firstLineChars="200"/>
        <w:rPr>
          <w:rFonts w:hint="eastAsia" w:ascii="仿宋_GB2312" w:hAnsi="Times New Roman" w:eastAsia="仿宋_GB2312" w:cs="??_GB2312"/>
          <w:sz w:val="32"/>
          <w:szCs w:val="32"/>
          <w:lang w:val="en-US" w:eastAsia="zh-CN"/>
        </w:rPr>
      </w:pPr>
      <w:bookmarkStart w:id="18" w:name="_Toc15378446"/>
      <w:bookmarkStart w:id="19" w:name="_Toc15377199"/>
      <w:r>
        <w:rPr>
          <w:rFonts w:hint="eastAsia" w:ascii="仿宋_GB2312" w:hAnsi="Times New Roman" w:eastAsia="仿宋_GB2312" w:cs="??_GB2312"/>
          <w:sz w:val="32"/>
          <w:szCs w:val="32"/>
          <w:lang w:val="en-US" w:eastAsia="zh-CN"/>
        </w:rPr>
        <w:t>1.组织编制和实施全市地质环境监测工作规划、计划；参与编制地质灾害环境资源规划；对各县（区、事务中心）地质环境监测站（股）进行业务指导。</w:t>
      </w:r>
    </w:p>
    <w:p>
      <w:pPr>
        <w:spacing w:line="540" w:lineRule="exact"/>
        <w:ind w:firstLine="640" w:firstLineChars="200"/>
        <w:rPr>
          <w:rFonts w:hint="eastAsia" w:ascii="仿宋_GB2312" w:hAnsi="Times New Roman" w:eastAsia="仿宋_GB2312" w:cs="??_GB2312"/>
          <w:sz w:val="32"/>
          <w:szCs w:val="32"/>
          <w:lang w:val="en-US" w:eastAsia="zh-CN"/>
        </w:rPr>
      </w:pPr>
      <w:r>
        <w:rPr>
          <w:rFonts w:hint="eastAsia" w:ascii="仿宋_GB2312" w:hAnsi="Times New Roman" w:eastAsia="仿宋_GB2312" w:cs="??_GB2312"/>
          <w:sz w:val="32"/>
          <w:szCs w:val="32"/>
          <w:lang w:val="en-US" w:eastAsia="zh-CN"/>
        </w:rPr>
        <w:t>2.负责提出地质灾害预警工程项目的设置建议，承担重大地质灾害的监测、调查研究、评价和防治工作；开展地质灾害预测预报工作，推进和建立全市地质灾害“群测群防、群专结合”的监测网络体系。</w:t>
      </w:r>
    </w:p>
    <w:p>
      <w:pPr>
        <w:spacing w:line="540" w:lineRule="exact"/>
        <w:ind w:firstLine="640" w:firstLineChars="200"/>
        <w:rPr>
          <w:rFonts w:hint="eastAsia" w:ascii="仿宋_GB2312" w:hAnsi="Times New Roman" w:eastAsia="仿宋_GB2312" w:cs="??_GB2312"/>
          <w:sz w:val="32"/>
          <w:szCs w:val="32"/>
          <w:lang w:val="en-US" w:eastAsia="zh-CN"/>
        </w:rPr>
      </w:pPr>
      <w:r>
        <w:rPr>
          <w:rFonts w:hint="eastAsia" w:ascii="仿宋_GB2312" w:hAnsi="Times New Roman" w:eastAsia="仿宋_GB2312" w:cs="??_GB2312"/>
          <w:sz w:val="32"/>
          <w:szCs w:val="32"/>
          <w:lang w:val="en-US" w:eastAsia="zh-CN"/>
        </w:rPr>
        <w:t>3.提供地质环境监测管理对策建议；编制地质环境、地质灾害、地质遗迹、地下水资源的年报、通报和公报；建立和完善全市突发性地质灾害的速报制度。</w:t>
      </w:r>
    </w:p>
    <w:p>
      <w:pPr>
        <w:spacing w:line="540" w:lineRule="exact"/>
        <w:ind w:firstLine="640" w:firstLineChars="200"/>
        <w:rPr>
          <w:rFonts w:hint="eastAsia" w:ascii="仿宋_GB2312" w:hAnsi="Times New Roman" w:eastAsia="仿宋_GB2312" w:cs="??_GB2312"/>
          <w:sz w:val="32"/>
          <w:szCs w:val="32"/>
          <w:lang w:val="en-US" w:eastAsia="zh-CN"/>
        </w:rPr>
      </w:pPr>
      <w:r>
        <w:rPr>
          <w:rFonts w:hint="eastAsia" w:ascii="仿宋_GB2312" w:hAnsi="Times New Roman" w:eastAsia="仿宋_GB2312" w:cs="??_GB2312"/>
          <w:sz w:val="32"/>
          <w:szCs w:val="32"/>
          <w:lang w:val="en-US" w:eastAsia="zh-CN"/>
        </w:rPr>
        <w:t>4.承担全市地质环境监测数据和资料的接收、汇总、分析和处理以及全市地质环境信息系统的建设、管理，向广元自然资源局及省国土空间生态修复及地质灾害防治研究院提交各类监测成果。</w:t>
      </w:r>
    </w:p>
    <w:p>
      <w:pPr>
        <w:spacing w:line="540" w:lineRule="exact"/>
        <w:ind w:firstLine="640" w:firstLineChars="200"/>
        <w:rPr>
          <w:rFonts w:hint="eastAsia" w:ascii="仿宋_GB2312" w:hAnsi="Times New Roman" w:eastAsia="仿宋_GB2312" w:cs="??_GB2312"/>
          <w:sz w:val="32"/>
          <w:szCs w:val="32"/>
          <w:lang w:val="en-US" w:eastAsia="zh-CN"/>
        </w:rPr>
      </w:pPr>
      <w:r>
        <w:rPr>
          <w:rFonts w:hint="eastAsia" w:ascii="仿宋_GB2312" w:hAnsi="Times New Roman" w:eastAsia="仿宋_GB2312" w:cs="??_GB2312"/>
          <w:sz w:val="32"/>
          <w:szCs w:val="32"/>
          <w:lang w:val="en-US" w:eastAsia="zh-CN"/>
        </w:rPr>
        <w:t>5.开展地质环境监测的技术培训、交流与合作。</w:t>
      </w:r>
    </w:p>
    <w:p>
      <w:pPr>
        <w:spacing w:line="540" w:lineRule="exact"/>
        <w:ind w:firstLine="640" w:firstLineChars="200"/>
        <w:rPr>
          <w:rFonts w:hint="eastAsia" w:ascii="仿宋_GB2312" w:hAnsi="Times New Roman" w:eastAsia="仿宋_GB2312" w:cs="??_GB2312"/>
          <w:sz w:val="32"/>
          <w:szCs w:val="32"/>
          <w:lang w:val="en-US" w:eastAsia="zh-CN"/>
        </w:rPr>
      </w:pPr>
      <w:r>
        <w:rPr>
          <w:rFonts w:hint="eastAsia" w:ascii="仿宋_GB2312" w:hAnsi="Times New Roman" w:eastAsia="仿宋_GB2312" w:cs="??_GB2312"/>
          <w:sz w:val="32"/>
          <w:szCs w:val="32"/>
          <w:lang w:val="en-US" w:eastAsia="zh-CN"/>
        </w:rPr>
        <w:t>6.承办广元市自然资源局及省自然资源厅、省国土空间生态修复及地质灾害防治研究院交办的其他事项。</w:t>
      </w:r>
    </w:p>
    <w:p>
      <w:pPr>
        <w:spacing w:line="560" w:lineRule="exact"/>
        <w:rPr>
          <w:rFonts w:hint="eastAsia" w:ascii="黑体" w:hAnsi="黑体" w:eastAsia="黑体" w:cs="黑体"/>
          <w:b w:val="0"/>
          <w:bCs w:val="0"/>
          <w:color w:val="000000"/>
          <w:kern w:val="2"/>
          <w:sz w:val="30"/>
          <w:szCs w:val="30"/>
          <w:lang w:val="en-US" w:eastAsia="zh-CN" w:bidi="ar-SA"/>
        </w:rPr>
      </w:pPr>
      <w:r>
        <w:rPr>
          <w:rFonts w:hint="eastAsia" w:ascii="黑体" w:hAnsi="黑体" w:eastAsia="黑体" w:cs="黑体"/>
          <w:b w:val="0"/>
          <w:bCs w:val="0"/>
          <w:color w:val="000000"/>
          <w:kern w:val="2"/>
          <w:sz w:val="30"/>
          <w:szCs w:val="30"/>
          <w:lang w:val="en-US" w:eastAsia="zh-CN" w:bidi="ar-SA"/>
        </w:rPr>
        <w:t>（二）2020年重点工作完成情况</w:t>
      </w:r>
    </w:p>
    <w:p>
      <w:pPr>
        <w:spacing w:line="540" w:lineRule="exact"/>
        <w:ind w:firstLine="643" w:firstLineChars="200"/>
        <w:rPr>
          <w:rFonts w:hint="eastAsia" w:ascii="仿宋_GB2312" w:eastAsia="仿宋_GB2312"/>
          <w:sz w:val="32"/>
          <w:szCs w:val="32"/>
          <w:lang w:val="en-US" w:eastAsia="zh-CN"/>
        </w:rPr>
      </w:pPr>
      <w:r>
        <w:rPr>
          <w:rFonts w:hint="eastAsia" w:ascii="楷体_GB2312" w:eastAsia="楷体_GB2312" w:cs="楷体_GB2312"/>
          <w:b/>
          <w:bCs/>
          <w:sz w:val="32"/>
          <w:szCs w:val="32"/>
          <w:lang w:val="en-US" w:eastAsia="zh-CN"/>
        </w:rPr>
        <w:t>一、扎实做好防灾准备各项工作。</w:t>
      </w:r>
      <w:r>
        <w:rPr>
          <w:rFonts w:hint="eastAsia" w:ascii="仿宋_GB2312" w:eastAsia="仿宋_GB2312" w:cs="??_GB2312"/>
          <w:sz w:val="32"/>
          <w:szCs w:val="32"/>
          <w:lang w:val="en-US" w:eastAsia="zh-CN"/>
        </w:rPr>
        <w:t>我单位将汛前防灾工作细化为12个项目实行清单制管理，逐项明确了工作项目、主要任务、责任单位、责任人和完成时限，有力的推动了防灾工作的落实。在汛前印发</w:t>
      </w:r>
      <w:r>
        <w:rPr>
          <w:rFonts w:hint="eastAsia" w:ascii="仿宋_GB2312" w:eastAsia="仿宋_GB2312"/>
          <w:sz w:val="32"/>
          <w:szCs w:val="32"/>
        </w:rPr>
        <w:t>《广元市地质灾害防治汛前“七查”专项行动工作方案》</w:t>
      </w:r>
      <w:r>
        <w:rPr>
          <w:rFonts w:hint="eastAsia" w:ascii="仿宋_GB2312" w:eastAsia="仿宋_GB2312"/>
          <w:sz w:val="32"/>
          <w:szCs w:val="32"/>
          <w:lang w:eastAsia="zh-CN"/>
        </w:rPr>
        <w:t>，</w:t>
      </w:r>
      <w:r>
        <w:rPr>
          <w:rFonts w:hint="eastAsia" w:ascii="仿宋_GB2312" w:eastAsia="仿宋_GB2312"/>
          <w:sz w:val="32"/>
          <w:szCs w:val="32"/>
          <w:lang w:val="en-US" w:eastAsia="zh-CN"/>
        </w:rPr>
        <w:t>明确防灾工作指导思想、组织形式、工作内容、时间安排和工作要求，成立领导小组，由局领导带队到联系县区督导检查，把“七查”工作向纵深推进。在汛前七查工作中，共投入8支专业技术队伍54名专业技术人员和1493名干部群众，完善了防灾预案1145处，发放两表一卡6799户，更新262名监测人信息，移交相关行业主管部门79处，为汛期防灾工作打下扎实的基础。</w:t>
      </w:r>
    </w:p>
    <w:p>
      <w:pPr>
        <w:spacing w:line="540" w:lineRule="exact"/>
        <w:ind w:firstLine="643" w:firstLineChars="200"/>
        <w:rPr>
          <w:rFonts w:hint="default" w:ascii="仿宋_GB2312" w:eastAsia="仿宋_GB2312"/>
          <w:sz w:val="32"/>
          <w:szCs w:val="32"/>
          <w:lang w:val="en-US" w:eastAsia="zh-CN"/>
        </w:rPr>
      </w:pPr>
      <w:r>
        <w:rPr>
          <w:rFonts w:hint="eastAsia" w:ascii="楷体_GB2312" w:eastAsia="楷体_GB2312" w:cs="楷体_GB2312"/>
          <w:b/>
          <w:bCs/>
          <w:sz w:val="32"/>
          <w:szCs w:val="32"/>
          <w:lang w:val="en-US" w:eastAsia="zh-CN"/>
        </w:rPr>
        <w:t>二、落实专业驻守技术支撑单位。</w:t>
      </w:r>
      <w:r>
        <w:rPr>
          <w:rFonts w:hint="eastAsia" w:ascii="仿宋_GB2312" w:hAnsi="仿宋" w:eastAsia="仿宋_GB2312" w:cs="??_GB2312"/>
          <w:sz w:val="32"/>
          <w:szCs w:val="32"/>
        </w:rPr>
        <w:t>市县区</w:t>
      </w:r>
      <w:r>
        <w:rPr>
          <w:rFonts w:hint="eastAsia" w:ascii="仿宋_GB2312" w:eastAsia="仿宋_GB2312" w:cs="??_GB2312"/>
          <w:sz w:val="32"/>
          <w:szCs w:val="32"/>
          <w:lang w:val="en-US" w:eastAsia="zh-CN"/>
        </w:rPr>
        <w:t>分别</w:t>
      </w:r>
      <w:r>
        <w:rPr>
          <w:rFonts w:hint="eastAsia" w:ascii="仿宋_GB2312" w:eastAsia="仿宋_GB2312" w:cs="??_GB2312"/>
          <w:sz w:val="32"/>
          <w:szCs w:val="32"/>
        </w:rPr>
        <w:t>委托省冶金</w:t>
      </w:r>
      <w:r>
        <w:rPr>
          <w:rFonts w:hint="eastAsia" w:ascii="仿宋_GB2312" w:eastAsia="仿宋_GB2312" w:cs="??_GB2312"/>
          <w:sz w:val="32"/>
          <w:szCs w:val="32"/>
          <w:lang w:val="en-US" w:eastAsia="zh-CN"/>
        </w:rPr>
        <w:t>地勘</w:t>
      </w:r>
      <w:r>
        <w:rPr>
          <w:rFonts w:hint="eastAsia" w:ascii="仿宋_GB2312" w:eastAsia="仿宋_GB2312" w:cs="??_GB2312"/>
          <w:sz w:val="32"/>
          <w:szCs w:val="32"/>
        </w:rPr>
        <w:t>局604</w:t>
      </w:r>
      <w:r>
        <w:rPr>
          <w:rFonts w:hint="eastAsia" w:ascii="仿宋_GB2312" w:eastAsia="仿宋_GB2312" w:cs="??_GB2312"/>
          <w:sz w:val="32"/>
          <w:szCs w:val="32"/>
          <w:lang w:val="en-US" w:eastAsia="zh-CN"/>
        </w:rPr>
        <w:t>地质</w:t>
      </w:r>
      <w:r>
        <w:rPr>
          <w:rFonts w:hint="eastAsia" w:ascii="仿宋_GB2312" w:eastAsia="仿宋_GB2312" w:cs="??_GB2312"/>
          <w:sz w:val="32"/>
          <w:szCs w:val="32"/>
        </w:rPr>
        <w:t>队、省地矿局909</w:t>
      </w:r>
      <w:r>
        <w:rPr>
          <w:rFonts w:hint="eastAsia" w:ascii="仿宋_GB2312" w:eastAsia="仿宋_GB2312" w:cs="??_GB2312"/>
          <w:sz w:val="32"/>
          <w:szCs w:val="32"/>
          <w:lang w:val="en-US" w:eastAsia="zh-CN"/>
        </w:rPr>
        <w:t>地质</w:t>
      </w:r>
      <w:r>
        <w:rPr>
          <w:rFonts w:hint="eastAsia" w:ascii="仿宋_GB2312" w:eastAsia="仿宋_GB2312" w:cs="??_GB2312"/>
          <w:sz w:val="32"/>
          <w:szCs w:val="32"/>
        </w:rPr>
        <w:t>队等专业技术</w:t>
      </w:r>
      <w:r>
        <w:rPr>
          <w:rFonts w:hint="eastAsia" w:ascii="仿宋_GB2312" w:eastAsia="仿宋_GB2312" w:cs="??_GB2312"/>
          <w:sz w:val="32"/>
          <w:szCs w:val="32"/>
          <w:lang w:val="en-US" w:eastAsia="zh-CN"/>
        </w:rPr>
        <w:t>队伍作为地灾防治技术支撑单位</w:t>
      </w:r>
      <w:r>
        <w:rPr>
          <w:rFonts w:hint="eastAsia" w:ascii="仿宋_GB2312" w:eastAsia="仿宋_GB2312" w:cs="??_GB2312"/>
          <w:sz w:val="32"/>
          <w:szCs w:val="32"/>
        </w:rPr>
        <w:t>，督导县区落实地质灾害防治责任</w:t>
      </w:r>
      <w:r>
        <w:rPr>
          <w:rFonts w:hint="eastAsia" w:ascii="仿宋_GB2312" w:eastAsia="仿宋_GB2312" w:cs="??_GB2312"/>
          <w:sz w:val="32"/>
          <w:szCs w:val="32"/>
          <w:lang w:eastAsia="zh-CN"/>
        </w:rPr>
        <w:t>，</w:t>
      </w:r>
      <w:r>
        <w:rPr>
          <w:rFonts w:hint="eastAsia" w:ascii="仿宋_GB2312" w:eastAsia="仿宋_GB2312" w:cs="??_GB2312"/>
          <w:sz w:val="32"/>
          <w:szCs w:val="32"/>
        </w:rPr>
        <w:t>落实</w:t>
      </w:r>
      <w:r>
        <w:rPr>
          <w:rFonts w:hint="eastAsia" w:ascii="仿宋_GB2312" w:eastAsia="仿宋_GB2312" w:cs="??_GB2312"/>
          <w:sz w:val="32"/>
          <w:szCs w:val="32"/>
          <w:lang w:val="en-US" w:eastAsia="zh-CN"/>
        </w:rPr>
        <w:t>地灾防治</w:t>
      </w:r>
      <w:r>
        <w:rPr>
          <w:rFonts w:hint="eastAsia" w:ascii="仿宋_GB2312" w:eastAsia="仿宋_GB2312" w:cs="??_GB2312"/>
          <w:sz w:val="32"/>
          <w:szCs w:val="32"/>
        </w:rPr>
        <w:t>专业技术人员</w:t>
      </w:r>
      <w:r>
        <w:rPr>
          <w:rFonts w:ascii="仿宋_GB2312" w:eastAsia="仿宋_GB2312" w:cs="??_GB2312"/>
          <w:sz w:val="32"/>
          <w:szCs w:val="32"/>
        </w:rPr>
        <w:t>36</w:t>
      </w:r>
      <w:r>
        <w:rPr>
          <w:rFonts w:hint="eastAsia" w:ascii="仿宋_GB2312" w:eastAsia="仿宋_GB2312" w:cs="??_GB2312"/>
          <w:sz w:val="32"/>
          <w:szCs w:val="32"/>
        </w:rPr>
        <w:t>人</w:t>
      </w:r>
      <w:r>
        <w:rPr>
          <w:rFonts w:hint="eastAsia" w:ascii="仿宋_GB2312" w:eastAsia="仿宋_GB2312" w:cs="??_GB2312"/>
          <w:sz w:val="32"/>
          <w:szCs w:val="32"/>
          <w:lang w:val="en-US" w:eastAsia="zh-CN"/>
        </w:rPr>
        <w:t>车辆9台</w:t>
      </w:r>
      <w:r>
        <w:rPr>
          <w:rFonts w:hint="eastAsia" w:ascii="仿宋_GB2312" w:eastAsia="仿宋_GB2312" w:cs="??_GB2312"/>
          <w:sz w:val="32"/>
          <w:szCs w:val="32"/>
        </w:rPr>
        <w:t>。</w:t>
      </w:r>
    </w:p>
    <w:p>
      <w:pPr>
        <w:spacing w:line="540" w:lineRule="exact"/>
        <w:ind w:firstLine="643" w:firstLineChars="200"/>
        <w:rPr>
          <w:rFonts w:hint="eastAsia" w:ascii="仿宋_GB2312" w:hAnsi="宋体" w:eastAsia="仿宋_GB2312"/>
          <w:sz w:val="32"/>
          <w:szCs w:val="32"/>
        </w:rPr>
      </w:pPr>
      <w:r>
        <w:rPr>
          <w:rFonts w:hint="eastAsia" w:ascii="楷体_GB2312" w:eastAsia="楷体_GB2312" w:cs="楷体_GB2312"/>
          <w:b/>
          <w:bCs/>
          <w:sz w:val="32"/>
          <w:szCs w:val="32"/>
          <w:lang w:val="en-US" w:eastAsia="zh-CN"/>
        </w:rPr>
        <w:t>三、动态排查隐患补强薄弱环节。</w:t>
      </w:r>
      <w:r>
        <w:rPr>
          <w:rFonts w:hint="eastAsia" w:ascii="仿宋_GB2312" w:eastAsia="仿宋_GB2312" w:cs="??_GB2312"/>
          <w:sz w:val="32"/>
          <w:szCs w:val="32"/>
        </w:rPr>
        <w:t>各县区组织专业队伍、基层</w:t>
      </w:r>
      <w:r>
        <w:rPr>
          <w:rFonts w:hint="eastAsia" w:ascii="仿宋_GB2312" w:eastAsia="仿宋_GB2312" w:cs="??_GB2312"/>
          <w:sz w:val="32"/>
          <w:szCs w:val="32"/>
          <w:lang w:val="en-US" w:eastAsia="zh-CN"/>
        </w:rPr>
        <w:t>干部</w:t>
      </w:r>
      <w:r>
        <w:rPr>
          <w:rFonts w:hint="eastAsia" w:ascii="仿宋_GB2312" w:eastAsia="仿宋_GB2312" w:cs="??_GB2312"/>
          <w:sz w:val="32"/>
          <w:szCs w:val="32"/>
        </w:rPr>
        <w:t>和</w:t>
      </w:r>
      <w:r>
        <w:rPr>
          <w:rFonts w:hint="eastAsia" w:ascii="仿宋_GB2312" w:eastAsia="仿宋_GB2312" w:cs="??_GB2312"/>
          <w:sz w:val="32"/>
          <w:szCs w:val="32"/>
          <w:lang w:val="en-US" w:eastAsia="zh-CN"/>
        </w:rPr>
        <w:t>当地</w:t>
      </w:r>
      <w:r>
        <w:rPr>
          <w:rFonts w:hint="eastAsia" w:ascii="仿宋_GB2312" w:eastAsia="仿宋_GB2312" w:cs="??_GB2312"/>
          <w:sz w:val="32"/>
          <w:szCs w:val="32"/>
        </w:rPr>
        <w:t>群众开展</w:t>
      </w:r>
      <w:r>
        <w:rPr>
          <w:rFonts w:hint="eastAsia" w:ascii="仿宋_GB2312" w:eastAsia="仿宋_GB2312" w:cs="??_GB2312"/>
          <w:sz w:val="32"/>
          <w:szCs w:val="32"/>
          <w:lang w:val="en-US" w:eastAsia="zh-CN"/>
        </w:rPr>
        <w:t>隐患</w:t>
      </w:r>
      <w:r>
        <w:rPr>
          <w:rFonts w:hint="eastAsia" w:ascii="仿宋_GB2312" w:eastAsia="仿宋_GB2312" w:cs="??_GB2312"/>
          <w:sz w:val="32"/>
          <w:szCs w:val="32"/>
        </w:rPr>
        <w:t>排查，围绕学校、场镇、在建工地、</w:t>
      </w:r>
      <w:r>
        <w:rPr>
          <w:rFonts w:hint="eastAsia" w:ascii="仿宋_GB2312" w:eastAsia="仿宋_GB2312" w:cs="??_GB2312"/>
          <w:sz w:val="32"/>
          <w:szCs w:val="32"/>
          <w:lang w:val="en-US" w:eastAsia="zh-CN"/>
        </w:rPr>
        <w:t>陡崖斜坡地段、泥石流沟口、</w:t>
      </w:r>
      <w:r>
        <w:rPr>
          <w:rFonts w:hint="eastAsia" w:ascii="仿宋_GB2312" w:eastAsia="仿宋_GB2312" w:cs="??_GB2312"/>
          <w:sz w:val="32"/>
          <w:szCs w:val="32"/>
        </w:rPr>
        <w:t>农户集中区、矿山和旅游景区等人口密集区域全面排查</w:t>
      </w:r>
      <w:r>
        <w:rPr>
          <w:rFonts w:hint="eastAsia" w:ascii="仿宋_GB2312" w:hAnsi="宋体" w:eastAsia="仿宋_GB2312"/>
          <w:sz w:val="32"/>
          <w:szCs w:val="32"/>
          <w:lang w:val="en-US" w:eastAsia="zh-CN"/>
        </w:rPr>
        <w:t>隐患。通过汛期以来的排查和对排查成果分析，新增隐患点251处，销号隐患点111处，截止目前共有隐患点1285处。对排查出的隐患点不断更新防灾预案，</w:t>
      </w:r>
      <w:r>
        <w:rPr>
          <w:rFonts w:hint="eastAsia" w:ascii="仿宋_GB2312" w:eastAsia="仿宋_GB2312" w:cs="??_GB2312"/>
          <w:sz w:val="32"/>
          <w:szCs w:val="32"/>
          <w:lang w:val="en-US" w:eastAsia="zh-CN"/>
        </w:rPr>
        <w:t>并</w:t>
      </w:r>
      <w:r>
        <w:rPr>
          <w:rFonts w:hint="eastAsia" w:ascii="仿宋_GB2312" w:hAnsi="宋体" w:eastAsia="仿宋_GB2312"/>
          <w:sz w:val="32"/>
          <w:szCs w:val="32"/>
          <w:lang w:val="en-US" w:eastAsia="zh-CN"/>
        </w:rPr>
        <w:t>动态完善地质环境基础数据系统</w:t>
      </w:r>
      <w:r>
        <w:rPr>
          <w:rFonts w:hint="eastAsia" w:ascii="仿宋_GB2312" w:hAnsi="宋体" w:eastAsia="仿宋_GB2312"/>
          <w:sz w:val="32"/>
          <w:szCs w:val="32"/>
        </w:rPr>
        <w:t>。</w:t>
      </w:r>
      <w:r>
        <w:rPr>
          <w:rFonts w:hint="eastAsia" w:ascii="仿宋_GB2312" w:hAnsi="宋体" w:eastAsia="仿宋_GB2312"/>
          <w:sz w:val="32"/>
          <w:szCs w:val="32"/>
          <w:lang w:val="en-US" w:eastAsia="zh-CN"/>
        </w:rPr>
        <w:t>对排查出的“空心村”性质隐患点，</w:t>
      </w:r>
      <w:r>
        <w:rPr>
          <w:rFonts w:hint="eastAsia" w:ascii="仿宋_GB2312" w:eastAsia="仿宋_GB2312"/>
          <w:sz w:val="32"/>
          <w:szCs w:val="32"/>
          <w:lang w:val="en-US" w:eastAsia="zh-CN"/>
        </w:rPr>
        <w:t>通过排查整治消除了“空心村”性质地质灾害隐患点41处，全面更换了70岁以上地质灾害隐患点的监测人员，</w:t>
      </w:r>
      <w:r>
        <w:rPr>
          <w:rFonts w:hint="eastAsia" w:ascii="仿宋_GB2312" w:hAnsi="宋体" w:eastAsia="仿宋_GB2312"/>
          <w:sz w:val="32"/>
          <w:szCs w:val="32"/>
          <w:lang w:val="en-US" w:eastAsia="zh-CN"/>
        </w:rPr>
        <w:t>补强了“空心村”防灾薄弱环节。</w:t>
      </w:r>
    </w:p>
    <w:p>
      <w:pPr>
        <w:spacing w:line="540" w:lineRule="exact"/>
        <w:ind w:firstLine="643" w:firstLineChars="200"/>
        <w:rPr>
          <w:rFonts w:hint="eastAsia" w:ascii="仿宋_GB2312" w:eastAsia="仿宋_GB2312" w:cs="楷体_GB2312"/>
          <w:b/>
          <w:bCs/>
          <w:sz w:val="32"/>
          <w:szCs w:val="32"/>
        </w:rPr>
      </w:pPr>
      <w:r>
        <w:rPr>
          <w:rFonts w:hint="eastAsia" w:ascii="楷体_GB2312" w:eastAsia="楷体_GB2312" w:cs="楷体_GB2312"/>
          <w:b/>
          <w:bCs/>
          <w:sz w:val="32"/>
          <w:szCs w:val="32"/>
          <w:lang w:val="en-US" w:eastAsia="zh-CN"/>
        </w:rPr>
        <w:t>四、强化监测预警实现成功避险。</w:t>
      </w:r>
      <w:r>
        <w:rPr>
          <w:rFonts w:hint="eastAsia" w:ascii="仿宋_GB2312" w:eastAsia="仿宋_GB2312" w:cs="楷体_GB2312"/>
          <w:bCs/>
          <w:sz w:val="32"/>
          <w:szCs w:val="32"/>
        </w:rPr>
        <w:t>我</w:t>
      </w:r>
      <w:r>
        <w:rPr>
          <w:rFonts w:hint="eastAsia" w:ascii="仿宋_GB2312" w:eastAsia="仿宋_GB2312" w:cs="楷体_GB2312"/>
          <w:bCs/>
          <w:sz w:val="32"/>
          <w:szCs w:val="32"/>
          <w:lang w:eastAsia="zh-CN"/>
        </w:rPr>
        <w:t>单位</w:t>
      </w:r>
      <w:r>
        <w:rPr>
          <w:rFonts w:hint="eastAsia" w:ascii="仿宋_GB2312" w:eastAsia="仿宋_GB2312" w:cs="??_GB2312"/>
          <w:sz w:val="32"/>
          <w:szCs w:val="32"/>
          <w:lang w:val="en-US" w:eastAsia="zh-CN"/>
        </w:rPr>
        <w:t>不断</w:t>
      </w:r>
      <w:r>
        <w:rPr>
          <w:rFonts w:hint="eastAsia" w:ascii="仿宋_GB2312" w:eastAsia="仿宋_GB2312" w:cs="??_GB2312"/>
          <w:sz w:val="32"/>
          <w:szCs w:val="32"/>
        </w:rPr>
        <w:t>完善地灾气象会商、预警、发布制度，加强与气象、水利、应急等部门的会商研判，提升地灾气象预警精度，</w:t>
      </w:r>
      <w:r>
        <w:rPr>
          <w:rFonts w:hint="eastAsia" w:ascii="仿宋_GB2312" w:eastAsia="仿宋_GB2312" w:cs="??_GB2312"/>
          <w:sz w:val="32"/>
          <w:szCs w:val="32"/>
          <w:lang w:val="en-US" w:eastAsia="zh-CN"/>
        </w:rPr>
        <w:t>在降雨期间滚动发布预警信息。</w:t>
      </w:r>
      <w:r>
        <w:rPr>
          <w:rFonts w:hint="eastAsia" w:ascii="仿宋_GB2312" w:eastAsia="仿宋_GB2312" w:cs="??_GB2312"/>
          <w:sz w:val="32"/>
          <w:szCs w:val="32"/>
        </w:rPr>
        <w:t>做好汛期</w:t>
      </w:r>
      <w:r>
        <w:rPr>
          <w:rFonts w:ascii="仿宋_GB2312" w:eastAsia="仿宋_GB2312" w:cs="??_GB2312"/>
          <w:sz w:val="32"/>
          <w:szCs w:val="32"/>
        </w:rPr>
        <w:t>24</w:t>
      </w:r>
      <w:r>
        <w:rPr>
          <w:rFonts w:hint="eastAsia" w:ascii="仿宋_GB2312" w:eastAsia="仿宋_GB2312" w:cs="??_GB2312"/>
          <w:sz w:val="32"/>
          <w:szCs w:val="32"/>
        </w:rPr>
        <w:t>小时值班值守工作，及时通过天气预报</w:t>
      </w:r>
      <w:r>
        <w:rPr>
          <w:rFonts w:hint="eastAsia" w:ascii="仿宋_GB2312" w:eastAsia="仿宋_GB2312" w:cs="??_GB2312"/>
          <w:sz w:val="32"/>
          <w:szCs w:val="32"/>
          <w:lang w:eastAsia="zh-CN"/>
        </w:rPr>
        <w:t>、</w:t>
      </w:r>
      <w:r>
        <w:rPr>
          <w:rFonts w:hint="eastAsia" w:ascii="仿宋_GB2312" w:eastAsia="仿宋_GB2312" w:cs="??_GB2312"/>
          <w:sz w:val="32"/>
          <w:szCs w:val="32"/>
        </w:rPr>
        <w:t>门户网站</w:t>
      </w:r>
      <w:r>
        <w:rPr>
          <w:rFonts w:hint="eastAsia" w:ascii="仿宋_GB2312" w:eastAsia="仿宋_GB2312" w:cs="??_GB2312"/>
          <w:sz w:val="32"/>
          <w:szCs w:val="32"/>
          <w:lang w:eastAsia="zh-CN"/>
        </w:rPr>
        <w:t>、</w:t>
      </w:r>
      <w:r>
        <w:rPr>
          <w:rFonts w:hint="eastAsia" w:ascii="仿宋_GB2312" w:eastAsia="仿宋_GB2312" w:cs="??_GB2312"/>
          <w:sz w:val="32"/>
          <w:szCs w:val="32"/>
        </w:rPr>
        <w:t>手机短信</w:t>
      </w:r>
      <w:r>
        <w:rPr>
          <w:rFonts w:hint="eastAsia" w:ascii="仿宋_GB2312" w:eastAsia="仿宋_GB2312" w:cs="??_GB2312"/>
          <w:sz w:val="32"/>
          <w:szCs w:val="32"/>
          <w:lang w:eastAsia="zh-CN"/>
        </w:rPr>
        <w:t>、</w:t>
      </w:r>
      <w:r>
        <w:rPr>
          <w:rFonts w:hint="eastAsia" w:ascii="仿宋_GB2312" w:eastAsia="仿宋_GB2312" w:cs="??_GB2312"/>
          <w:sz w:val="32"/>
          <w:szCs w:val="32"/>
        </w:rPr>
        <w:t>微信和</w:t>
      </w:r>
      <w:r>
        <w:rPr>
          <w:rFonts w:ascii="仿宋_GB2312" w:eastAsia="仿宋_GB2312" w:cs="??_GB2312"/>
          <w:sz w:val="32"/>
          <w:szCs w:val="32"/>
        </w:rPr>
        <w:t>QQ</w:t>
      </w:r>
      <w:r>
        <w:rPr>
          <w:rFonts w:hint="eastAsia" w:ascii="仿宋_GB2312" w:eastAsia="仿宋_GB2312" w:cs="??_GB2312"/>
          <w:sz w:val="32"/>
          <w:szCs w:val="32"/>
          <w:lang w:val="en-US" w:eastAsia="zh-CN"/>
        </w:rPr>
        <w:t>工作</w:t>
      </w:r>
      <w:r>
        <w:rPr>
          <w:rFonts w:hint="eastAsia" w:ascii="仿宋_GB2312" w:eastAsia="仿宋_GB2312" w:cs="??_GB2312"/>
          <w:sz w:val="32"/>
          <w:szCs w:val="32"/>
        </w:rPr>
        <w:t>群等方式将地灾气象预警</w:t>
      </w:r>
      <w:r>
        <w:rPr>
          <w:rFonts w:hint="eastAsia" w:ascii="仿宋_GB2312" w:eastAsia="仿宋_GB2312" w:cs="??_GB2312"/>
          <w:sz w:val="32"/>
          <w:szCs w:val="32"/>
          <w:lang w:val="en-US" w:eastAsia="zh-CN"/>
        </w:rPr>
        <w:t>预报</w:t>
      </w:r>
      <w:r>
        <w:rPr>
          <w:rFonts w:hint="eastAsia" w:ascii="仿宋_GB2312" w:eastAsia="仿宋_GB2312" w:cs="??_GB2312"/>
          <w:sz w:val="32"/>
          <w:szCs w:val="32"/>
        </w:rPr>
        <w:t>信息，通知到</w:t>
      </w:r>
      <w:r>
        <w:rPr>
          <w:rFonts w:hint="eastAsia" w:ascii="仿宋_GB2312" w:eastAsia="仿宋_GB2312" w:cs="??_GB2312"/>
          <w:sz w:val="32"/>
          <w:szCs w:val="32"/>
          <w:lang w:val="en-US" w:eastAsia="zh-CN"/>
        </w:rPr>
        <w:t>一线防灾人员和</w:t>
      </w:r>
      <w:r>
        <w:rPr>
          <w:rFonts w:hint="eastAsia" w:ascii="仿宋_GB2312" w:eastAsia="仿宋_GB2312" w:cs="??_GB2312"/>
          <w:sz w:val="32"/>
          <w:szCs w:val="32"/>
        </w:rPr>
        <w:t>受威胁群众。加强对自动化监测仪器的检查和维护，保证监测设备正常运行及时预警。</w:t>
      </w:r>
      <w:r>
        <w:rPr>
          <w:rFonts w:hint="eastAsia" w:ascii="仿宋_GB2312" w:eastAsia="仿宋_GB2312" w:cs="??_GB2312"/>
          <w:sz w:val="32"/>
          <w:szCs w:val="32"/>
          <w:lang w:val="en-US" w:eastAsia="zh-CN"/>
        </w:rPr>
        <w:t>我单位全年</w:t>
      </w:r>
      <w:r>
        <w:rPr>
          <w:rFonts w:hint="eastAsia" w:ascii="仿宋_GB2312" w:eastAsia="仿宋_GB2312" w:cs="??_GB2312"/>
          <w:sz w:val="32"/>
          <w:szCs w:val="32"/>
        </w:rPr>
        <w:t>发布地灾</w:t>
      </w:r>
      <w:r>
        <w:rPr>
          <w:rFonts w:hint="eastAsia" w:ascii="仿宋_GB2312" w:eastAsia="仿宋_GB2312" w:cs="??_GB2312"/>
          <w:sz w:val="32"/>
          <w:szCs w:val="32"/>
          <w:lang w:val="en-US" w:eastAsia="zh-CN"/>
        </w:rPr>
        <w:t>黄色</w:t>
      </w:r>
      <w:r>
        <w:rPr>
          <w:rFonts w:hint="eastAsia" w:ascii="仿宋_GB2312" w:eastAsia="仿宋_GB2312" w:cs="??_GB2312"/>
          <w:sz w:val="32"/>
          <w:szCs w:val="32"/>
        </w:rPr>
        <w:t>预警</w:t>
      </w:r>
      <w:r>
        <w:rPr>
          <w:rFonts w:hint="eastAsia" w:ascii="仿宋_GB2312" w:eastAsia="仿宋_GB2312" w:cs="??_GB2312"/>
          <w:sz w:val="32"/>
          <w:szCs w:val="32"/>
          <w:lang w:val="en-US" w:eastAsia="zh-CN"/>
        </w:rPr>
        <w:t>信息31</w:t>
      </w:r>
      <w:r>
        <w:rPr>
          <w:rFonts w:hint="eastAsia" w:ascii="仿宋_GB2312" w:eastAsia="仿宋_GB2312" w:cs="??_GB2312"/>
          <w:sz w:val="32"/>
          <w:szCs w:val="32"/>
        </w:rPr>
        <w:t>次</w:t>
      </w:r>
      <w:r>
        <w:rPr>
          <w:rFonts w:hint="eastAsia" w:ascii="仿宋_GB2312" w:eastAsia="仿宋_GB2312" w:cs="??_GB2312"/>
          <w:sz w:val="32"/>
          <w:szCs w:val="32"/>
          <w:lang w:eastAsia="zh-CN"/>
        </w:rPr>
        <w:t>（</w:t>
      </w:r>
      <w:r>
        <w:rPr>
          <w:rFonts w:hint="eastAsia" w:ascii="仿宋_GB2312" w:eastAsia="仿宋_GB2312" w:cs="??_GB2312"/>
          <w:sz w:val="32"/>
          <w:szCs w:val="32"/>
          <w:lang w:val="en-US" w:eastAsia="zh-CN"/>
        </w:rPr>
        <w:t>14880条</w:t>
      </w:r>
      <w:r>
        <w:rPr>
          <w:rFonts w:hint="eastAsia" w:ascii="仿宋_GB2312" w:eastAsia="仿宋_GB2312" w:cs="??_GB2312"/>
          <w:sz w:val="32"/>
          <w:szCs w:val="32"/>
          <w:lang w:eastAsia="zh-CN"/>
        </w:rPr>
        <w:t>）</w:t>
      </w:r>
      <w:r>
        <w:rPr>
          <w:rFonts w:hint="eastAsia" w:ascii="仿宋_GB2312" w:eastAsia="仿宋_GB2312" w:cs="??_GB2312"/>
          <w:sz w:val="32"/>
          <w:szCs w:val="32"/>
        </w:rPr>
        <w:t>、</w:t>
      </w:r>
      <w:r>
        <w:rPr>
          <w:rFonts w:hint="eastAsia" w:ascii="仿宋_GB2312" w:eastAsia="仿宋_GB2312" w:cs="??_GB2312"/>
          <w:sz w:val="32"/>
          <w:szCs w:val="32"/>
          <w:lang w:val="en-US" w:eastAsia="zh-CN"/>
        </w:rPr>
        <w:t>橙色预警信息4次（1920条），市地灾指办</w:t>
      </w:r>
      <w:r>
        <w:rPr>
          <w:rFonts w:hint="eastAsia" w:ascii="仿宋_GB2312" w:eastAsia="仿宋_GB2312"/>
          <w:sz w:val="32"/>
          <w:szCs w:val="32"/>
        </w:rPr>
        <w:t>在每晚</w:t>
      </w:r>
      <w:r>
        <w:rPr>
          <w:rFonts w:hint="eastAsia" w:ascii="仿宋_GB2312" w:eastAsia="仿宋_GB2312"/>
          <w:sz w:val="32"/>
          <w:szCs w:val="32"/>
          <w:lang w:val="en-US" w:eastAsia="zh-CN"/>
        </w:rPr>
        <w:t>黄色及以上预警信息发出后</w:t>
      </w:r>
      <w:r>
        <w:rPr>
          <w:rFonts w:hint="eastAsia" w:ascii="仿宋_GB2312" w:eastAsia="仿宋_GB2312"/>
          <w:sz w:val="32"/>
          <w:szCs w:val="32"/>
        </w:rPr>
        <w:t>8点至12点组织人员对预警区域的防灾责任人、监测责任人、监测人接收预警信息和在岗履职情况开展电话抽查，共抽查隐患点</w:t>
      </w:r>
      <w:r>
        <w:rPr>
          <w:rFonts w:hint="eastAsia" w:ascii="仿宋_GB2312" w:eastAsia="仿宋_GB2312"/>
          <w:sz w:val="32"/>
          <w:szCs w:val="32"/>
          <w:lang w:val="en-US" w:eastAsia="zh-CN"/>
        </w:rPr>
        <w:t>382处</w:t>
      </w:r>
      <w:r>
        <w:rPr>
          <w:rFonts w:hint="eastAsia" w:ascii="仿宋_GB2312" w:eastAsia="仿宋_GB2312"/>
          <w:sz w:val="32"/>
          <w:szCs w:val="32"/>
          <w:lang w:eastAsia="zh-CN"/>
        </w:rPr>
        <w:t>，</w:t>
      </w:r>
      <w:r>
        <w:rPr>
          <w:rFonts w:hint="eastAsia" w:ascii="仿宋_GB2312" w:eastAsia="仿宋_GB2312"/>
          <w:sz w:val="32"/>
          <w:szCs w:val="32"/>
          <w:lang w:val="en-US" w:eastAsia="zh-CN"/>
        </w:rPr>
        <w:t>组织8387人主动预防避让，</w:t>
      </w:r>
      <w:r>
        <w:rPr>
          <w:rFonts w:hint="eastAsia" w:ascii="仿宋_GB2312" w:eastAsia="仿宋_GB2312" w:cs="??_GB2312"/>
          <w:sz w:val="32"/>
          <w:szCs w:val="32"/>
          <w:lang w:val="en-US" w:eastAsia="zh-CN"/>
        </w:rPr>
        <w:t>成功避险4起保护77人生命安全</w:t>
      </w:r>
      <w:r>
        <w:rPr>
          <w:rFonts w:hint="eastAsia" w:ascii="仿宋_GB2312" w:eastAsia="仿宋_GB2312" w:cs="??_GB2312"/>
          <w:sz w:val="32"/>
          <w:szCs w:val="32"/>
        </w:rPr>
        <w:t>。</w:t>
      </w:r>
    </w:p>
    <w:p>
      <w:pPr>
        <w:spacing w:line="540" w:lineRule="exact"/>
        <w:ind w:firstLine="643" w:firstLineChars="200"/>
        <w:rPr>
          <w:rFonts w:hint="default" w:ascii="仿宋_GB2312" w:eastAsia="仿宋_GB2312" w:cs="??_GB2312"/>
          <w:sz w:val="32"/>
          <w:szCs w:val="32"/>
          <w:lang w:val="en-US" w:eastAsia="zh-CN"/>
        </w:rPr>
      </w:pPr>
      <w:r>
        <w:rPr>
          <w:rFonts w:hint="eastAsia" w:ascii="楷体_GB2312" w:eastAsia="楷体_GB2312" w:cs="楷体_GB2312"/>
          <w:b/>
          <w:bCs/>
          <w:sz w:val="32"/>
          <w:szCs w:val="32"/>
          <w:lang w:val="en-US" w:eastAsia="zh-CN"/>
        </w:rPr>
        <w:t>五、强化值班值守确保信息畅通。</w:t>
      </w:r>
      <w:r>
        <w:rPr>
          <w:rFonts w:hint="eastAsia" w:ascii="仿宋_GB2312" w:eastAsia="仿宋_GB2312" w:cs="??_GB2312"/>
          <w:sz w:val="32"/>
          <w:szCs w:val="32"/>
        </w:rPr>
        <w:t>为</w:t>
      </w:r>
      <w:r>
        <w:rPr>
          <w:rFonts w:hint="eastAsia" w:ascii="仿宋_GB2312" w:eastAsia="仿宋_GB2312" w:cs="??_GB2312"/>
          <w:sz w:val="32"/>
          <w:szCs w:val="32"/>
          <w:lang w:eastAsia="zh-CN"/>
        </w:rPr>
        <w:t>加强汛期地质灾害值班值守</w:t>
      </w:r>
      <w:r>
        <w:rPr>
          <w:rFonts w:hint="eastAsia" w:ascii="仿宋_GB2312" w:eastAsia="仿宋_GB2312" w:cs="??_GB2312"/>
          <w:sz w:val="32"/>
          <w:szCs w:val="32"/>
        </w:rPr>
        <w:t>工作，</w:t>
      </w:r>
      <w:r>
        <w:rPr>
          <w:rFonts w:hint="eastAsia" w:ascii="仿宋_GB2312" w:eastAsia="仿宋_GB2312" w:cs="??_GB2312"/>
          <w:sz w:val="32"/>
          <w:szCs w:val="32"/>
          <w:lang w:val="en-US" w:eastAsia="zh-CN"/>
        </w:rPr>
        <w:t>汛前</w:t>
      </w:r>
      <w:r>
        <w:rPr>
          <w:rFonts w:hint="eastAsia" w:ascii="仿宋_GB2312" w:eastAsia="仿宋_GB2312" w:cs="??_GB2312"/>
          <w:sz w:val="32"/>
          <w:szCs w:val="32"/>
        </w:rPr>
        <w:t>我</w:t>
      </w:r>
      <w:r>
        <w:rPr>
          <w:rFonts w:hint="eastAsia" w:ascii="仿宋_GB2312" w:eastAsia="仿宋_GB2312" w:cs="??_GB2312"/>
          <w:sz w:val="32"/>
          <w:szCs w:val="32"/>
          <w:lang w:eastAsia="zh-CN"/>
        </w:rPr>
        <w:t>单位</w:t>
      </w:r>
      <w:r>
        <w:rPr>
          <w:rFonts w:hint="eastAsia" w:ascii="仿宋_GB2312" w:eastAsia="仿宋_GB2312" w:cs="??_GB2312"/>
          <w:sz w:val="32"/>
          <w:szCs w:val="32"/>
        </w:rPr>
        <w:t>印发了《关于做好</w:t>
      </w:r>
      <w:r>
        <w:rPr>
          <w:rFonts w:hint="eastAsia" w:ascii="仿宋_GB2312" w:eastAsia="仿宋_GB2312" w:cs="??_GB2312"/>
          <w:sz w:val="32"/>
          <w:szCs w:val="32"/>
          <w:lang w:val="en-US" w:eastAsia="zh-CN"/>
        </w:rPr>
        <w:t>2020年</w:t>
      </w:r>
      <w:r>
        <w:rPr>
          <w:rFonts w:hint="eastAsia" w:ascii="仿宋_GB2312" w:eastAsia="仿宋_GB2312" w:cs="??_GB2312"/>
          <w:sz w:val="32"/>
          <w:szCs w:val="32"/>
        </w:rPr>
        <w:t>汛期地质灾害防治值班值守工作的通知 》</w:t>
      </w:r>
      <w:r>
        <w:rPr>
          <w:rFonts w:hint="eastAsia" w:ascii="仿宋_GB2312" w:eastAsia="仿宋_GB2312" w:cs="??_GB2312"/>
          <w:sz w:val="32"/>
          <w:szCs w:val="32"/>
          <w:lang w:eastAsia="zh-CN"/>
        </w:rPr>
        <w:t>（</w:t>
      </w:r>
      <w:r>
        <w:rPr>
          <w:rFonts w:hint="eastAsia" w:ascii="仿宋_GB2312" w:eastAsia="仿宋_GB2312" w:cs="??_GB2312"/>
          <w:sz w:val="32"/>
          <w:szCs w:val="32"/>
          <w:lang w:val="en-US" w:eastAsia="zh-CN"/>
        </w:rPr>
        <w:t>广自然资发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rPr>
        <w:t>号</w:t>
      </w:r>
      <w:r>
        <w:rPr>
          <w:rFonts w:hint="eastAsia" w:ascii="仿宋_GB2312" w:eastAsia="仿宋_GB2312" w:cs="??_GB2312"/>
          <w:sz w:val="32"/>
          <w:szCs w:val="32"/>
          <w:lang w:eastAsia="zh-CN"/>
        </w:rPr>
        <w:t>）</w:t>
      </w:r>
      <w:r>
        <w:rPr>
          <w:rFonts w:hint="eastAsia" w:ascii="仿宋_GB2312" w:eastAsia="仿宋_GB2312" w:cs="??_GB2312"/>
          <w:sz w:val="32"/>
          <w:szCs w:val="32"/>
        </w:rPr>
        <w:t>，对汛期</w:t>
      </w:r>
      <w:r>
        <w:rPr>
          <w:rFonts w:hint="eastAsia" w:ascii="仿宋_GB2312" w:eastAsia="仿宋_GB2312" w:cs="??_GB2312"/>
          <w:sz w:val="32"/>
          <w:szCs w:val="32"/>
          <w:lang w:eastAsia="zh-CN"/>
        </w:rPr>
        <w:t>值班值守作出了具体要求。</w:t>
      </w:r>
      <w:r>
        <w:rPr>
          <w:rFonts w:hint="eastAsia" w:ascii="仿宋_GB2312" w:eastAsia="仿宋_GB2312" w:cs="??_GB2312"/>
          <w:sz w:val="32"/>
          <w:szCs w:val="32"/>
          <w:lang w:val="en-US" w:eastAsia="zh-CN"/>
        </w:rPr>
        <w:t>市县（区）两级落实专职值班</w:t>
      </w:r>
      <w:r>
        <w:rPr>
          <w:rFonts w:hint="eastAsia" w:ascii="仿宋_GB2312" w:eastAsia="仿宋_GB2312" w:cs="??_GB2312"/>
          <w:sz w:val="32"/>
          <w:szCs w:val="32"/>
          <w:highlight w:val="none"/>
          <w:lang w:val="en-US" w:eastAsia="zh-CN"/>
        </w:rPr>
        <w:t>人员133人（含市级副值班49人），值班带班领导58</w:t>
      </w:r>
      <w:r>
        <w:rPr>
          <w:rFonts w:hint="eastAsia" w:ascii="仿宋_GB2312" w:eastAsia="仿宋_GB2312" w:cs="??_GB2312"/>
          <w:sz w:val="32"/>
          <w:szCs w:val="32"/>
          <w:lang w:val="en-US" w:eastAsia="zh-CN"/>
        </w:rPr>
        <w:t>人。按照“一周一轮查”要求全覆盖抽查相关防灾责任人和监测人员，确保了汛期地质灾害防治信息畅通。</w:t>
      </w:r>
    </w:p>
    <w:p>
      <w:pPr>
        <w:spacing w:line="540" w:lineRule="exact"/>
        <w:ind w:firstLine="643" w:firstLineChars="200"/>
        <w:rPr>
          <w:rFonts w:hint="eastAsia" w:ascii="仿宋_GB2312" w:eastAsia="仿宋_GB2312" w:cs="??_GB2312"/>
          <w:sz w:val="32"/>
          <w:szCs w:val="32"/>
        </w:rPr>
      </w:pPr>
      <w:r>
        <w:rPr>
          <w:rFonts w:hint="eastAsia" w:ascii="楷体_GB2312" w:eastAsia="楷体_GB2312" w:cs="楷体_GB2312"/>
          <w:b/>
          <w:bCs/>
          <w:sz w:val="32"/>
          <w:szCs w:val="32"/>
          <w:lang w:val="en-US" w:eastAsia="zh-CN"/>
        </w:rPr>
        <w:t>六、开展宣传培训演练巩固防灾基础。</w:t>
      </w:r>
      <w:r>
        <w:rPr>
          <w:rFonts w:hint="eastAsia" w:ascii="仿宋_GB2312" w:hAnsi="仿宋" w:eastAsia="仿宋_GB2312" w:cs="??_GB2312"/>
          <w:sz w:val="32"/>
          <w:szCs w:val="32"/>
        </w:rPr>
        <w:t>大力开展地质灾害防治科普宣传，我</w:t>
      </w:r>
      <w:r>
        <w:rPr>
          <w:rFonts w:hint="eastAsia" w:ascii="仿宋_GB2312" w:eastAsia="仿宋_GB2312" w:cs="??_GB2312"/>
          <w:sz w:val="32"/>
          <w:szCs w:val="32"/>
        </w:rPr>
        <w:t>市把加强地质灾害的宣传和培训作为防灾的重要手段之一，</w:t>
      </w:r>
      <w:r>
        <w:rPr>
          <w:rFonts w:hint="eastAsia" w:ascii="仿宋_GB2312" w:eastAsia="仿宋_GB2312" w:cs="??_GB2312"/>
          <w:sz w:val="32"/>
          <w:szCs w:val="32"/>
          <w:lang w:val="en-US" w:eastAsia="zh-CN"/>
        </w:rPr>
        <w:t>采用露天坝培训、集中培训、点对点分散培训演练等方式</w:t>
      </w:r>
      <w:r>
        <w:rPr>
          <w:rFonts w:hint="eastAsia" w:ascii="仿宋_GB2312" w:eastAsia="仿宋_GB2312" w:cs="??_GB2312"/>
          <w:sz w:val="32"/>
          <w:szCs w:val="32"/>
        </w:rPr>
        <w:t>大力宣传地质灾害防治知识。</w:t>
      </w:r>
      <w:r>
        <w:rPr>
          <w:rFonts w:hint="eastAsia" w:ascii="仿宋_GB2312" w:eastAsia="仿宋_GB2312" w:cs="??_GB2312"/>
          <w:sz w:val="32"/>
          <w:szCs w:val="32"/>
          <w:lang w:val="en-US" w:eastAsia="zh-CN"/>
        </w:rPr>
        <w:t>市本级及各县区分别利用“4.22地球日”“5.12防灾减灾日”“6.5环境日”“6.25全国土地日”搭建宣传平台，发放宣传资料，提供防灾避险咨询，累计宣传1274场次，参加宣传培训25822人次（志愿者110人次），开展避险演练1267场次，参加避险演练24820人次。</w:t>
      </w:r>
      <w:r>
        <w:rPr>
          <w:rFonts w:hint="eastAsia" w:ascii="仿宋_GB2312" w:eastAsia="仿宋_GB2312" w:cs="??_GB2312"/>
          <w:sz w:val="32"/>
          <w:szCs w:val="32"/>
        </w:rPr>
        <w:t>使广大群众更加直观的了解地质灾害的引发因素、识别方法、逃生自救知识等地质灾害基本知识。取得了良好的宣传效果</w:t>
      </w:r>
      <w:r>
        <w:rPr>
          <w:rFonts w:hint="eastAsia" w:ascii="仿宋_GB2312" w:eastAsia="仿宋_GB2312" w:cs="??_GB2312"/>
          <w:sz w:val="32"/>
          <w:szCs w:val="32"/>
          <w:lang w:eastAsia="zh-CN"/>
        </w:rPr>
        <w:t>，</w:t>
      </w:r>
      <w:r>
        <w:rPr>
          <w:rFonts w:hint="eastAsia" w:ascii="仿宋_GB2312" w:eastAsia="仿宋_GB2312" w:cs="??_GB2312"/>
          <w:sz w:val="32"/>
          <w:szCs w:val="32"/>
        </w:rPr>
        <w:t>提高</w:t>
      </w:r>
      <w:r>
        <w:rPr>
          <w:rFonts w:hint="eastAsia" w:ascii="仿宋_GB2312" w:eastAsia="仿宋_GB2312" w:cs="??_GB2312"/>
          <w:sz w:val="32"/>
          <w:szCs w:val="32"/>
          <w:lang w:val="en-US" w:eastAsia="zh-CN"/>
        </w:rPr>
        <w:t>了</w:t>
      </w:r>
      <w:r>
        <w:rPr>
          <w:rFonts w:hint="eastAsia" w:ascii="仿宋_GB2312" w:eastAsia="仿宋_GB2312" w:cs="??_GB2312"/>
          <w:sz w:val="32"/>
          <w:szCs w:val="32"/>
        </w:rPr>
        <w:t>群众识灾救灾、自救互救能力，巩固</w:t>
      </w:r>
      <w:r>
        <w:rPr>
          <w:rFonts w:hint="eastAsia" w:ascii="仿宋_GB2312" w:eastAsia="仿宋_GB2312" w:cs="??_GB2312"/>
          <w:sz w:val="32"/>
          <w:szCs w:val="32"/>
          <w:lang w:val="en-US" w:eastAsia="zh-CN"/>
        </w:rPr>
        <w:t>了</w:t>
      </w:r>
      <w:r>
        <w:rPr>
          <w:rFonts w:hint="eastAsia" w:ascii="仿宋_GB2312" w:eastAsia="仿宋_GB2312" w:cs="??_GB2312"/>
          <w:sz w:val="32"/>
          <w:szCs w:val="32"/>
        </w:rPr>
        <w:t>地质灾害防治</w:t>
      </w:r>
      <w:r>
        <w:rPr>
          <w:rFonts w:hint="eastAsia" w:ascii="仿宋_GB2312" w:eastAsia="仿宋_GB2312" w:cs="??_GB2312"/>
          <w:sz w:val="32"/>
          <w:szCs w:val="32"/>
          <w:lang w:val="en-US" w:eastAsia="zh-CN"/>
        </w:rPr>
        <w:t>群众</w:t>
      </w:r>
      <w:r>
        <w:rPr>
          <w:rFonts w:hint="eastAsia" w:ascii="仿宋_GB2312" w:eastAsia="仿宋_GB2312" w:cs="??_GB2312"/>
          <w:sz w:val="32"/>
          <w:szCs w:val="32"/>
        </w:rPr>
        <w:t>基础。</w:t>
      </w:r>
    </w:p>
    <w:p>
      <w:pPr>
        <w:spacing w:line="540" w:lineRule="exact"/>
        <w:ind w:firstLine="643" w:firstLineChars="200"/>
        <w:rPr>
          <w:rFonts w:hint="default" w:ascii="仿宋_GB2312" w:eastAsia="仿宋_GB2312" w:cs="??_GB2312"/>
          <w:sz w:val="32"/>
          <w:szCs w:val="32"/>
          <w:lang w:val="en-US" w:eastAsia="zh-CN"/>
        </w:rPr>
      </w:pPr>
      <w:r>
        <w:rPr>
          <w:rFonts w:hint="eastAsia" w:ascii="楷体_GB2312" w:eastAsia="楷体_GB2312" w:cs="楷体_GB2312"/>
          <w:b/>
          <w:bCs/>
          <w:sz w:val="32"/>
          <w:szCs w:val="32"/>
          <w:lang w:val="en-US" w:eastAsia="zh-CN"/>
        </w:rPr>
        <w:t>七、强化应急处置化解地灾风险</w:t>
      </w:r>
      <w:r>
        <w:rPr>
          <w:rFonts w:hint="eastAsia" w:ascii="仿宋_GB2312" w:eastAsia="仿宋_GB2312" w:cs="楷体_GB2312"/>
          <w:b/>
          <w:bCs/>
          <w:sz w:val="32"/>
          <w:szCs w:val="32"/>
        </w:rPr>
        <w:t>。</w:t>
      </w:r>
      <w:r>
        <w:rPr>
          <w:rFonts w:hint="eastAsia" w:ascii="仿宋_GB2312" w:eastAsia="仿宋_GB2312" w:cs="楷体_GB2312"/>
          <w:bCs/>
          <w:sz w:val="32"/>
          <w:szCs w:val="32"/>
          <w:lang w:val="en-US" w:eastAsia="zh-CN"/>
        </w:rPr>
        <w:t>汛期期间，我单位做好与应急管理、气象、水利部门的衔接，在开展宣传培训和避险演练的基础上，进一步落实专业技术人员，做好抢险人员、物资、通信、设备准备，发生灾险情及自然灾害事故后，第一时间赶赴现场，协助当地党委政府指导地质灾害抢险救灾处置工作。先后赶赴现场处置30余次，有力的化解了灾险情风险。</w:t>
      </w:r>
    </w:p>
    <w:p>
      <w:pPr>
        <w:spacing w:line="540" w:lineRule="exact"/>
        <w:ind w:firstLine="643" w:firstLineChars="200"/>
        <w:rPr>
          <w:rFonts w:hint="eastAsia" w:ascii="仿宋_GB2312" w:eastAsia="仿宋_GB2312"/>
          <w:sz w:val="32"/>
          <w:szCs w:val="32"/>
        </w:rPr>
      </w:pPr>
      <w:r>
        <w:rPr>
          <w:rFonts w:hint="eastAsia" w:ascii="楷体_GB2312" w:eastAsia="楷体_GB2312" w:cs="楷体_GB2312"/>
          <w:b/>
          <w:bCs/>
          <w:sz w:val="32"/>
          <w:szCs w:val="32"/>
          <w:lang w:val="en-US" w:eastAsia="zh-CN"/>
        </w:rPr>
        <w:t>八、实施工程治理消除地灾隐患</w:t>
      </w:r>
      <w:r>
        <w:rPr>
          <w:rFonts w:hint="eastAsia" w:ascii="楷体_GB2312" w:eastAsia="楷体_GB2312" w:cs="楷体_GB2312"/>
          <w:b/>
          <w:bCs/>
          <w:sz w:val="32"/>
          <w:szCs w:val="32"/>
        </w:rPr>
        <w:t>。</w:t>
      </w:r>
      <w:r>
        <w:rPr>
          <w:rFonts w:hint="eastAsia" w:ascii="仿宋_GB2312" w:eastAsia="仿宋_GB2312"/>
          <w:sz w:val="32"/>
          <w:szCs w:val="32"/>
          <w:lang w:val="zh-CN" w:eastAsia="zh-CN"/>
        </w:rPr>
        <w:t>今年以来，实施治理工程</w:t>
      </w:r>
      <w:r>
        <w:rPr>
          <w:rFonts w:hint="eastAsia" w:ascii="仿宋_GB2312" w:eastAsia="仿宋_GB2312"/>
          <w:sz w:val="32"/>
          <w:szCs w:val="32"/>
          <w:lang w:val="en-US" w:eastAsia="zh-CN"/>
        </w:rPr>
        <w:t>34处，排危除险71处</w:t>
      </w:r>
      <w:r>
        <w:rPr>
          <w:rFonts w:hint="eastAsia" w:ascii="仿宋_GB2312" w:eastAsia="仿宋_GB2312"/>
          <w:sz w:val="32"/>
          <w:szCs w:val="32"/>
          <w:lang w:val="zh-CN" w:eastAsia="zh-CN"/>
        </w:rPr>
        <w:t>，清淤加固维护</w:t>
      </w:r>
      <w:r>
        <w:rPr>
          <w:rFonts w:hint="eastAsia" w:ascii="仿宋_GB2312" w:eastAsia="仿宋_GB2312"/>
          <w:sz w:val="32"/>
          <w:szCs w:val="32"/>
          <w:lang w:val="en-US" w:eastAsia="zh-CN"/>
        </w:rPr>
        <w:t>18处，避险搬迁99户，</w:t>
      </w:r>
      <w:r>
        <w:rPr>
          <w:rFonts w:hint="eastAsia" w:ascii="仿宋_GB2312" w:eastAsia="仿宋_GB2312"/>
          <w:sz w:val="32"/>
          <w:szCs w:val="32"/>
          <w:lang w:val="zh-CN" w:eastAsia="zh-CN"/>
        </w:rPr>
        <w:t>争取资金</w:t>
      </w:r>
      <w:r>
        <w:rPr>
          <w:rFonts w:hint="eastAsia" w:ascii="仿宋_GB2312" w:eastAsia="仿宋_GB2312"/>
          <w:sz w:val="32"/>
          <w:szCs w:val="32"/>
          <w:lang w:val="en-US" w:eastAsia="zh-CN"/>
        </w:rPr>
        <w:t>17622.12</w:t>
      </w:r>
      <w:r>
        <w:rPr>
          <w:rFonts w:hint="eastAsia" w:ascii="仿宋_GB2312" w:eastAsia="仿宋_GB2312"/>
          <w:sz w:val="32"/>
          <w:szCs w:val="32"/>
          <w:lang w:val="zh-CN" w:eastAsia="zh-CN"/>
        </w:rPr>
        <w:t>万元。其中，纳入2020年民生实事和生态建设扶贫的2个治理工程和20户避险搬迁</w:t>
      </w:r>
      <w:r>
        <w:rPr>
          <w:rFonts w:hint="eastAsia" w:ascii="仿宋_GB2312" w:eastAsia="仿宋_GB2312"/>
          <w:color w:val="FF0000"/>
          <w:sz w:val="32"/>
          <w:szCs w:val="32"/>
          <w:lang w:val="zh-CN"/>
        </w:rPr>
        <w:t>，</w:t>
      </w:r>
      <w:r>
        <w:rPr>
          <w:rFonts w:hint="eastAsia" w:ascii="仿宋_GB2312" w:eastAsia="仿宋_GB2312"/>
          <w:sz w:val="32"/>
          <w:szCs w:val="32"/>
          <w:lang w:val="zh-CN" w:eastAsia="zh-CN"/>
        </w:rPr>
        <w:t>均已在6月底完成工程建设和资金100%支付的任务。</w:t>
      </w:r>
      <w:r>
        <w:rPr>
          <w:rFonts w:hint="eastAsia" w:ascii="仿宋_GB2312" w:eastAsia="仿宋_GB2312"/>
          <w:sz w:val="32"/>
          <w:szCs w:val="32"/>
          <w:lang w:val="en-US" w:eastAsia="zh-CN"/>
        </w:rPr>
        <w:t>项目实施前</w:t>
      </w:r>
      <w:r>
        <w:rPr>
          <w:rFonts w:hint="eastAsia" w:ascii="仿宋_GB2312" w:eastAsia="仿宋_GB2312"/>
          <w:sz w:val="32"/>
          <w:szCs w:val="32"/>
          <w:lang w:val="zh-CN" w:eastAsia="zh-CN"/>
        </w:rPr>
        <w:t>严格项目入库制度管理。</w:t>
      </w:r>
      <w:r>
        <w:rPr>
          <w:rFonts w:hint="eastAsia" w:ascii="仿宋_GB2312" w:eastAsia="仿宋_GB2312"/>
          <w:sz w:val="32"/>
          <w:szCs w:val="32"/>
          <w:lang w:val="en-US" w:eastAsia="zh-CN"/>
        </w:rPr>
        <w:t>截至目前，省储备库</w:t>
      </w:r>
      <w:r>
        <w:rPr>
          <w:rFonts w:hint="eastAsia" w:ascii="仿宋_GB2312" w:eastAsia="仿宋_GB2312"/>
          <w:sz w:val="32"/>
          <w:szCs w:val="32"/>
          <w:lang w:val="zh-CN" w:eastAsia="zh-CN"/>
        </w:rPr>
        <w:t>入库项目</w:t>
      </w:r>
      <w:r>
        <w:rPr>
          <w:rFonts w:hint="eastAsia" w:ascii="仿宋_GB2312" w:eastAsia="仿宋_GB2312"/>
          <w:sz w:val="32"/>
          <w:szCs w:val="32"/>
          <w:lang w:val="en-US" w:eastAsia="zh-CN"/>
        </w:rPr>
        <w:t>280</w:t>
      </w:r>
      <w:r>
        <w:rPr>
          <w:rFonts w:hint="eastAsia" w:ascii="仿宋_GB2312" w:eastAsia="仿宋_GB2312"/>
          <w:sz w:val="32"/>
          <w:szCs w:val="32"/>
          <w:lang w:val="zh-CN" w:eastAsia="zh-CN"/>
        </w:rPr>
        <w:t>个（</w:t>
      </w:r>
      <w:r>
        <w:rPr>
          <w:rFonts w:hint="eastAsia" w:ascii="仿宋_GB2312" w:eastAsia="仿宋_GB2312"/>
          <w:sz w:val="32"/>
          <w:szCs w:val="32"/>
          <w:lang w:val="en-US" w:eastAsia="zh-CN"/>
        </w:rPr>
        <w:t>综合整治4个1.389亿元、</w:t>
      </w:r>
      <w:r>
        <w:rPr>
          <w:rFonts w:hint="eastAsia" w:ascii="仿宋_GB2312" w:eastAsia="仿宋_GB2312"/>
          <w:sz w:val="32"/>
          <w:szCs w:val="32"/>
          <w:lang w:val="zh-CN" w:eastAsia="zh-CN"/>
        </w:rPr>
        <w:t>工程治理</w:t>
      </w:r>
      <w:r>
        <w:rPr>
          <w:rFonts w:hint="eastAsia" w:ascii="仿宋_GB2312" w:eastAsia="仿宋_GB2312"/>
          <w:sz w:val="32"/>
          <w:szCs w:val="32"/>
          <w:lang w:val="en-US" w:eastAsia="zh-CN"/>
        </w:rPr>
        <w:t>86</w:t>
      </w:r>
      <w:r>
        <w:rPr>
          <w:rFonts w:hint="eastAsia" w:ascii="仿宋_GB2312" w:eastAsia="仿宋_GB2312"/>
          <w:sz w:val="32"/>
          <w:szCs w:val="32"/>
          <w:lang w:val="zh-CN" w:eastAsia="zh-CN"/>
        </w:rPr>
        <w:t>个1.</w:t>
      </w:r>
      <w:r>
        <w:rPr>
          <w:rFonts w:hint="eastAsia" w:ascii="仿宋_GB2312" w:eastAsia="仿宋_GB2312"/>
          <w:sz w:val="32"/>
          <w:szCs w:val="32"/>
          <w:lang w:val="en-US" w:eastAsia="zh-CN"/>
        </w:rPr>
        <w:t>932</w:t>
      </w:r>
      <w:r>
        <w:rPr>
          <w:rFonts w:hint="eastAsia" w:ascii="仿宋_GB2312" w:eastAsia="仿宋_GB2312"/>
          <w:sz w:val="32"/>
          <w:szCs w:val="32"/>
          <w:lang w:val="zh-CN" w:eastAsia="zh-CN"/>
        </w:rPr>
        <w:t>亿元、排危除险</w:t>
      </w:r>
      <w:r>
        <w:rPr>
          <w:rFonts w:hint="eastAsia" w:ascii="仿宋_GB2312" w:eastAsia="仿宋_GB2312"/>
          <w:sz w:val="32"/>
          <w:szCs w:val="32"/>
          <w:lang w:val="en-US" w:eastAsia="zh-CN"/>
        </w:rPr>
        <w:t>190</w:t>
      </w:r>
      <w:r>
        <w:rPr>
          <w:rFonts w:hint="eastAsia" w:ascii="仿宋_GB2312" w:eastAsia="仿宋_GB2312"/>
          <w:sz w:val="32"/>
          <w:szCs w:val="32"/>
          <w:lang w:val="zh-CN" w:eastAsia="zh-CN"/>
        </w:rPr>
        <w:t>个0.</w:t>
      </w:r>
      <w:r>
        <w:rPr>
          <w:rFonts w:hint="eastAsia" w:ascii="仿宋_GB2312" w:eastAsia="仿宋_GB2312"/>
          <w:sz w:val="32"/>
          <w:szCs w:val="32"/>
          <w:lang w:val="en-US" w:eastAsia="zh-CN"/>
        </w:rPr>
        <w:t>728</w:t>
      </w:r>
      <w:r>
        <w:rPr>
          <w:rFonts w:hint="eastAsia" w:ascii="仿宋_GB2312" w:eastAsia="仿宋_GB2312"/>
          <w:sz w:val="32"/>
          <w:szCs w:val="32"/>
          <w:lang w:val="zh-CN" w:eastAsia="zh-CN"/>
        </w:rPr>
        <w:t>亿元），概算资金</w:t>
      </w:r>
      <w:r>
        <w:rPr>
          <w:rFonts w:hint="eastAsia" w:ascii="仿宋_GB2312" w:eastAsia="仿宋_GB2312"/>
          <w:sz w:val="32"/>
          <w:szCs w:val="32"/>
          <w:lang w:val="en-US" w:eastAsia="zh-CN"/>
        </w:rPr>
        <w:t>4.049</w:t>
      </w:r>
      <w:r>
        <w:rPr>
          <w:rFonts w:hint="eastAsia" w:ascii="仿宋_GB2312" w:eastAsia="仿宋_GB2312"/>
          <w:sz w:val="32"/>
          <w:szCs w:val="32"/>
          <w:lang w:val="zh-CN" w:eastAsia="zh-CN"/>
        </w:rPr>
        <w:t>亿元。项目实施</w:t>
      </w:r>
      <w:r>
        <w:rPr>
          <w:rFonts w:hint="eastAsia" w:ascii="仿宋_GB2312" w:eastAsia="仿宋_GB2312"/>
          <w:sz w:val="32"/>
          <w:szCs w:val="32"/>
          <w:lang w:val="en-US" w:eastAsia="zh-CN"/>
        </w:rPr>
        <w:t>过程中</w:t>
      </w:r>
      <w:r>
        <w:rPr>
          <w:rFonts w:hint="eastAsia" w:ascii="仿宋_GB2312" w:eastAsia="仿宋_GB2312"/>
          <w:sz w:val="32"/>
          <w:szCs w:val="32"/>
          <w:lang w:val="zh-CN" w:eastAsia="zh-CN"/>
        </w:rPr>
        <w:t>，围绕项目进度、质量、安全和资金支付等内容，落实责任，顺排任务，倒排工期，每月通报，对排名末位的开展约谈。</w:t>
      </w:r>
      <w:r>
        <w:rPr>
          <w:rFonts w:hint="eastAsia" w:ascii="仿宋_GB2312" w:eastAsia="仿宋_GB2312"/>
          <w:sz w:val="32"/>
          <w:szCs w:val="32"/>
          <w:lang w:val="en-US" w:eastAsia="zh-CN"/>
        </w:rPr>
        <w:t>2020年5月，我单位代</w:t>
      </w:r>
      <w:r>
        <w:rPr>
          <w:rFonts w:hint="eastAsia" w:ascii="仿宋_GB2312" w:eastAsia="仿宋_GB2312"/>
          <w:sz w:val="32"/>
          <w:szCs w:val="32"/>
        </w:rPr>
        <w:t>表四川</w:t>
      </w:r>
      <w:r>
        <w:rPr>
          <w:rFonts w:hint="eastAsia" w:ascii="仿宋_GB2312" w:eastAsia="仿宋_GB2312"/>
          <w:sz w:val="32"/>
          <w:szCs w:val="32"/>
          <w:lang w:val="en-US" w:eastAsia="zh-CN"/>
        </w:rPr>
        <w:t>省</w:t>
      </w:r>
      <w:r>
        <w:rPr>
          <w:rFonts w:hint="eastAsia" w:ascii="仿宋_GB2312" w:eastAsia="仿宋_GB2312"/>
          <w:sz w:val="32"/>
          <w:szCs w:val="32"/>
        </w:rPr>
        <w:t>接受财政部、自然资源部2019年中央财政地质灾害防治资金绩效评价</w:t>
      </w:r>
      <w:r>
        <w:rPr>
          <w:rFonts w:hint="eastAsia" w:ascii="仿宋_GB2312" w:eastAsia="仿宋_GB2312"/>
          <w:sz w:val="32"/>
          <w:szCs w:val="32"/>
          <w:lang w:eastAsia="zh-CN"/>
        </w:rPr>
        <w:t>，</w:t>
      </w:r>
      <w:r>
        <w:rPr>
          <w:rFonts w:hint="eastAsia" w:ascii="仿宋_GB2312" w:eastAsia="仿宋_GB2312"/>
          <w:sz w:val="32"/>
          <w:szCs w:val="32"/>
          <w:lang w:val="en-US" w:eastAsia="zh-CN"/>
        </w:rPr>
        <w:t>得到了检查组的充分肯定</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lang w:val="en-US" w:eastAsia="zh-CN"/>
        </w:rPr>
      </w:pPr>
      <w:r>
        <w:rPr>
          <w:rFonts w:hint="eastAsia" w:ascii="楷体_GB2312" w:eastAsia="楷体_GB2312" w:cs="楷体_GB2312"/>
          <w:b/>
          <w:bCs/>
          <w:sz w:val="32"/>
          <w:szCs w:val="32"/>
          <w:lang w:val="en-US" w:eastAsia="zh-CN"/>
        </w:rPr>
        <w:t>九、抓好重建项目提升防灾能力</w:t>
      </w:r>
      <w:r>
        <w:rPr>
          <w:rFonts w:hint="eastAsia" w:ascii="仿宋_GB2312" w:eastAsia="仿宋_GB2312"/>
          <w:sz w:val="32"/>
          <w:szCs w:val="32"/>
          <w:lang w:val="en-US" w:eastAsia="zh-CN"/>
        </w:rPr>
        <w:t>。2020年11月（上月），省厅下达了我市洪涝灾害灾后恢复重建地质灾害防治项目任务。</w:t>
      </w:r>
      <w:r>
        <w:rPr>
          <w:rFonts w:hint="eastAsia" w:ascii="仿宋_GB2312" w:eastAsia="仿宋_GB2312"/>
          <w:sz w:val="32"/>
          <w:szCs w:val="32"/>
        </w:rPr>
        <w:t>目前</w:t>
      </w:r>
      <w:r>
        <w:rPr>
          <w:rFonts w:hint="eastAsia" w:ascii="仿宋_GB2312" w:eastAsia="仿宋_GB2312"/>
          <w:sz w:val="32"/>
          <w:szCs w:val="32"/>
          <w:lang w:eastAsia="zh-CN"/>
        </w:rPr>
        <w:t>，</w:t>
      </w:r>
      <w:r>
        <w:rPr>
          <w:rFonts w:hint="eastAsia" w:ascii="仿宋_GB2312" w:eastAsia="仿宋_GB2312"/>
          <w:sz w:val="32"/>
          <w:szCs w:val="32"/>
        </w:rPr>
        <w:t>已经</w:t>
      </w:r>
      <w:r>
        <w:rPr>
          <w:rFonts w:hint="eastAsia" w:ascii="仿宋_GB2312" w:eastAsia="仿宋_GB2312"/>
          <w:sz w:val="32"/>
          <w:szCs w:val="32"/>
          <w:lang w:val="en-US" w:eastAsia="zh-CN"/>
        </w:rPr>
        <w:t>完成7个县区的应急排查与安置点评估，占总任务的100%；完成专业监测项目实施方案的编制；实施工程治理项目7个，占总任务的37%；完成排危除险项目11个，占总任务的46%；完成50户避险搬迁户启动房屋建设，占总任务的51%；实施加固维修项目10个，占总任务的56%。</w:t>
      </w:r>
    </w:p>
    <w:p>
      <w:pPr>
        <w:spacing w:line="540" w:lineRule="exact"/>
        <w:ind w:firstLine="643" w:firstLineChars="200"/>
        <w:rPr>
          <w:rFonts w:hint="eastAsia" w:ascii="仿宋_GB2312" w:eastAsia="仿宋_GB2312" w:cs="??_GB2312"/>
          <w:sz w:val="32"/>
          <w:szCs w:val="32"/>
        </w:rPr>
      </w:pPr>
      <w:r>
        <w:rPr>
          <w:rFonts w:hint="eastAsia" w:ascii="楷体_GB2312" w:eastAsia="楷体_GB2312" w:cs="楷体_GB2312"/>
          <w:b/>
          <w:bCs/>
          <w:sz w:val="32"/>
          <w:szCs w:val="32"/>
          <w:lang w:val="en-US" w:eastAsia="zh-CN"/>
        </w:rPr>
        <w:t>十、</w:t>
      </w:r>
      <w:r>
        <w:rPr>
          <w:rFonts w:hint="eastAsia" w:ascii="楷体_GB2312" w:eastAsia="楷体_GB2312" w:cs="楷体_GB2312"/>
          <w:b/>
          <w:bCs/>
          <w:sz w:val="32"/>
          <w:szCs w:val="32"/>
        </w:rPr>
        <w:t>开展调研督导</w:t>
      </w:r>
      <w:r>
        <w:rPr>
          <w:rFonts w:hint="eastAsia" w:ascii="楷体_GB2312" w:eastAsia="楷体_GB2312" w:cs="楷体_GB2312"/>
          <w:b/>
          <w:bCs/>
          <w:sz w:val="32"/>
          <w:szCs w:val="32"/>
          <w:lang w:val="en-US" w:eastAsia="zh-CN"/>
        </w:rPr>
        <w:t>补强工作短板</w:t>
      </w:r>
      <w:r>
        <w:rPr>
          <w:rFonts w:hint="eastAsia" w:ascii="楷体_GB2312" w:eastAsia="楷体_GB2312" w:cs="楷体_GB2312"/>
          <w:b/>
          <w:bCs/>
          <w:sz w:val="32"/>
          <w:szCs w:val="32"/>
        </w:rPr>
        <w:t>。</w:t>
      </w:r>
      <w:r>
        <w:rPr>
          <w:rFonts w:hint="eastAsia" w:ascii="仿宋_GB2312" w:hAnsi="Times New Roman" w:eastAsia="仿宋_GB2312" w:cs="Times New Roman"/>
          <w:sz w:val="32"/>
          <w:szCs w:val="32"/>
          <w:lang w:val="en-US" w:eastAsia="zh-CN"/>
        </w:rPr>
        <w:t>地质灾害</w:t>
      </w:r>
      <w:r>
        <w:rPr>
          <w:rFonts w:hint="eastAsia" w:ascii="仿宋_GB2312" w:eastAsia="仿宋_GB2312" w:cs="Times New Roman"/>
          <w:sz w:val="32"/>
          <w:szCs w:val="32"/>
          <w:lang w:val="en-US" w:eastAsia="zh-CN"/>
        </w:rPr>
        <w:t>防范</w:t>
      </w:r>
      <w:r>
        <w:rPr>
          <w:rFonts w:hint="eastAsia" w:ascii="仿宋_GB2312" w:hAnsi="Times New Roman" w:eastAsia="仿宋_GB2312" w:cs="Times New Roman"/>
          <w:sz w:val="32"/>
          <w:szCs w:val="32"/>
          <w:lang w:val="en-US" w:eastAsia="zh-CN"/>
        </w:rPr>
        <w:t>的关键在基层一线，我单位注重</w:t>
      </w:r>
      <w:r>
        <w:rPr>
          <w:rFonts w:hint="eastAsia" w:ascii="仿宋_GB2312" w:eastAsia="仿宋_GB2312"/>
          <w:sz w:val="32"/>
          <w:szCs w:val="32"/>
          <w:lang w:val="en-US" w:eastAsia="zh-CN"/>
        </w:rPr>
        <w:t>逐级</w:t>
      </w:r>
      <w:r>
        <w:rPr>
          <w:rFonts w:hint="eastAsia" w:ascii="仿宋_GB2312" w:eastAsia="仿宋_GB2312"/>
          <w:sz w:val="32"/>
          <w:szCs w:val="32"/>
        </w:rPr>
        <w:t>落实</w:t>
      </w:r>
      <w:r>
        <w:rPr>
          <w:rFonts w:hint="eastAsia" w:ascii="仿宋_GB2312" w:hAnsi="Times New Roman" w:eastAsia="仿宋_GB2312" w:cs="Times New Roman"/>
          <w:sz w:val="32"/>
          <w:szCs w:val="32"/>
          <w:lang w:val="en-US" w:eastAsia="zh-CN"/>
        </w:rPr>
        <w:t>防灾责任</w:t>
      </w:r>
      <w:r>
        <w:rPr>
          <w:rFonts w:hint="eastAsia" w:ascii="仿宋_GB2312" w:eastAsia="仿宋_GB2312"/>
          <w:sz w:val="32"/>
          <w:szCs w:val="32"/>
        </w:rPr>
        <w:t>到乡镇村社，</w:t>
      </w:r>
      <w:r>
        <w:rPr>
          <w:rFonts w:hint="eastAsia" w:ascii="仿宋_GB2312" w:eastAsia="仿宋_GB2312" w:cs="??_GB2312"/>
          <w:sz w:val="32"/>
          <w:szCs w:val="32"/>
        </w:rPr>
        <w:t>把对防灾措施落实情况作为</w:t>
      </w:r>
      <w:r>
        <w:rPr>
          <w:rFonts w:hint="eastAsia" w:ascii="仿宋_GB2312" w:eastAsia="仿宋_GB2312" w:cs="??_GB2312"/>
          <w:sz w:val="32"/>
          <w:szCs w:val="32"/>
          <w:lang w:val="en-US" w:eastAsia="zh-CN"/>
        </w:rPr>
        <w:t>地灾防治工作</w:t>
      </w:r>
      <w:r>
        <w:rPr>
          <w:rFonts w:hint="eastAsia" w:ascii="仿宋_GB2312" w:eastAsia="仿宋_GB2312" w:cs="??_GB2312"/>
          <w:sz w:val="32"/>
          <w:szCs w:val="32"/>
        </w:rPr>
        <w:t>的重点和难点工作，</w:t>
      </w:r>
      <w:r>
        <w:rPr>
          <w:rFonts w:hint="eastAsia" w:ascii="仿宋_GB2312" w:eastAsia="仿宋_GB2312" w:cs="??_GB2312"/>
          <w:sz w:val="32"/>
          <w:szCs w:val="32"/>
          <w:lang w:val="en-US" w:eastAsia="zh-CN"/>
        </w:rPr>
        <w:t>针对性</w:t>
      </w:r>
      <w:r>
        <w:rPr>
          <w:rFonts w:hint="eastAsia" w:ascii="仿宋_GB2312" w:eastAsia="仿宋_GB2312" w:cs="??_GB2312"/>
          <w:sz w:val="32"/>
          <w:szCs w:val="32"/>
        </w:rPr>
        <w:t>开展督导和调研。我</w:t>
      </w:r>
      <w:r>
        <w:rPr>
          <w:rFonts w:hint="eastAsia" w:ascii="仿宋_GB2312" w:eastAsia="仿宋_GB2312" w:cs="??_GB2312"/>
          <w:sz w:val="32"/>
          <w:szCs w:val="32"/>
          <w:lang w:eastAsia="zh-CN"/>
        </w:rPr>
        <w:t>单位</w:t>
      </w:r>
      <w:r>
        <w:rPr>
          <w:rFonts w:hint="eastAsia" w:ascii="仿宋_GB2312" w:eastAsia="仿宋_GB2312" w:cs="??_GB2312"/>
          <w:sz w:val="32"/>
          <w:szCs w:val="32"/>
        </w:rPr>
        <w:t>安排班子成员</w:t>
      </w:r>
      <w:r>
        <w:rPr>
          <w:rFonts w:hint="eastAsia" w:ascii="仿宋_GB2312" w:eastAsia="仿宋_GB2312" w:cs="??_GB2312"/>
          <w:sz w:val="32"/>
          <w:szCs w:val="32"/>
          <w:lang w:val="en-US" w:eastAsia="zh-CN"/>
        </w:rPr>
        <w:t>分别</w:t>
      </w:r>
      <w:r>
        <w:rPr>
          <w:rFonts w:hint="eastAsia" w:ascii="仿宋_GB2312" w:eastAsia="仿宋_GB2312" w:cs="??_GB2312"/>
          <w:sz w:val="32"/>
          <w:szCs w:val="32"/>
        </w:rPr>
        <w:t>带队对自己联系县区地质灾害防治措施落实情况深入调研，</w:t>
      </w:r>
      <w:r>
        <w:rPr>
          <w:rFonts w:hint="eastAsia" w:ascii="仿宋_GB2312" w:eastAsia="仿宋_GB2312" w:cs="??_GB2312"/>
          <w:sz w:val="32"/>
          <w:szCs w:val="32"/>
          <w:lang w:val="en-US" w:eastAsia="zh-CN"/>
        </w:rPr>
        <w:t>今年主汛期期间，</w:t>
      </w:r>
      <w:r>
        <w:rPr>
          <w:rFonts w:hint="eastAsia" w:ascii="仿宋_GB2312" w:eastAsia="仿宋_GB2312" w:cs="??_GB2312"/>
          <w:sz w:val="32"/>
          <w:szCs w:val="32"/>
        </w:rPr>
        <w:t>又会同应急</w:t>
      </w:r>
      <w:r>
        <w:rPr>
          <w:rFonts w:hint="eastAsia" w:ascii="仿宋_GB2312" w:eastAsia="仿宋_GB2312" w:cs="??_GB2312"/>
          <w:sz w:val="32"/>
          <w:szCs w:val="32"/>
          <w:lang w:val="en-US" w:eastAsia="zh-CN"/>
        </w:rPr>
        <w:t>管理</w:t>
      </w:r>
      <w:r>
        <w:rPr>
          <w:rFonts w:hint="eastAsia" w:ascii="仿宋_GB2312" w:eastAsia="仿宋_GB2312" w:cs="??_GB2312"/>
          <w:sz w:val="32"/>
          <w:szCs w:val="32"/>
        </w:rPr>
        <w:t>部门</w:t>
      </w:r>
      <w:r>
        <w:rPr>
          <w:rFonts w:hint="eastAsia" w:ascii="仿宋_GB2312" w:eastAsia="仿宋_GB2312" w:cs="??_GB2312"/>
          <w:sz w:val="32"/>
          <w:szCs w:val="32"/>
          <w:lang w:val="en-US" w:eastAsia="zh-CN"/>
        </w:rPr>
        <w:t>多次</w:t>
      </w:r>
      <w:r>
        <w:rPr>
          <w:rFonts w:hint="eastAsia" w:ascii="仿宋_GB2312" w:eastAsia="仿宋_GB2312" w:cs="??_GB2312"/>
          <w:sz w:val="32"/>
          <w:szCs w:val="32"/>
        </w:rPr>
        <w:t>检查了县区地质灾害</w:t>
      </w:r>
      <w:r>
        <w:rPr>
          <w:rFonts w:hint="eastAsia" w:ascii="仿宋_GB2312" w:eastAsia="仿宋_GB2312" w:cs="??_GB2312"/>
          <w:sz w:val="32"/>
          <w:szCs w:val="32"/>
          <w:lang w:val="en-US" w:eastAsia="zh-CN"/>
        </w:rPr>
        <w:t>防范</w:t>
      </w:r>
      <w:r>
        <w:rPr>
          <w:rFonts w:hint="eastAsia" w:ascii="仿宋_GB2312" w:eastAsia="仿宋_GB2312" w:cs="??_GB2312"/>
          <w:sz w:val="32"/>
          <w:szCs w:val="32"/>
        </w:rPr>
        <w:t>情况，及时发现问题，寻找工作短板，督促整改，确保各县区将</w:t>
      </w:r>
      <w:r>
        <w:rPr>
          <w:rFonts w:hint="eastAsia" w:ascii="仿宋_GB2312" w:eastAsia="仿宋_GB2312" w:cs="??_GB2312"/>
          <w:sz w:val="32"/>
          <w:szCs w:val="32"/>
          <w:lang w:val="en-US" w:eastAsia="zh-CN"/>
        </w:rPr>
        <w:t>防灾责任和</w:t>
      </w:r>
      <w:r>
        <w:rPr>
          <w:rFonts w:hint="eastAsia" w:ascii="仿宋_GB2312" w:eastAsia="仿宋_GB2312" w:cs="??_GB2312"/>
          <w:sz w:val="32"/>
          <w:szCs w:val="32"/>
        </w:rPr>
        <w:t>防灾措施落地落实。</w:t>
      </w:r>
    </w:p>
    <w:p>
      <w:pPr>
        <w:spacing w:line="540" w:lineRule="exact"/>
        <w:ind w:firstLine="600" w:firstLineChars="200"/>
        <w:rPr>
          <w:rFonts w:hint="eastAsia" w:ascii="宋体" w:hAnsi="宋体"/>
          <w:color w:val="333333"/>
          <w:sz w:val="32"/>
          <w:szCs w:val="32"/>
          <w:shd w:val="clear" w:color="auto" w:fill="FFFFFF"/>
        </w:rPr>
      </w:pPr>
      <w:r>
        <w:rPr>
          <w:rFonts w:hint="eastAsia" w:ascii="黑体" w:hAnsi="黑体" w:eastAsia="黑体" w:cs="黑体"/>
          <w:b w:val="0"/>
          <w:bCs w:val="0"/>
          <w:color w:val="000000"/>
          <w:kern w:val="2"/>
          <w:sz w:val="30"/>
          <w:szCs w:val="30"/>
          <w:lang w:val="en-US" w:eastAsia="zh-CN" w:bidi="ar-SA"/>
        </w:rPr>
        <w:t xml:space="preserve"> </w:t>
      </w:r>
      <w:r>
        <w:rPr>
          <w:rFonts w:hint="eastAsia" w:ascii="楷体_GB2312" w:hAnsi="Times New Roman" w:eastAsia="楷体_GB2312" w:cs="楷体_GB2312"/>
          <w:b/>
          <w:bCs/>
          <w:sz w:val="32"/>
          <w:szCs w:val="32"/>
          <w:lang w:val="en-US" w:eastAsia="zh-CN"/>
        </w:rPr>
        <w:t>十一 、持续实施地质灾害能力建设。</w:t>
      </w:r>
      <w:r>
        <w:rPr>
          <w:rFonts w:hint="eastAsia" w:ascii="仿宋_GB2312" w:hAnsi="仿宋" w:eastAsia="仿宋_GB2312"/>
          <w:sz w:val="32"/>
          <w:szCs w:val="32"/>
          <w:lang w:val="en-US" w:eastAsia="zh-CN"/>
        </w:rPr>
        <w:t>完成了地质灾害综合会商室设备采购安装，即将组织验收地质灾害专业监测预警与数据库建设项目。已对98处地质灾害隐患点实施自动化实时监测，安装174台设备（其中，裂缝仪65台，雨量计96台，GPS监测12台，支护结构变形监测1台），设备在线率95%以上。</w:t>
      </w:r>
    </w:p>
    <w:bookmarkEnd w:id="18"/>
    <w:bookmarkEnd w:id="19"/>
    <w:p>
      <w:pPr>
        <w:pStyle w:val="3"/>
        <w:spacing w:before="0" w:after="0" w:line="500" w:lineRule="exact"/>
        <w:rPr>
          <w:rStyle w:val="18"/>
          <w:rFonts w:cs="Times New Roman"/>
          <w:b w:val="0"/>
          <w:bCs w:val="0"/>
          <w:sz w:val="30"/>
          <w:szCs w:val="30"/>
        </w:rPr>
      </w:pPr>
      <w:bookmarkStart w:id="20" w:name="_Toc15396601"/>
      <w:bookmarkStart w:id="21" w:name="_Toc15377200"/>
      <w:r>
        <w:rPr>
          <w:rFonts w:ascii="黑体" w:eastAsia="黑体" w:cs="黑体"/>
          <w:b w:val="0"/>
          <w:bCs w:val="0"/>
          <w:color w:val="000000"/>
          <w:sz w:val="30"/>
          <w:szCs w:val="30"/>
        </w:rPr>
        <w:t xml:space="preserve">    </w:t>
      </w:r>
      <w:r>
        <w:rPr>
          <w:rFonts w:hint="eastAsia" w:ascii="黑体" w:eastAsia="黑体" w:cs="黑体"/>
          <w:b w:val="0"/>
          <w:bCs w:val="0"/>
          <w:color w:val="000000"/>
          <w:sz w:val="30"/>
          <w:szCs w:val="30"/>
        </w:rPr>
        <w:t>二、</w:t>
      </w:r>
      <w:r>
        <w:rPr>
          <w:rFonts w:hint="eastAsia" w:ascii="黑体" w:hAnsi="黑体" w:eastAsia="黑体" w:cs="黑体"/>
          <w:b w:val="0"/>
          <w:bCs w:val="0"/>
          <w:color w:val="000000"/>
          <w:sz w:val="30"/>
          <w:szCs w:val="30"/>
        </w:rPr>
        <w:t>机</w:t>
      </w:r>
      <w:r>
        <w:rPr>
          <w:rStyle w:val="18"/>
          <w:rFonts w:hint="eastAsia" w:ascii="黑体" w:hAnsi="黑体" w:eastAsia="黑体" w:cs="黑体"/>
          <w:b w:val="0"/>
          <w:bCs w:val="0"/>
          <w:sz w:val="30"/>
          <w:szCs w:val="30"/>
        </w:rPr>
        <w:t>构设置</w:t>
      </w:r>
      <w:bookmarkEnd w:id="20"/>
      <w:bookmarkEnd w:id="21"/>
    </w:p>
    <w:p>
      <w:pPr>
        <w:spacing w:line="500" w:lineRule="exact"/>
        <w:ind w:firstLine="750" w:firstLineChars="250"/>
        <w:rPr>
          <w:rFonts w:hint="eastAsia" w:ascii="仿宋_GB2312" w:hAnsi="仿宋" w:eastAsia="仿宋_GB2312"/>
          <w:sz w:val="30"/>
          <w:szCs w:val="30"/>
          <w:lang w:eastAsia="zh-CN"/>
        </w:rPr>
      </w:pPr>
      <w:r>
        <w:rPr>
          <w:rFonts w:hint="eastAsia" w:ascii="仿宋_GB2312" w:hAnsi="仿宋" w:eastAsia="仿宋_GB2312" w:cs="仿宋_GB2312"/>
          <w:sz w:val="30"/>
          <w:szCs w:val="30"/>
          <w:lang w:eastAsia="zh-CN"/>
        </w:rPr>
        <w:t>广元市地质环境监测站属于</w:t>
      </w:r>
      <w:r>
        <w:rPr>
          <w:rFonts w:hint="eastAsia" w:ascii="仿宋_GB2312" w:hAnsi="仿宋" w:eastAsia="仿宋_GB2312" w:cs="仿宋_GB2312"/>
          <w:sz w:val="30"/>
          <w:szCs w:val="30"/>
        </w:rPr>
        <w:t>广元市自然资源局下属</w:t>
      </w:r>
      <w:r>
        <w:rPr>
          <w:rFonts w:hint="eastAsia" w:ascii="仿宋_GB2312" w:hAnsi="仿宋" w:eastAsia="仿宋_GB2312" w:cs="仿宋_GB2312"/>
          <w:sz w:val="30"/>
          <w:szCs w:val="30"/>
          <w:lang w:eastAsia="zh-CN"/>
        </w:rPr>
        <w:t>独立核算</w:t>
      </w:r>
      <w:r>
        <w:rPr>
          <w:rFonts w:hint="eastAsia" w:ascii="仿宋_GB2312" w:hAnsi="仿宋" w:eastAsia="仿宋_GB2312" w:cs="仿宋_GB2312"/>
          <w:sz w:val="30"/>
          <w:szCs w:val="30"/>
        </w:rPr>
        <w:t>二级</w:t>
      </w:r>
      <w:r>
        <w:rPr>
          <w:rFonts w:hint="eastAsia" w:ascii="仿宋_GB2312" w:hAnsi="仿宋" w:eastAsia="仿宋_GB2312" w:cs="仿宋_GB2312"/>
          <w:sz w:val="30"/>
          <w:szCs w:val="30"/>
          <w:lang w:eastAsia="zh-CN"/>
        </w:rPr>
        <w:t>预算</w:t>
      </w:r>
      <w:r>
        <w:rPr>
          <w:rFonts w:hint="eastAsia" w:ascii="仿宋_GB2312" w:hAnsi="仿宋" w:eastAsia="仿宋_GB2312" w:cs="仿宋_GB2312"/>
          <w:sz w:val="30"/>
          <w:szCs w:val="30"/>
        </w:rPr>
        <w:t>单位</w:t>
      </w:r>
      <w:r>
        <w:rPr>
          <w:rFonts w:hint="eastAsia" w:ascii="仿宋_GB2312" w:hAnsi="仿宋" w:eastAsia="仿宋_GB2312" w:cs="仿宋_GB2312"/>
          <w:sz w:val="30"/>
          <w:szCs w:val="30"/>
          <w:lang w:eastAsia="zh-CN"/>
        </w:rPr>
        <w:t>。</w:t>
      </w:r>
    </w:p>
    <w:p>
      <w:pPr>
        <w:widowControl/>
        <w:spacing w:line="500" w:lineRule="exact"/>
        <w:jc w:val="center"/>
        <w:rPr>
          <w:rStyle w:val="17"/>
          <w:rFonts w:ascii="黑体" w:hAnsi="黑体" w:eastAsia="黑体"/>
          <w:b w:val="0"/>
          <w:bCs w:val="0"/>
          <w:sz w:val="30"/>
          <w:szCs w:val="30"/>
        </w:rPr>
      </w:pPr>
      <w:r>
        <w:rPr>
          <w:rFonts w:ascii="仿宋" w:hAnsi="仿宋" w:eastAsia="仿宋"/>
          <w:color w:val="000000"/>
          <w:sz w:val="30"/>
          <w:szCs w:val="30"/>
        </w:rPr>
        <w:br w:type="page"/>
      </w:r>
      <w:bookmarkStart w:id="22" w:name="_Toc15377204"/>
      <w:bookmarkStart w:id="23" w:name="_Toc15396602"/>
      <w:r>
        <w:rPr>
          <w:rFonts w:hint="eastAsia" w:ascii="黑体" w:hAnsi="黑体" w:eastAsia="黑体" w:cs="黑体"/>
          <w:color w:val="000000"/>
          <w:sz w:val="30"/>
          <w:szCs w:val="30"/>
        </w:rPr>
        <w:t>第二部分</w:t>
      </w:r>
      <w:r>
        <w:rPr>
          <w:rFonts w:ascii="黑体" w:hAnsi="黑体" w:eastAsia="黑体" w:cs="黑体"/>
          <w:color w:val="000000"/>
          <w:sz w:val="30"/>
          <w:szCs w:val="30"/>
        </w:rPr>
        <w:t xml:space="preserve"> </w:t>
      </w:r>
      <w:r>
        <w:rPr>
          <w:rStyle w:val="17"/>
          <w:rFonts w:ascii="黑体" w:hAnsi="黑体" w:eastAsia="黑体" w:cs="黑体"/>
          <w:b w:val="0"/>
          <w:bCs w:val="0"/>
          <w:sz w:val="30"/>
          <w:szCs w:val="30"/>
        </w:rPr>
        <w:t>20</w:t>
      </w:r>
      <w:r>
        <w:rPr>
          <w:rStyle w:val="17"/>
          <w:rFonts w:hint="eastAsia" w:ascii="黑体" w:hAnsi="黑体" w:eastAsia="黑体" w:cs="黑体"/>
          <w:b w:val="0"/>
          <w:bCs w:val="0"/>
          <w:sz w:val="30"/>
          <w:szCs w:val="30"/>
          <w:lang w:val="en-US" w:eastAsia="zh-CN"/>
        </w:rPr>
        <w:t>20</w:t>
      </w:r>
      <w:r>
        <w:rPr>
          <w:rStyle w:val="17"/>
          <w:rFonts w:hint="eastAsia" w:ascii="黑体" w:hAnsi="黑体" w:eastAsia="黑体" w:cs="黑体"/>
          <w:b w:val="0"/>
          <w:bCs w:val="0"/>
          <w:sz w:val="30"/>
          <w:szCs w:val="30"/>
        </w:rPr>
        <w:t>年度部门决算情况说明</w:t>
      </w:r>
      <w:bookmarkEnd w:id="22"/>
      <w:bookmarkEnd w:id="23"/>
    </w:p>
    <w:p>
      <w:pPr>
        <w:spacing w:line="500" w:lineRule="exact"/>
        <w:rPr>
          <w:sz w:val="30"/>
          <w:szCs w:val="30"/>
        </w:rPr>
      </w:pP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4" w:name="_Toc15396603"/>
      <w:bookmarkStart w:id="25" w:name="_Toc15377205"/>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入支出决算总体情况说明</w:t>
      </w:r>
      <w:bookmarkEnd w:id="24"/>
      <w:bookmarkEnd w:id="25"/>
    </w:p>
    <w:p>
      <w:pPr>
        <w:spacing w:line="500" w:lineRule="exact"/>
        <w:ind w:firstLine="600" w:firstLineChars="20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年度收、支总计</w:t>
      </w:r>
      <w:r>
        <w:rPr>
          <w:rFonts w:hint="eastAsia" w:ascii="仿宋_GB2312" w:hAnsi="仿宋" w:eastAsia="仿宋_GB2312" w:cs="仿宋_GB2312"/>
          <w:color w:val="000000"/>
          <w:sz w:val="30"/>
          <w:szCs w:val="30"/>
          <w:lang w:val="en-US" w:eastAsia="zh-CN"/>
        </w:rPr>
        <w:t>737.05</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46.3</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6.28</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一是年初财政拨款收入减少；二是人员减少。</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6" w:name="_Toc15396604"/>
      <w:bookmarkStart w:id="27" w:name="_Toc15377206"/>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入决算情况说明</w:t>
      </w:r>
      <w:bookmarkEnd w:id="26"/>
      <w:bookmarkEnd w:id="27"/>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年本年收入合计</w:t>
      </w:r>
      <w:r>
        <w:rPr>
          <w:rFonts w:hint="eastAsia" w:ascii="仿宋_GB2312" w:hAnsi="仿宋" w:eastAsia="仿宋_GB2312" w:cs="仿宋_GB2312"/>
          <w:color w:val="000000"/>
          <w:sz w:val="30"/>
          <w:szCs w:val="30"/>
          <w:lang w:val="en-US" w:eastAsia="zh-CN"/>
        </w:rPr>
        <w:t>240.06</w:t>
      </w:r>
      <w:r>
        <w:rPr>
          <w:rFonts w:hint="eastAsia" w:ascii="仿宋_GB2312" w:hAnsi="仿宋" w:eastAsia="仿宋_GB2312" w:cs="仿宋_GB2312"/>
          <w:color w:val="000000"/>
          <w:sz w:val="30"/>
          <w:szCs w:val="30"/>
        </w:rPr>
        <w:t>万元，其中：一般公共预算财政拨款收入</w:t>
      </w:r>
      <w:r>
        <w:rPr>
          <w:rFonts w:hint="eastAsia" w:ascii="仿宋_GB2312" w:hAnsi="仿宋" w:eastAsia="仿宋_GB2312" w:cs="仿宋_GB2312"/>
          <w:color w:val="000000"/>
          <w:sz w:val="30"/>
          <w:szCs w:val="30"/>
          <w:lang w:val="en-US" w:eastAsia="zh-CN"/>
        </w:rPr>
        <w:t>240.01</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99.98</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；政府性基金预算财政拨款收入</w:t>
      </w:r>
      <w:r>
        <w:rPr>
          <w:rFonts w:hint="eastAsia" w:ascii="仿宋_GB2312" w:hAnsi="仿宋" w:eastAsia="仿宋_GB2312" w:cs="仿宋_GB2312"/>
          <w:color w:val="000000"/>
          <w:sz w:val="30"/>
          <w:szCs w:val="30"/>
          <w:lang w:val="en-US" w:eastAsia="zh-CN"/>
        </w:rPr>
        <w:t>0</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0</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；其他收入</w:t>
      </w:r>
      <w:r>
        <w:rPr>
          <w:rFonts w:hint="eastAsia" w:ascii="仿宋_GB2312" w:hAnsi="仿宋" w:eastAsia="仿宋_GB2312" w:cs="仿宋_GB2312"/>
          <w:color w:val="000000"/>
          <w:sz w:val="30"/>
          <w:szCs w:val="30"/>
          <w:lang w:val="en-US" w:eastAsia="zh-CN"/>
        </w:rPr>
        <w:t>0.05</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0.02</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8" w:name="_Toc15396605"/>
      <w:bookmarkStart w:id="29" w:name="_Toc15377207"/>
      <w:r>
        <w:rPr>
          <w:rFonts w:hint="eastAsia" w:ascii="黑体" w:hAnsi="黑体" w:eastAsia="黑体" w:cs="黑体"/>
          <w:color w:val="000000"/>
          <w:sz w:val="30"/>
          <w:szCs w:val="30"/>
        </w:rPr>
        <w:t>支</w:t>
      </w:r>
      <w:r>
        <w:rPr>
          <w:rStyle w:val="18"/>
          <w:rFonts w:hint="eastAsia" w:ascii="黑体" w:hAnsi="黑体" w:eastAsia="黑体" w:cs="黑体"/>
          <w:b w:val="0"/>
          <w:bCs w:val="0"/>
          <w:sz w:val="30"/>
          <w:szCs w:val="30"/>
        </w:rPr>
        <w:t>出决算情况说明</w:t>
      </w:r>
      <w:bookmarkEnd w:id="28"/>
      <w:bookmarkEnd w:id="29"/>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lang w:val="en-US" w:eastAsia="zh-CN"/>
        </w:rPr>
        <w:t>020</w:t>
      </w:r>
      <w:r>
        <w:rPr>
          <w:rFonts w:hint="eastAsia" w:ascii="仿宋_GB2312" w:hAnsi="仿宋" w:eastAsia="仿宋_GB2312" w:cs="仿宋_GB2312"/>
          <w:color w:val="000000"/>
          <w:sz w:val="30"/>
          <w:szCs w:val="30"/>
        </w:rPr>
        <w:t>年本年支出合计</w:t>
      </w:r>
      <w:r>
        <w:rPr>
          <w:rFonts w:hint="eastAsia" w:ascii="仿宋_GB2312" w:hAnsi="仿宋" w:eastAsia="仿宋_GB2312" w:cs="仿宋_GB2312"/>
          <w:color w:val="000000"/>
          <w:sz w:val="30"/>
          <w:szCs w:val="30"/>
          <w:lang w:val="en-US" w:eastAsia="zh-CN"/>
        </w:rPr>
        <w:t>602.58</w:t>
      </w:r>
      <w:r>
        <w:rPr>
          <w:rFonts w:hint="eastAsia" w:ascii="仿宋_GB2312" w:hAnsi="仿宋" w:eastAsia="仿宋_GB2312" w:cs="仿宋_GB2312"/>
          <w:color w:val="000000"/>
          <w:sz w:val="30"/>
          <w:szCs w:val="30"/>
        </w:rPr>
        <w:t>万元，其中：基本支出</w:t>
      </w:r>
      <w:r>
        <w:rPr>
          <w:rFonts w:hint="eastAsia" w:ascii="仿宋_GB2312" w:hAnsi="仿宋" w:eastAsia="仿宋_GB2312" w:cs="仿宋_GB2312"/>
          <w:color w:val="000000"/>
          <w:sz w:val="30"/>
          <w:szCs w:val="30"/>
          <w:lang w:val="en-US" w:eastAsia="zh-CN"/>
        </w:rPr>
        <w:t>162.72</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lang w:val="en-US" w:eastAsia="zh-CN"/>
        </w:rPr>
        <w:t>7</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；项目支出</w:t>
      </w:r>
      <w:r>
        <w:rPr>
          <w:rFonts w:hint="eastAsia" w:ascii="仿宋_GB2312" w:hAnsi="仿宋" w:eastAsia="仿宋_GB2312" w:cs="仿宋_GB2312"/>
          <w:color w:val="000000"/>
          <w:sz w:val="30"/>
          <w:szCs w:val="30"/>
          <w:lang w:val="en-US" w:eastAsia="zh-CN"/>
        </w:rPr>
        <w:t>439.86</w:t>
      </w:r>
      <w:r>
        <w:rPr>
          <w:rFonts w:hint="eastAsia" w:ascii="仿宋_GB2312" w:hAnsi="仿宋" w:eastAsia="仿宋_GB2312" w:cs="仿宋_GB2312"/>
          <w:color w:val="000000"/>
          <w:sz w:val="30"/>
          <w:szCs w:val="30"/>
        </w:rPr>
        <w:t>万元，占</w:t>
      </w:r>
      <w:r>
        <w:rPr>
          <w:rFonts w:ascii="仿宋_GB2312" w:hAnsi="仿宋" w:eastAsia="仿宋_GB2312" w:cs="仿宋_GB2312"/>
          <w:color w:val="000000"/>
          <w:sz w:val="30"/>
          <w:szCs w:val="30"/>
        </w:rPr>
        <w:t>7</w:t>
      </w:r>
      <w:r>
        <w:rPr>
          <w:rFonts w:hint="eastAsia" w:ascii="仿宋_GB2312" w:hAnsi="仿宋" w:eastAsia="仿宋_GB2312" w:cs="仿宋_GB2312"/>
          <w:color w:val="000000"/>
          <w:sz w:val="30"/>
          <w:szCs w:val="30"/>
          <w:lang w:val="en-US" w:eastAsia="zh-CN"/>
        </w:rPr>
        <w:t>3</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spacing w:line="500" w:lineRule="exact"/>
        <w:ind w:firstLine="600" w:firstLineChars="200"/>
        <w:outlineLvl w:val="1"/>
        <w:rPr>
          <w:rStyle w:val="18"/>
          <w:rFonts w:ascii="黑体" w:hAnsi="黑体" w:eastAsia="黑体" w:cs="Times New Roman"/>
          <w:b w:val="0"/>
          <w:bCs w:val="0"/>
          <w:sz w:val="30"/>
          <w:szCs w:val="30"/>
        </w:rPr>
      </w:pPr>
      <w:bookmarkStart w:id="30" w:name="_Toc15396606"/>
      <w:bookmarkStart w:id="31" w:name="_Toc15377208"/>
      <w:r>
        <w:rPr>
          <w:rFonts w:hint="eastAsia" w:ascii="黑体" w:hAnsi="黑体" w:eastAsia="黑体" w:cs="黑体"/>
          <w:color w:val="000000"/>
          <w:sz w:val="30"/>
          <w:szCs w:val="30"/>
        </w:rPr>
        <w:t>四、财</w:t>
      </w:r>
      <w:r>
        <w:rPr>
          <w:rStyle w:val="18"/>
          <w:rFonts w:hint="eastAsia" w:ascii="黑体" w:hAnsi="黑体" w:eastAsia="黑体" w:cs="黑体"/>
          <w:b w:val="0"/>
          <w:bCs w:val="0"/>
          <w:sz w:val="30"/>
          <w:szCs w:val="30"/>
        </w:rPr>
        <w:t>政拨款收入支出决算总体情况说明</w:t>
      </w:r>
      <w:bookmarkEnd w:id="30"/>
      <w:bookmarkEnd w:id="31"/>
    </w:p>
    <w:p>
      <w:pPr>
        <w:widowControl/>
        <w:spacing w:line="546" w:lineRule="exact"/>
        <w:ind w:firstLine="600" w:firstLineChars="200"/>
        <w:jc w:val="left"/>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年财政拨款收、支总计</w:t>
      </w:r>
      <w:r>
        <w:rPr>
          <w:rFonts w:hint="eastAsia" w:ascii="仿宋_GB2312" w:hAnsi="仿宋" w:eastAsia="仿宋_GB2312" w:cs="仿宋_GB2312"/>
          <w:color w:val="000000"/>
          <w:sz w:val="30"/>
          <w:szCs w:val="30"/>
          <w:lang w:val="en-US" w:eastAsia="zh-CN"/>
        </w:rPr>
        <w:t>698.35</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年相比，财政拨款收、支总计各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23.37</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3.35</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一是人员变动；二是</w:t>
      </w:r>
      <w:r>
        <w:rPr>
          <w:rFonts w:hint="eastAsia" w:ascii="仿宋_GB2312" w:hAnsi="仿宋_GB2312" w:eastAsia="仿宋_GB2312" w:cs="仿宋_GB2312"/>
          <w:color w:val="000000"/>
          <w:sz w:val="32"/>
          <w:szCs w:val="32"/>
        </w:rPr>
        <w:t>严格控制经费，压缩各项支出。</w:t>
      </w:r>
    </w:p>
    <w:p>
      <w:pPr>
        <w:spacing w:line="500" w:lineRule="exact"/>
        <w:ind w:firstLine="600" w:firstLineChars="200"/>
        <w:outlineLvl w:val="1"/>
        <w:rPr>
          <w:rStyle w:val="18"/>
          <w:rFonts w:ascii="黑体" w:hAnsi="黑体" w:eastAsia="黑体" w:cs="Times New Roman"/>
          <w:b w:val="0"/>
          <w:bCs w:val="0"/>
          <w:sz w:val="30"/>
          <w:szCs w:val="30"/>
        </w:rPr>
      </w:pPr>
      <w:bookmarkStart w:id="32" w:name="_Toc15396607"/>
      <w:bookmarkStart w:id="33" w:name="_Toc15377209"/>
      <w:r>
        <w:rPr>
          <w:rFonts w:hint="eastAsia" w:ascii="黑体" w:hAnsi="黑体" w:eastAsia="黑体" w:cs="黑体"/>
          <w:color w:val="000000"/>
          <w:sz w:val="30"/>
          <w:szCs w:val="30"/>
        </w:rPr>
        <w:t>五、</w:t>
      </w:r>
      <w:r>
        <w:rPr>
          <w:rFonts w:hint="eastAsia" w:ascii="黑体" w:hAnsi="黑体" w:eastAsia="黑体" w:cs="黑体"/>
          <w:b/>
          <w:bCs/>
          <w:color w:val="000000"/>
          <w:sz w:val="30"/>
          <w:szCs w:val="30"/>
        </w:rPr>
        <w:t>一</w:t>
      </w:r>
      <w:r>
        <w:rPr>
          <w:rStyle w:val="18"/>
          <w:rFonts w:hint="eastAsia" w:ascii="黑体" w:hAnsi="黑体" w:eastAsia="黑体" w:cs="黑体"/>
          <w:b w:val="0"/>
          <w:bCs w:val="0"/>
          <w:sz w:val="30"/>
          <w:szCs w:val="30"/>
        </w:rPr>
        <w:t>般公共预算财政拨款支出决算情况说明</w:t>
      </w:r>
      <w:bookmarkEnd w:id="32"/>
      <w:bookmarkEnd w:id="33"/>
    </w:p>
    <w:p>
      <w:pPr>
        <w:spacing w:line="500" w:lineRule="exact"/>
        <w:ind w:firstLine="602" w:firstLineChars="200"/>
        <w:outlineLvl w:val="2"/>
        <w:rPr>
          <w:rFonts w:ascii="仿宋" w:hAnsi="仿宋" w:eastAsia="仿宋"/>
          <w:b/>
          <w:bCs/>
          <w:color w:val="000000"/>
          <w:sz w:val="30"/>
          <w:szCs w:val="30"/>
        </w:rPr>
      </w:pPr>
      <w:bookmarkStart w:id="34" w:name="_Toc15377210"/>
      <w:r>
        <w:rPr>
          <w:rFonts w:hint="eastAsia" w:ascii="仿宋" w:hAnsi="仿宋" w:eastAsia="仿宋" w:cs="仿宋"/>
          <w:b/>
          <w:bCs/>
          <w:color w:val="000000"/>
          <w:sz w:val="30"/>
          <w:szCs w:val="30"/>
        </w:rPr>
        <w:t>（一）一般公共预算财政拨款支出决算总体情况</w:t>
      </w:r>
      <w:bookmarkEnd w:id="34"/>
    </w:p>
    <w:p>
      <w:pPr>
        <w:spacing w:line="500" w:lineRule="exact"/>
        <w:ind w:firstLine="64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年一般公共预算财政拨款支出</w:t>
      </w:r>
      <w:r>
        <w:rPr>
          <w:rFonts w:hint="eastAsia" w:ascii="仿宋_GB2312" w:hAnsi="仿宋" w:eastAsia="仿宋_GB2312" w:cs="仿宋_GB2312"/>
          <w:color w:val="000000"/>
          <w:sz w:val="30"/>
          <w:szCs w:val="30"/>
          <w:lang w:val="en-US" w:eastAsia="zh-CN"/>
        </w:rPr>
        <w:t>579.78</w:t>
      </w:r>
      <w:r>
        <w:rPr>
          <w:rFonts w:hint="eastAsia" w:ascii="仿宋_GB2312" w:hAnsi="仿宋" w:eastAsia="仿宋_GB2312" w:cs="仿宋_GB2312"/>
          <w:color w:val="000000"/>
          <w:sz w:val="30"/>
          <w:szCs w:val="30"/>
        </w:rPr>
        <w:t>万元，占本年支出合计的</w:t>
      </w:r>
      <w:r>
        <w:rPr>
          <w:rFonts w:hint="eastAsia" w:ascii="仿宋_GB2312" w:hAnsi="仿宋" w:eastAsia="仿宋_GB2312" w:cs="仿宋_GB2312"/>
          <w:color w:val="000000"/>
          <w:sz w:val="30"/>
          <w:szCs w:val="30"/>
          <w:lang w:val="en-US" w:eastAsia="zh-CN"/>
        </w:rPr>
        <w:t>96.22</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年相比，一般公共预算财政拨款增加</w:t>
      </w:r>
      <w:r>
        <w:rPr>
          <w:rFonts w:hint="eastAsia" w:ascii="仿宋_GB2312" w:hAnsi="仿宋" w:eastAsia="仿宋_GB2312" w:cs="仿宋_GB2312"/>
          <w:color w:val="000000"/>
          <w:sz w:val="30"/>
          <w:szCs w:val="30"/>
          <w:lang w:val="en-US" w:eastAsia="zh-CN"/>
        </w:rPr>
        <w:t>323.74</w:t>
      </w:r>
      <w:r>
        <w:rPr>
          <w:rFonts w:hint="eastAsia" w:ascii="仿宋_GB2312" w:hAnsi="仿宋" w:eastAsia="仿宋_GB2312" w:cs="仿宋_GB2312"/>
          <w:color w:val="000000"/>
          <w:sz w:val="30"/>
          <w:szCs w:val="30"/>
        </w:rPr>
        <w:t>万元，增长</w:t>
      </w:r>
      <w:r>
        <w:rPr>
          <w:rFonts w:hint="eastAsia" w:ascii="仿宋_GB2312" w:hAnsi="仿宋" w:eastAsia="仿宋_GB2312" w:cs="仿宋_GB2312"/>
          <w:color w:val="000000"/>
          <w:sz w:val="30"/>
          <w:szCs w:val="30"/>
          <w:lang w:val="en-US" w:eastAsia="zh-CN"/>
        </w:rPr>
        <w:t>55.84</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。主要变动原因是</w:t>
      </w:r>
      <w:r>
        <w:rPr>
          <w:rFonts w:hint="eastAsia" w:ascii="仿宋_GB2312" w:hAnsi="仿宋" w:eastAsia="仿宋_GB2312" w:cs="仿宋_GB2312"/>
          <w:color w:val="000000"/>
          <w:sz w:val="30"/>
          <w:szCs w:val="30"/>
          <w:lang w:eastAsia="zh-CN"/>
        </w:rPr>
        <w:t>项目支出经费增加。</w:t>
      </w:r>
    </w:p>
    <w:p>
      <w:pPr>
        <w:spacing w:line="500" w:lineRule="exact"/>
        <w:ind w:firstLine="602" w:firstLineChars="200"/>
        <w:outlineLvl w:val="2"/>
        <w:rPr>
          <w:rFonts w:ascii="仿宋" w:hAnsi="仿宋" w:eastAsia="仿宋"/>
          <w:b/>
          <w:bCs/>
          <w:color w:val="000000"/>
          <w:sz w:val="30"/>
          <w:szCs w:val="30"/>
        </w:rPr>
      </w:pPr>
      <w:bookmarkStart w:id="35" w:name="_Toc15377211"/>
      <w:r>
        <w:rPr>
          <w:rFonts w:hint="eastAsia" w:ascii="仿宋" w:hAnsi="仿宋" w:eastAsia="仿宋" w:cs="仿宋"/>
          <w:b/>
          <w:bCs/>
          <w:color w:val="000000"/>
          <w:sz w:val="30"/>
          <w:szCs w:val="30"/>
        </w:rPr>
        <w:t>（二）一般公共预算财政拨款支出决算结构情况</w:t>
      </w:r>
      <w:bookmarkEnd w:id="35"/>
    </w:p>
    <w:p>
      <w:pPr>
        <w:widowControl/>
        <w:spacing w:line="546" w:lineRule="exact"/>
        <w:ind w:firstLine="640" w:firstLineChars="200"/>
        <w:jc w:val="left"/>
        <w:rPr>
          <w:rFonts w:hint="eastAsia" w:ascii="仿宋_GB2312" w:hAnsi="仿宋_GB2312" w:eastAsia="仿宋_GB2312" w:cs="仿宋_GB2312"/>
          <w:color w:val="000000"/>
          <w:sz w:val="32"/>
          <w:szCs w:val="32"/>
        </w:rPr>
      </w:pPr>
      <w:bookmarkStart w:id="36" w:name="_Toc15377212"/>
      <w:r>
        <w:rPr>
          <w:rFonts w:hint="eastAsia" w:ascii="仿宋_GB2312" w:hAnsi="仿宋_GB2312" w:eastAsia="仿宋_GB2312" w:cs="仿宋_GB2312"/>
          <w:color w:val="000000"/>
          <w:sz w:val="32"/>
          <w:szCs w:val="32"/>
        </w:rPr>
        <w:t>2020年一般公共预算财政拨款支出</w:t>
      </w:r>
      <w:r>
        <w:rPr>
          <w:rFonts w:hint="eastAsia" w:ascii="仿宋_GB2312" w:hAnsi="仿宋_GB2312" w:eastAsia="仿宋_GB2312" w:cs="仿宋_GB2312"/>
          <w:color w:val="000000"/>
          <w:sz w:val="32"/>
          <w:szCs w:val="32"/>
          <w:lang w:val="en-US" w:eastAsia="zh-CN"/>
        </w:rPr>
        <w:t>579.78</w:t>
      </w:r>
      <w:r>
        <w:rPr>
          <w:rFonts w:hint="eastAsia" w:ascii="仿宋_GB2312" w:hAnsi="仿宋_GB2312" w:eastAsia="仿宋_GB2312" w:cs="仿宋_GB2312"/>
          <w:color w:val="000000"/>
          <w:sz w:val="32"/>
          <w:szCs w:val="32"/>
        </w:rPr>
        <w:t>万元，主要用于以下方面:社会保障和就业（类）支出</w:t>
      </w:r>
      <w:r>
        <w:rPr>
          <w:rFonts w:hint="eastAsia" w:ascii="仿宋_GB2312" w:hAnsi="仿宋_GB2312" w:eastAsia="仿宋_GB2312" w:cs="仿宋_GB2312"/>
          <w:color w:val="000000"/>
          <w:sz w:val="32"/>
          <w:szCs w:val="32"/>
          <w:lang w:val="en-US" w:eastAsia="zh-CN"/>
        </w:rPr>
        <w:t>14.22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2.45</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6.67</w:t>
      </w:r>
      <w:r>
        <w:rPr>
          <w:rFonts w:hint="eastAsia" w:ascii="仿宋_GB2312" w:hAnsi="仿宋_GB2312" w:eastAsia="仿宋_GB2312" w:cs="仿宋_GB2312"/>
          <w:color w:val="000000"/>
          <w:sz w:val="32"/>
          <w:szCs w:val="32"/>
        </w:rPr>
        <w:t>万元，占1.</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%；自然资源海洋气象等支出</w:t>
      </w:r>
      <w:r>
        <w:rPr>
          <w:rFonts w:hint="eastAsia" w:ascii="仿宋_GB2312" w:hAnsi="仿宋_GB2312" w:eastAsia="仿宋_GB2312" w:cs="仿宋_GB2312"/>
          <w:color w:val="000000"/>
          <w:sz w:val="32"/>
          <w:szCs w:val="32"/>
          <w:lang w:val="en-US" w:eastAsia="zh-CN"/>
        </w:rPr>
        <w:t>168.79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29.11</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12.36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2.13</w:t>
      </w:r>
      <w:r>
        <w:rPr>
          <w:rFonts w:hint="eastAsia" w:ascii="仿宋_GB2312" w:hAnsi="仿宋_GB2312" w:eastAsia="仿宋_GB2312" w:cs="仿宋_GB2312"/>
          <w:color w:val="000000"/>
          <w:sz w:val="32"/>
          <w:szCs w:val="32"/>
        </w:rPr>
        <w:t>%；灾害防治及应急管理支出377.74万元，占</w:t>
      </w:r>
      <w:r>
        <w:rPr>
          <w:rFonts w:hint="eastAsia" w:ascii="仿宋_GB2312" w:hAnsi="仿宋_GB2312" w:eastAsia="仿宋_GB2312" w:cs="仿宋_GB2312"/>
          <w:color w:val="000000"/>
          <w:sz w:val="32"/>
          <w:szCs w:val="32"/>
          <w:lang w:val="en-US" w:eastAsia="zh-CN"/>
        </w:rPr>
        <w:t>65.16</w:t>
      </w:r>
      <w:r>
        <w:rPr>
          <w:rFonts w:hint="eastAsia" w:ascii="仿宋_GB2312" w:hAnsi="仿宋_GB2312" w:eastAsia="仿宋_GB2312" w:cs="仿宋_GB2312"/>
          <w:color w:val="000000"/>
          <w:sz w:val="32"/>
          <w:szCs w:val="32"/>
        </w:rPr>
        <w:t>%。</w:t>
      </w:r>
    </w:p>
    <w:bookmarkEnd w:id="36"/>
    <w:p>
      <w:pPr>
        <w:spacing w:line="546" w:lineRule="exact"/>
        <w:ind w:firstLine="640" w:firstLineChars="200"/>
        <w:rPr>
          <w:rFonts w:hint="eastAsia" w:ascii="楷体_GB2312" w:hAnsi="楷体_GB2312" w:eastAsia="楷体_GB2312" w:cs="楷体_GB2312"/>
          <w:sz w:val="32"/>
          <w:szCs w:val="32"/>
        </w:rPr>
      </w:pPr>
      <w:bookmarkStart w:id="37" w:name="_Toc15396631"/>
      <w:r>
        <w:rPr>
          <w:rFonts w:hint="eastAsia" w:ascii="楷体_GB2312" w:hAnsi="楷体_GB2312" w:eastAsia="楷体_GB2312" w:cs="楷体_GB2312"/>
          <w:sz w:val="32"/>
          <w:szCs w:val="32"/>
        </w:rPr>
        <w:t>（三）一般公共预算财政拨款支出决算具体情况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2020年一般公共预算支出决算数为</w:t>
      </w:r>
      <w:r>
        <w:rPr>
          <w:rFonts w:hint="eastAsia" w:ascii="仿宋_GB2312" w:hAnsi="仿宋_GB2312" w:eastAsia="仿宋_GB2312" w:cs="仿宋_GB2312"/>
          <w:color w:val="000000"/>
          <w:sz w:val="32"/>
          <w:szCs w:val="32"/>
          <w:lang w:val="en-US" w:eastAsia="zh-CN"/>
        </w:rPr>
        <w:t>579.78</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83.02</w:t>
      </w:r>
      <w:r>
        <w:rPr>
          <w:rFonts w:hint="eastAsia" w:ascii="仿宋_GB2312" w:hAnsi="仿宋_GB2312" w:eastAsia="仿宋_GB2312" w:cs="仿宋_GB2312"/>
          <w:color w:val="000000"/>
          <w:sz w:val="32"/>
          <w:szCs w:val="32"/>
        </w:rPr>
        <w:t>%。其中：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highlight w:val="none"/>
        </w:rPr>
        <w:t>1.社会保障</w:t>
      </w:r>
      <w:r>
        <w:rPr>
          <w:rFonts w:hint="eastAsia" w:ascii="仿宋_GB2312" w:hAnsi="仿宋_GB2312" w:eastAsia="仿宋_GB2312" w:cs="仿宋_GB2312"/>
          <w:b w:val="0"/>
          <w:bCs w:val="0"/>
          <w:color w:val="000000"/>
          <w:sz w:val="32"/>
          <w:szCs w:val="32"/>
        </w:rPr>
        <w:t>和就业（类）行政事业单位离退休（款）机关事业单位基本养老保险缴费支出（项）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14.22</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.卫生健康（类）行政事业单位医疗（款）事业单位医疗（项）: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6.67</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.自然资源海洋气象等支出（类）自然资源事务（款）</w:t>
      </w:r>
      <w:r>
        <w:rPr>
          <w:rFonts w:hint="eastAsia" w:ascii="仿宋_GB2312" w:hAnsi="仿宋_GB2312" w:eastAsia="仿宋_GB2312" w:cs="仿宋_GB2312"/>
          <w:b w:val="0"/>
          <w:bCs w:val="0"/>
          <w:color w:val="000000"/>
          <w:sz w:val="32"/>
          <w:szCs w:val="32"/>
          <w:lang w:eastAsia="zh-CN"/>
        </w:rPr>
        <w:t>事业</w:t>
      </w:r>
      <w:r>
        <w:rPr>
          <w:rFonts w:hint="eastAsia" w:ascii="仿宋_GB2312" w:hAnsi="仿宋_GB2312" w:eastAsia="仿宋_GB2312" w:cs="仿宋_GB2312"/>
          <w:b w:val="0"/>
          <w:bCs w:val="0"/>
          <w:color w:val="000000"/>
          <w:sz w:val="32"/>
          <w:szCs w:val="32"/>
        </w:rPr>
        <w:t>运行(项）：</w:t>
      </w:r>
      <w:r>
        <w:rPr>
          <w:rFonts w:hint="eastAsia" w:ascii="仿宋_GB2312" w:hAnsi="仿宋_GB2312" w:eastAsia="仿宋_GB2312" w:cs="仿宋_GB2312"/>
          <w:color w:val="000000"/>
          <w:sz w:val="32"/>
          <w:szCs w:val="32"/>
        </w:rPr>
        <w:t>支出决算</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129.42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完成预算100%，决算数与预算数基本持平。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.自然资源海洋气象等支出（类）自然资源事务（款）其他自然资源事务（项）：</w:t>
      </w:r>
      <w:r>
        <w:rPr>
          <w:rFonts w:hint="eastAsia" w:ascii="仿宋_GB2312" w:hAnsi="仿宋_GB2312" w:eastAsia="仿宋_GB2312" w:cs="仿宋_GB2312"/>
          <w:color w:val="000000"/>
          <w:sz w:val="32"/>
          <w:szCs w:val="32"/>
        </w:rPr>
        <w:t>支出决算数</w:t>
      </w:r>
      <w:r>
        <w:rPr>
          <w:rFonts w:hint="eastAsia" w:ascii="仿宋_GB2312" w:hAnsi="仿宋_GB2312" w:eastAsia="仿宋_GB2312" w:cs="仿宋_GB2312"/>
          <w:color w:val="000000"/>
          <w:sz w:val="32"/>
          <w:szCs w:val="32"/>
          <w:lang w:val="en-US" w:eastAsia="zh-CN"/>
        </w:rPr>
        <w:t>39.37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.住房保障（类）住房改革（款）住房公积金（项）: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12.36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.灾害防治及应急管理（类）自然灾害防治（款）地质灾害防治（项）：</w:t>
      </w:r>
      <w:r>
        <w:rPr>
          <w:rFonts w:hint="eastAsia" w:ascii="仿宋_GB2312" w:hAnsi="仿宋_GB2312" w:eastAsia="仿宋_GB2312" w:cs="仿宋_GB2312"/>
          <w:color w:val="000000"/>
          <w:sz w:val="32"/>
          <w:szCs w:val="32"/>
        </w:rPr>
        <w:t>支出决算数377.74万元，完成预算76.69%，决算数小于预算数是因为2020省级地质灾害防治补助资金和地质灾害前期费用及工程款属于跨年度项目，本年度按进度拨款，来年继续支付。</w:t>
      </w:r>
    </w:p>
    <w:p>
      <w:pPr>
        <w:widowControl/>
        <w:spacing w:line="546" w:lineRule="exact"/>
        <w:ind w:firstLine="643" w:firstLineChars="200"/>
        <w:jc w:val="left"/>
        <w:rPr>
          <w:rFonts w:hint="eastAsia" w:ascii="黑体" w:hAnsi="黑体" w:eastAsia="黑体" w:cs="黑体"/>
          <w:color w:val="000000"/>
          <w:sz w:val="32"/>
          <w:szCs w:val="32"/>
        </w:rPr>
      </w:pPr>
      <w:r>
        <w:rPr>
          <w:rFonts w:hint="eastAsia" w:ascii="黑体" w:hAnsi="黑体" w:eastAsia="黑体" w:cs="黑体"/>
          <w:b/>
          <w:bCs/>
          <w:color w:val="000000"/>
          <w:sz w:val="32"/>
          <w:szCs w:val="32"/>
        </w:rPr>
        <w:t>六、一般公共预算财政拨款基本支出决算情况说明</w:t>
      </w:r>
      <w:r>
        <w:rPr>
          <w:rFonts w:hint="eastAsia" w:ascii="黑体" w:hAnsi="黑体" w:eastAsia="黑体" w:cs="黑体"/>
          <w:color w:val="000000"/>
          <w:sz w:val="32"/>
          <w:szCs w:val="32"/>
        </w:rPr>
        <w:tab/>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w:t>
      </w:r>
      <w:bookmarkStart w:id="43" w:name="_GoBack"/>
      <w:bookmarkEnd w:id="43"/>
      <w:r>
        <w:rPr>
          <w:rFonts w:hint="eastAsia" w:ascii="仿宋_GB2312" w:hAnsi="仿宋_GB2312" w:eastAsia="仿宋_GB2312" w:cs="仿宋_GB2312"/>
          <w:color w:val="000000"/>
          <w:sz w:val="32"/>
          <w:szCs w:val="32"/>
        </w:rPr>
        <w:t>政拨款基本支出</w:t>
      </w:r>
      <w:r>
        <w:rPr>
          <w:rFonts w:hint="eastAsia" w:ascii="仿宋_GB2312" w:hAnsi="仿宋_GB2312" w:eastAsia="仿宋_GB2312" w:cs="仿宋_GB2312"/>
          <w:color w:val="000000"/>
          <w:sz w:val="32"/>
          <w:szCs w:val="32"/>
          <w:lang w:val="en-US" w:eastAsia="zh-CN"/>
        </w:rPr>
        <w:t>162.67</w:t>
      </w:r>
      <w:r>
        <w:rPr>
          <w:rFonts w:hint="eastAsia" w:ascii="仿宋_GB2312" w:hAnsi="仿宋_GB2312" w:eastAsia="仿宋_GB2312" w:cs="仿宋_GB2312"/>
          <w:color w:val="000000"/>
          <w:sz w:val="32"/>
          <w:szCs w:val="32"/>
        </w:rPr>
        <w:t>万元，其中：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147.48</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其他社会保障缴费、其他工资福利支出、生活补助、奖励金、住房公积金、其他对个人和家庭的补助支出。</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15.19</w:t>
      </w:r>
      <w:r>
        <w:rPr>
          <w:rFonts w:hint="eastAsia" w:ascii="仿宋_GB2312" w:hAnsi="仿宋_GB2312" w:eastAsia="仿宋_GB2312" w:cs="仿宋_GB2312"/>
          <w:color w:val="000000"/>
          <w:sz w:val="32"/>
          <w:szCs w:val="32"/>
        </w:rPr>
        <w:t>万元，主要包括：办公费、印刷费、手续费、水费、电费、邮电费、物业管理费、差旅费、维修（护）费、会议费、公务接待费、劳务费、工会经费、公务用车运行维护费、税金及附加费用、其他商品和服务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七、“三公”经费财政拨款支出决算情况说明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w:t>
      </w:r>
      <w:r>
        <w:rPr>
          <w:rFonts w:hint="eastAsia" w:ascii="仿宋_GB2312" w:hAnsi="仿宋_GB2312" w:eastAsia="仿宋_GB2312" w:cs="仿宋_GB2312"/>
          <w:color w:val="000000"/>
          <w:sz w:val="32"/>
          <w:szCs w:val="32"/>
          <w:lang w:val="en-US" w:eastAsia="zh-CN"/>
        </w:rPr>
        <w:t>6.47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88.38</w:t>
      </w:r>
      <w:r>
        <w:rPr>
          <w:rFonts w:hint="eastAsia" w:ascii="仿宋_GB2312" w:hAnsi="仿宋_GB2312" w:eastAsia="仿宋_GB2312" w:cs="仿宋_GB2312"/>
          <w:color w:val="000000"/>
          <w:sz w:val="32"/>
          <w:szCs w:val="32"/>
        </w:rPr>
        <w:t>%，决算数小于预算数的主要原因是2020年严格控制经费，压缩各项支出。</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4.92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76.04</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1.55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23.96</w:t>
      </w:r>
      <w:r>
        <w:rPr>
          <w:rFonts w:hint="eastAsia" w:ascii="仿宋_GB2312" w:hAnsi="仿宋_GB2312" w:eastAsia="仿宋_GB2312" w:cs="仿宋_GB2312"/>
          <w:color w:val="000000"/>
          <w:sz w:val="32"/>
          <w:szCs w:val="32"/>
        </w:rPr>
        <w:t>%。具体情况如下：</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1.因公出国（境）经费支出0万元，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与</w:t>
      </w:r>
      <w:r>
        <w:rPr>
          <w:rFonts w:hint="eastAsia" w:ascii="仿宋_GB2312" w:hAnsi="仿宋_GB2312" w:eastAsia="仿宋_GB2312" w:cs="仿宋_GB2312"/>
          <w:color w:val="000000"/>
          <w:sz w:val="32"/>
          <w:szCs w:val="32"/>
        </w:rPr>
        <w:t>2019年度</w:t>
      </w:r>
      <w:r>
        <w:rPr>
          <w:rFonts w:hint="eastAsia" w:ascii="仿宋_GB2312" w:hAnsi="仿宋_GB2312" w:eastAsia="仿宋_GB2312" w:cs="仿宋_GB2312"/>
          <w:color w:val="000000"/>
          <w:sz w:val="32"/>
          <w:szCs w:val="32"/>
          <w:lang w:val="en-US" w:eastAsia="zh-CN"/>
        </w:rPr>
        <w:t>无变化</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sz w:val="32"/>
          <w:szCs w:val="32"/>
        </w:rPr>
        <w:t>单位无因公出国（境）事宜</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4.92</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%。公务用车购置及运行维护费支出决算比2019年增长</w:t>
      </w:r>
      <w:r>
        <w:rPr>
          <w:rFonts w:hint="eastAsia" w:ascii="仿宋_GB2312" w:hAnsi="仿宋_GB2312" w:eastAsia="仿宋_GB2312" w:cs="仿宋_GB2312"/>
          <w:color w:val="000000"/>
          <w:sz w:val="32"/>
          <w:szCs w:val="32"/>
          <w:lang w:val="en-US" w:eastAsia="zh-CN"/>
        </w:rPr>
        <w:t>2.42</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49.19</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因为汛期时间长，业务出车数量增加</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其中：公务用车购置支出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。截至2020年12月底，单位共有公务用车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辆，其中：特种专业用</w:t>
      </w:r>
      <w:r>
        <w:rPr>
          <w:rFonts w:hint="eastAsia" w:ascii="仿宋_GB2312" w:hAnsi="仿宋_GB2312" w:eastAsia="仿宋_GB2312" w:cs="仿宋_GB2312"/>
          <w:color w:val="000000"/>
          <w:sz w:val="32"/>
          <w:szCs w:val="32"/>
          <w:lang w:eastAsia="zh-CN"/>
        </w:rPr>
        <w:t>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公务用车运行维护费支出</w:t>
      </w:r>
      <w:r>
        <w:rPr>
          <w:rFonts w:hint="eastAsia" w:ascii="仿宋_GB2312" w:hAnsi="仿宋_GB2312" w:eastAsia="仿宋_GB2312" w:cs="仿宋_GB2312"/>
          <w:color w:val="000000"/>
          <w:sz w:val="32"/>
          <w:szCs w:val="32"/>
          <w:lang w:val="en-US" w:eastAsia="zh-CN"/>
        </w:rPr>
        <w:t>4.92</w:t>
      </w:r>
      <w:r>
        <w:rPr>
          <w:rFonts w:hint="eastAsia" w:ascii="仿宋_GB2312" w:hAnsi="仿宋_GB2312" w:eastAsia="仿宋_GB2312" w:cs="仿宋_GB2312"/>
          <w:color w:val="000000"/>
          <w:sz w:val="32"/>
          <w:szCs w:val="32"/>
        </w:rPr>
        <w:t>万元。主要用于开展</w:t>
      </w:r>
      <w:r>
        <w:rPr>
          <w:rFonts w:hint="eastAsia" w:ascii="仿宋_GB2312" w:hAnsi="仿宋_GB2312" w:eastAsia="仿宋_GB2312" w:cs="仿宋_GB2312"/>
          <w:color w:val="000000"/>
          <w:sz w:val="32"/>
          <w:szCs w:val="32"/>
          <w:lang w:eastAsia="zh-CN"/>
        </w:rPr>
        <w:t>地质灾害防治督导</w:t>
      </w:r>
      <w:r>
        <w:rPr>
          <w:rFonts w:hint="eastAsia" w:ascii="仿宋_GB2312" w:hAnsi="仿宋_GB2312" w:eastAsia="仿宋_GB2312" w:cs="仿宋_GB2312"/>
          <w:color w:val="000000"/>
          <w:sz w:val="32"/>
          <w:szCs w:val="32"/>
        </w:rPr>
        <w:t>管理工作等所需的公务用车燃料费、维修费、过路过桥费、保险费等支出。</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3.公务接待费支出</w:t>
      </w:r>
      <w:r>
        <w:rPr>
          <w:rFonts w:hint="eastAsia" w:ascii="仿宋_GB2312" w:hAnsi="仿宋_GB2312" w:eastAsia="仿宋_GB2312" w:cs="仿宋_GB2312"/>
          <w:color w:val="000000"/>
          <w:sz w:val="32"/>
          <w:szCs w:val="32"/>
          <w:lang w:val="en-US" w:eastAsia="zh-CN"/>
        </w:rPr>
        <w:t>1.55</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64.58</w:t>
      </w:r>
      <w:r>
        <w:rPr>
          <w:rFonts w:hint="eastAsia" w:ascii="仿宋_GB2312" w:hAnsi="仿宋_GB2312" w:eastAsia="仿宋_GB2312" w:cs="仿宋_GB2312"/>
          <w:color w:val="000000"/>
          <w:sz w:val="32"/>
          <w:szCs w:val="32"/>
        </w:rPr>
        <w:t>%。公务接待费支出决算比2019年减少</w:t>
      </w:r>
      <w:r>
        <w:rPr>
          <w:rFonts w:hint="eastAsia" w:ascii="仿宋_GB2312" w:hAnsi="仿宋_GB2312" w:eastAsia="仿宋_GB2312" w:cs="仿宋_GB2312"/>
          <w:color w:val="000000"/>
          <w:sz w:val="32"/>
          <w:szCs w:val="32"/>
          <w:lang w:val="en-US" w:eastAsia="zh-CN"/>
        </w:rPr>
        <w:t>0.43</w:t>
      </w:r>
      <w:r>
        <w:rPr>
          <w:rFonts w:hint="eastAsia" w:ascii="仿宋_GB2312" w:hAnsi="仿宋_GB2312" w:eastAsia="仿宋_GB2312" w:cs="仿宋_GB2312"/>
          <w:color w:val="000000"/>
          <w:sz w:val="32"/>
          <w:szCs w:val="32"/>
        </w:rPr>
        <w:t>万元，下降17.34%。主要原因是接待过程中严格执行中央八项规定、省委省政府十项规定、市委“六个带头”及其实施细则精神，控制接待标准，限制陪同人数，所以接待费开支有所下降。其中：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国内公务接待支出</w:t>
      </w:r>
      <w:r>
        <w:rPr>
          <w:rFonts w:hint="eastAsia" w:ascii="仿宋_GB2312" w:hAnsi="仿宋_GB2312" w:eastAsia="仿宋_GB2312" w:cs="仿宋_GB2312"/>
          <w:color w:val="000000"/>
          <w:sz w:val="32"/>
          <w:szCs w:val="32"/>
          <w:lang w:val="en-US" w:eastAsia="zh-CN"/>
        </w:rPr>
        <w:t>1.55</w:t>
      </w:r>
      <w:r>
        <w:rPr>
          <w:rFonts w:hint="eastAsia" w:ascii="仿宋_GB2312" w:hAnsi="仿宋_GB2312" w:eastAsia="仿宋_GB2312" w:cs="仿宋_GB2312"/>
          <w:color w:val="000000"/>
          <w:sz w:val="32"/>
          <w:szCs w:val="32"/>
        </w:rPr>
        <w:t>万元，主要用于执行公务、开展业务活动开支的用餐费等。国内公务接待</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批次，1</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1.55</w:t>
      </w:r>
      <w:r>
        <w:rPr>
          <w:rFonts w:hint="eastAsia" w:ascii="仿宋_GB2312" w:hAnsi="仿宋_GB2312" w:eastAsia="仿宋_GB2312" w:cs="仿宋_GB2312"/>
          <w:color w:val="000000"/>
          <w:sz w:val="32"/>
          <w:szCs w:val="32"/>
        </w:rPr>
        <w:t>万元，具体内容包括：省自然资源厅、</w:t>
      </w:r>
      <w:r>
        <w:rPr>
          <w:rFonts w:hint="eastAsia" w:ascii="仿宋_GB2312" w:hAnsi="仿宋_GB2312" w:eastAsia="仿宋_GB2312" w:cs="仿宋_GB2312"/>
          <w:color w:val="000000"/>
          <w:sz w:val="32"/>
          <w:szCs w:val="32"/>
          <w:lang w:eastAsia="zh-CN"/>
        </w:rPr>
        <w:t>省修防院、</w:t>
      </w:r>
      <w:r>
        <w:rPr>
          <w:rFonts w:hint="eastAsia" w:ascii="仿宋_GB2312" w:hAnsi="仿宋_GB2312" w:eastAsia="仿宋_GB2312" w:cs="仿宋_GB2312"/>
          <w:color w:val="000000"/>
          <w:sz w:val="32"/>
          <w:szCs w:val="32"/>
        </w:rPr>
        <w:t>上级部门及县区自然资源局来我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交流汇报等公务工作用餐。</w:t>
      </w:r>
    </w:p>
    <w:p>
      <w:pPr>
        <w:widowControl/>
        <w:spacing w:line="546"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外事接待支出0万元，</w:t>
      </w:r>
      <w:r>
        <w:rPr>
          <w:rFonts w:hint="eastAsia" w:ascii="仿宋_GB2312" w:hAnsi="仿宋_GB2312" w:eastAsia="仿宋_GB2312" w:cs="仿宋_GB2312"/>
          <w:color w:val="000000"/>
          <w:sz w:val="32"/>
          <w:szCs w:val="32"/>
          <w:lang w:val="en-US" w:eastAsia="zh-CN"/>
        </w:rPr>
        <w:t>本单位无外事接待。</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八、政府性基金预算支出决算情况说明</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2020年政府性基金预算拨款支出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 w:hAnsi="仿宋" w:eastAsia="仿宋" w:cs="仿宋"/>
          <w:sz w:val="32"/>
          <w:szCs w:val="32"/>
          <w:lang w:val="en-US" w:eastAsia="zh-CN"/>
        </w:rPr>
        <w:t>2020年本单位未在政府性基金预算拨款安排“三公经费”支出。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九、国有资本经营预算支出决算情况说明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2020年国有资本经营预算拨款支出0万元。</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地质环境监测站</w:t>
      </w:r>
      <w:r>
        <w:rPr>
          <w:rFonts w:hint="eastAsia" w:ascii="仿宋_GB2312" w:hAnsi="仿宋_GB2312" w:eastAsia="仿宋_GB2312" w:cs="仿宋_GB2312"/>
          <w:sz w:val="32"/>
          <w:szCs w:val="32"/>
        </w:rPr>
        <w:t>机关运行经费支出0万元，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无变化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年初未安排预算</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地质环境监测站</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万元、政府采购工程支出0万元、政府采购服务支出0万元。授予中小企业合同金额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截至2020年12月31日，广元市</w:t>
      </w:r>
      <w:r>
        <w:rPr>
          <w:rFonts w:hint="eastAsia" w:ascii="仿宋_GB2312" w:hAnsi="仿宋_GB2312" w:eastAsia="仿宋_GB2312" w:cs="仿宋_GB2312"/>
          <w:color w:val="000000"/>
          <w:sz w:val="32"/>
          <w:szCs w:val="32"/>
          <w:lang w:eastAsia="zh-CN"/>
        </w:rPr>
        <w:t>地质环境监测站</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辆，其中：主要领导干部用车0辆、机要通信用车0辆、应急保障用车0辆、特种专用车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辆。其他用车主要是用于一般公务、业务用车。单价50万元以上通用设备4台（套），单价100万元以上专用设备0台（套）。</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根据预算绩效管理要求，本部门在年初预算编制阶段，组织对</w:t>
      </w:r>
      <w:r>
        <w:rPr>
          <w:rFonts w:hint="eastAsia" w:ascii="仿宋_GB2312" w:hAnsi="仿宋_GB2312" w:eastAsia="仿宋_GB2312" w:cs="仿宋_GB2312"/>
          <w:sz w:val="32"/>
          <w:szCs w:val="32"/>
        </w:rPr>
        <w:t>0个</w:t>
      </w:r>
      <w:r>
        <w:rPr>
          <w:rFonts w:hint="eastAsia" w:ascii="仿宋_GB2312" w:hAnsi="仿宋_GB2312" w:eastAsia="仿宋_GB2312" w:cs="仿宋_GB2312"/>
          <w:color w:val="000000"/>
          <w:sz w:val="32"/>
          <w:szCs w:val="32"/>
        </w:rPr>
        <w:t>项目（项目名称）开展了预算事前绩效评估，对</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个项目编制了绩效目标，预算执行过程中，选取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个项目开展绩效监控，年终执行完毕后，对</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个项目开展了绩效目标完成情况自评。</w:t>
      </w: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r>
        <w:rPr>
          <w:rFonts w:hint="eastAsia" w:ascii="方正小标宋_GBK" w:hAnsi="方正小标宋_GBK" w:eastAsia="方正小标宋_GBK" w:cs="方正小标宋_GBK"/>
          <w:color w:val="000000"/>
          <w:kern w:val="0"/>
          <w:sz w:val="44"/>
          <w:szCs w:val="44"/>
          <w:lang w:bidi="ar"/>
        </w:rPr>
        <w:t>项目绩效目标完成情况表</w:t>
      </w:r>
    </w:p>
    <w:p>
      <w:pPr>
        <w:tabs>
          <w:tab w:val="left" w:pos="312"/>
        </w:tabs>
        <w:spacing w:line="500"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0"/>
          <w:sz w:val="32"/>
          <w:szCs w:val="32"/>
          <w:lang w:bidi="ar"/>
        </w:rPr>
        <w:t>(2020年度)</w:t>
      </w:r>
    </w:p>
    <w:tbl>
      <w:tblPr>
        <w:tblStyle w:val="12"/>
        <w:tblpPr w:leftFromText="180" w:rightFromText="180" w:vertAnchor="text" w:horzAnchor="page" w:tblpXSpec="center" w:tblpY="423"/>
        <w:tblOverlap w:val="never"/>
        <w:tblW w:w="9511" w:type="dxa"/>
        <w:tblInd w:w="0" w:type="dxa"/>
        <w:tblLayout w:type="fixed"/>
        <w:tblCellMar>
          <w:top w:w="0" w:type="dxa"/>
          <w:left w:w="0" w:type="dxa"/>
          <w:bottom w:w="0" w:type="dxa"/>
          <w:right w:w="0" w:type="dxa"/>
        </w:tblCellMar>
      </w:tblPr>
      <w:tblGrid>
        <w:gridCol w:w="855"/>
        <w:gridCol w:w="1247"/>
        <w:gridCol w:w="1237"/>
        <w:gridCol w:w="2565"/>
        <w:gridCol w:w="2031"/>
        <w:gridCol w:w="1576"/>
      </w:tblGrid>
      <w:tr>
        <w:tblPrEx>
          <w:tblCellMar>
            <w:top w:w="0" w:type="dxa"/>
            <w:left w:w="0" w:type="dxa"/>
            <w:bottom w:w="0" w:type="dxa"/>
            <w:right w:w="0" w:type="dxa"/>
          </w:tblCellMar>
        </w:tblPrEx>
        <w:trPr>
          <w:trHeight w:val="276" w:hRule="atLeast"/>
        </w:trPr>
        <w:tc>
          <w:tcPr>
            <w:tcW w:w="3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项目名称</w:t>
            </w:r>
          </w:p>
        </w:tc>
        <w:tc>
          <w:tcPr>
            <w:tcW w:w="6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ind w:firstLine="1760" w:firstLineChars="800"/>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市级地质灾害隐患点管理</w:t>
            </w:r>
          </w:p>
        </w:tc>
      </w:tr>
      <w:tr>
        <w:tblPrEx>
          <w:tblCellMar>
            <w:top w:w="0" w:type="dxa"/>
            <w:left w:w="0" w:type="dxa"/>
            <w:bottom w:w="0" w:type="dxa"/>
            <w:right w:w="0" w:type="dxa"/>
          </w:tblCellMar>
        </w:tblPrEx>
        <w:trPr>
          <w:trHeight w:val="276" w:hRule="atLeast"/>
        </w:trPr>
        <w:tc>
          <w:tcPr>
            <w:tcW w:w="33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预算单位</w:t>
            </w:r>
          </w:p>
        </w:tc>
        <w:tc>
          <w:tcPr>
            <w:tcW w:w="61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广元市地质环境监测站</w:t>
            </w: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预算执行情况(万元)</w:t>
            </w:r>
          </w:p>
        </w:tc>
        <w:tc>
          <w:tcPr>
            <w:tcW w:w="24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预算数:</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38.31</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执行数:</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38.31</w:t>
            </w:r>
          </w:p>
        </w:tc>
      </w:tr>
      <w:tr>
        <w:tblPrEx>
          <w:tblCellMar>
            <w:top w:w="0" w:type="dxa"/>
            <w:left w:w="0" w:type="dxa"/>
            <w:bottom w:w="0" w:type="dxa"/>
            <w:right w:w="0" w:type="dxa"/>
          </w:tblCellMar>
        </w:tblPrEx>
        <w:trPr>
          <w:trHeight w:val="276"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24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其中-财政拨款:</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38.31</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其中-财政拨款:</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38.31</w:t>
            </w:r>
          </w:p>
        </w:tc>
      </w:tr>
      <w:tr>
        <w:tblPrEx>
          <w:tblCellMar>
            <w:top w:w="0" w:type="dxa"/>
            <w:left w:w="0" w:type="dxa"/>
            <w:bottom w:w="0" w:type="dxa"/>
            <w:right w:w="0" w:type="dxa"/>
          </w:tblCellMar>
        </w:tblPrEx>
        <w:trPr>
          <w:trHeight w:val="373"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24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其它资金:</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0</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其它资金:</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spacing w:line="280" w:lineRule="exact"/>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276" w:hRule="atLeast"/>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年度目标完成情况</w:t>
            </w:r>
          </w:p>
        </w:tc>
        <w:tc>
          <w:tcPr>
            <w:tcW w:w="50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预期目标</w:t>
            </w:r>
          </w:p>
        </w:tc>
        <w:tc>
          <w:tcPr>
            <w:tcW w:w="36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实际完成目标</w:t>
            </w:r>
          </w:p>
        </w:tc>
      </w:tr>
      <w:tr>
        <w:tblPrEx>
          <w:tblCellMar>
            <w:top w:w="0" w:type="dxa"/>
            <w:left w:w="0" w:type="dxa"/>
            <w:bottom w:w="0" w:type="dxa"/>
            <w:right w:w="0" w:type="dxa"/>
          </w:tblCellMar>
        </w:tblPrEx>
        <w:trPr>
          <w:trHeight w:val="18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504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落实各项防灾措施，分层次开展培训和应急演练，有效提升全社会防灾避险能力。实现全市地质灾害隐患点群防群策，搞好汛期排查、汛期巡查和讯后核查工作，实现地质灾害隐患点零伤亡。</w:t>
            </w:r>
          </w:p>
        </w:tc>
        <w:tc>
          <w:tcPr>
            <w:tcW w:w="360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落实各项防灾措施，分层次开展宣传培训和避险演练，有效提升全社会防灾避险能力。提高全市地质灾害隐患点群策群防水平，搞好汛期排查，汛中巡查和汛后核查工作，实现地灾隐患点零伤亡。</w:t>
            </w:r>
          </w:p>
        </w:tc>
      </w:tr>
      <w:tr>
        <w:tblPrEx>
          <w:tblCellMar>
            <w:top w:w="0" w:type="dxa"/>
            <w:left w:w="0" w:type="dxa"/>
            <w:bottom w:w="0" w:type="dxa"/>
            <w:right w:w="0" w:type="dxa"/>
          </w:tblCellMar>
        </w:tblPrEx>
        <w:trPr>
          <w:trHeight w:val="767" w:hRule="atLeast"/>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绩效指标完成情况</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一级</w:t>
            </w:r>
          </w:p>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二级指标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三级指标</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预期指标值(包含数字及文字描述)</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实际完成指标值(包含数字及文字描述)</w:t>
            </w:r>
          </w:p>
        </w:tc>
      </w:tr>
      <w:tr>
        <w:tblPrEx>
          <w:tblCellMar>
            <w:top w:w="0" w:type="dxa"/>
            <w:left w:w="0" w:type="dxa"/>
            <w:bottom w:w="0" w:type="dxa"/>
            <w:right w:w="0" w:type="dxa"/>
          </w:tblCellMar>
        </w:tblPrEx>
        <w:trPr>
          <w:trHeight w:val="718"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项目完成指标</w:t>
            </w:r>
          </w:p>
        </w:tc>
        <w:tc>
          <w:tcPr>
            <w:tcW w:w="12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数量指标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指标1：完成全市地质灾害隐患点监测</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&gt;1400次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1431次</w:t>
            </w:r>
          </w:p>
        </w:tc>
      </w:tr>
      <w:tr>
        <w:tblPrEx>
          <w:tblCellMar>
            <w:top w:w="0" w:type="dxa"/>
            <w:left w:w="0" w:type="dxa"/>
            <w:bottom w:w="0" w:type="dxa"/>
            <w:right w:w="0" w:type="dxa"/>
          </w:tblCellMar>
        </w:tblPrEx>
        <w:trPr>
          <w:trHeight w:val="632"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项目完成指标</w:t>
            </w:r>
          </w:p>
        </w:tc>
        <w:tc>
          <w:tcPr>
            <w:tcW w:w="1237"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指标2：完成隐患点宣传培训、避险演练</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&gt;1400次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1431次</w:t>
            </w:r>
          </w:p>
        </w:tc>
      </w:tr>
      <w:tr>
        <w:tblPrEx>
          <w:tblCellMar>
            <w:top w:w="0" w:type="dxa"/>
            <w:left w:w="0" w:type="dxa"/>
            <w:bottom w:w="0" w:type="dxa"/>
            <w:right w:w="0" w:type="dxa"/>
          </w:tblCellMar>
        </w:tblPrEx>
        <w:trPr>
          <w:trHeight w:val="599"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项目完成指标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质量指标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指标1：确保隐患点零伤亡</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100%</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100%</w:t>
            </w:r>
          </w:p>
        </w:tc>
      </w:tr>
      <w:tr>
        <w:tblPrEx>
          <w:tblCellMar>
            <w:top w:w="0" w:type="dxa"/>
            <w:left w:w="0" w:type="dxa"/>
            <w:bottom w:w="0" w:type="dxa"/>
            <w:right w:w="0" w:type="dxa"/>
          </w:tblCellMar>
        </w:tblPrEx>
        <w:trPr>
          <w:trHeight w:val="638"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项目完成指标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时效指标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指标1：完成时间</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2020年12月前</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2020年12月前</w:t>
            </w:r>
          </w:p>
        </w:tc>
      </w:tr>
      <w:tr>
        <w:tblPrEx>
          <w:tblCellMar>
            <w:top w:w="0" w:type="dxa"/>
            <w:left w:w="0" w:type="dxa"/>
            <w:bottom w:w="0" w:type="dxa"/>
            <w:right w:w="0" w:type="dxa"/>
          </w:tblCellMar>
        </w:tblPrEx>
        <w:trPr>
          <w:trHeight w:val="875"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项目完成指标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成本指标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指标1：隐患点管理监测</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220元/次</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220元/次</w:t>
            </w:r>
          </w:p>
        </w:tc>
      </w:tr>
      <w:tr>
        <w:tblPrEx>
          <w:tblCellMar>
            <w:top w:w="0" w:type="dxa"/>
            <w:left w:w="0" w:type="dxa"/>
            <w:bottom w:w="0" w:type="dxa"/>
            <w:right w:w="0" w:type="dxa"/>
          </w:tblCellMar>
        </w:tblPrEx>
        <w:trPr>
          <w:trHeight w:val="58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项目完成指标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成本指标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指标2：地灾隐患点宣传培训、避险演练</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1600人*50元/人</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1600人*50元/人</w:t>
            </w:r>
          </w:p>
        </w:tc>
      </w:tr>
      <w:tr>
        <w:tblPrEx>
          <w:tblCellMar>
            <w:top w:w="0" w:type="dxa"/>
            <w:left w:w="0" w:type="dxa"/>
            <w:bottom w:w="0" w:type="dxa"/>
            <w:right w:w="0" w:type="dxa"/>
          </w:tblCellMar>
        </w:tblPrEx>
        <w:trPr>
          <w:trHeight w:val="595"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社会效益</w:t>
            </w:r>
          </w:p>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社会效益</w:t>
            </w:r>
          </w:p>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指标1：对社会的促进作用</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保障社会经济发展</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保障社会经济发展</w:t>
            </w:r>
          </w:p>
        </w:tc>
      </w:tr>
      <w:tr>
        <w:tblPrEx>
          <w:tblCellMar>
            <w:top w:w="0" w:type="dxa"/>
            <w:left w:w="0" w:type="dxa"/>
            <w:bottom w:w="0" w:type="dxa"/>
            <w:right w:w="0" w:type="dxa"/>
          </w:tblCellMar>
        </w:tblPrEx>
        <w:trPr>
          <w:trHeight w:val="595"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生态效益</w:t>
            </w:r>
          </w:p>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指标</w:t>
            </w:r>
          </w:p>
        </w:tc>
        <w:tc>
          <w:tcPr>
            <w:tcW w:w="12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生态效益</w:t>
            </w:r>
          </w:p>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指标1：对生态的促进作用</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生态环境得以恢复和提升</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生态环境得以恢复和提升</w:t>
            </w:r>
          </w:p>
        </w:tc>
      </w:tr>
      <w:tr>
        <w:tblPrEx>
          <w:tblCellMar>
            <w:top w:w="0" w:type="dxa"/>
            <w:left w:w="0" w:type="dxa"/>
            <w:bottom w:w="0" w:type="dxa"/>
            <w:right w:w="0" w:type="dxa"/>
          </w:tblCellMar>
        </w:tblPrEx>
        <w:trPr>
          <w:trHeight w:val="65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可持续影响</w:t>
            </w:r>
          </w:p>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指标</w:t>
            </w:r>
          </w:p>
        </w:tc>
        <w:tc>
          <w:tcPr>
            <w:tcW w:w="1237" w:type="dxa"/>
            <w:tcBorders>
              <w:top w:val="single" w:color="000000" w:sz="4" w:space="0"/>
              <w:left w:val="single" w:color="000000" w:sz="4" w:space="0"/>
              <w:bottom w:val="single" w:color="auto"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可持续影响</w:t>
            </w:r>
          </w:p>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指标1：地质灾害减少</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地质灾害点周边群众安全持续生活、生产</w:t>
            </w: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地质灾害点周边群众安全持续生活、生产</w:t>
            </w:r>
          </w:p>
        </w:tc>
      </w:tr>
      <w:tr>
        <w:tblPrEx>
          <w:tblCellMar>
            <w:top w:w="0" w:type="dxa"/>
            <w:left w:w="0" w:type="dxa"/>
            <w:bottom w:w="0" w:type="dxa"/>
            <w:right w:w="0" w:type="dxa"/>
          </w:tblCellMar>
        </w:tblPrEx>
        <w:trPr>
          <w:trHeight w:val="603"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hint="eastAsia" w:ascii="仿宋_GB2312" w:hAnsi="仿宋_GB2312" w:eastAsia="仿宋_GB2312" w:cs="仿宋_GB2312"/>
                <w:color w:val="000000"/>
                <w:sz w:val="22"/>
                <w:szCs w:val="22"/>
              </w:rPr>
            </w:pP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满意度</w:t>
            </w:r>
          </w:p>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指标</w:t>
            </w:r>
          </w:p>
        </w:tc>
        <w:tc>
          <w:tcPr>
            <w:tcW w:w="1237" w:type="dxa"/>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满意度</w:t>
            </w:r>
          </w:p>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指标</w:t>
            </w:r>
          </w:p>
        </w:tc>
        <w:tc>
          <w:tcPr>
            <w:tcW w:w="256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指标1：地灾周边群众满意度</w:t>
            </w:r>
          </w:p>
        </w:tc>
        <w:tc>
          <w:tcPr>
            <w:tcW w:w="203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100%</w:t>
            </w:r>
          </w:p>
          <w:p>
            <w:pPr>
              <w:widowControl/>
              <w:spacing w:line="280" w:lineRule="exact"/>
              <w:jc w:val="center"/>
              <w:textAlignment w:val="center"/>
              <w:rPr>
                <w:rFonts w:hint="eastAsia" w:ascii="仿宋_GB2312" w:hAnsi="仿宋_GB2312" w:eastAsia="仿宋_GB2312" w:cs="仿宋_GB2312"/>
                <w:color w:val="000000"/>
                <w:sz w:val="22"/>
                <w:szCs w:val="22"/>
              </w:rPr>
            </w:pPr>
          </w:p>
        </w:tc>
        <w:tc>
          <w:tcPr>
            <w:tcW w:w="157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spacing w:line="28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100%</w:t>
            </w:r>
          </w:p>
        </w:tc>
      </w:tr>
    </w:tbl>
    <w:p>
      <w:pPr>
        <w:spacing w:line="580" w:lineRule="exact"/>
        <w:ind w:left="630"/>
        <w:rPr>
          <w:rFonts w:hint="eastAsia" w:ascii="仿宋_GB2312" w:hAnsi="仿宋_GB2312" w:eastAsia="仿宋_GB2312" w:cs="仿宋_GB2312"/>
          <w:sz w:val="32"/>
          <w:szCs w:val="32"/>
        </w:rPr>
      </w:pPr>
    </w:p>
    <w:p>
      <w:pPr>
        <w:spacing w:line="58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广元市</w:t>
      </w:r>
      <w:r>
        <w:rPr>
          <w:rFonts w:hint="eastAsia" w:ascii="仿宋_GB2312" w:hAnsi="仿宋_GB2312" w:eastAsia="仿宋_GB2312" w:cs="仿宋_GB2312"/>
          <w:color w:val="000000"/>
          <w:sz w:val="32"/>
          <w:szCs w:val="32"/>
          <w:lang w:eastAsia="zh-CN"/>
        </w:rPr>
        <w:t>地质环境监测站</w:t>
      </w:r>
      <w:r>
        <w:rPr>
          <w:rFonts w:hint="eastAsia" w:ascii="仿宋_GB2312" w:hAnsi="仿宋_GB2312" w:eastAsia="仿宋_GB2312" w:cs="仿宋_GB2312"/>
          <w:color w:val="000000"/>
          <w:sz w:val="32"/>
          <w:szCs w:val="32"/>
        </w:rPr>
        <w:t>按要求对2020年部门整体支出绩效评价情况开展了自评，《广元市</w:t>
      </w:r>
      <w:r>
        <w:rPr>
          <w:rFonts w:hint="eastAsia" w:ascii="仿宋_GB2312" w:hAnsi="仿宋_GB2312" w:eastAsia="仿宋_GB2312" w:cs="仿宋_GB2312"/>
          <w:color w:val="000000"/>
          <w:sz w:val="32"/>
          <w:szCs w:val="32"/>
          <w:lang w:eastAsia="zh-CN"/>
        </w:rPr>
        <w:t>地质环境监测站</w:t>
      </w:r>
      <w:r>
        <w:rPr>
          <w:rFonts w:hint="eastAsia" w:ascii="仿宋_GB2312" w:hAnsi="仿宋_GB2312" w:eastAsia="仿宋_GB2312" w:cs="仿宋_GB2312"/>
          <w:color w:val="000000"/>
          <w:sz w:val="32"/>
          <w:szCs w:val="32"/>
        </w:rPr>
        <w:t>2020年部门整体支出绩效评价报告》见附件（附件1）。</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本部门自行组织对“</w:t>
      </w:r>
      <w:r>
        <w:rPr>
          <w:rFonts w:hint="eastAsia" w:ascii="仿宋_GB2312" w:hAnsi="仿宋_GB2312" w:eastAsia="仿宋_GB2312" w:cs="仿宋_GB2312"/>
          <w:color w:val="000000"/>
          <w:sz w:val="32"/>
          <w:szCs w:val="32"/>
          <w:lang w:eastAsia="zh-CN"/>
        </w:rPr>
        <w:t>市级地质灾害隐患点</w:t>
      </w:r>
      <w:r>
        <w:rPr>
          <w:rFonts w:hint="eastAsia" w:ascii="仿宋_GB2312" w:hAnsi="仿宋_GB2312" w:eastAsia="仿宋_GB2312" w:cs="仿宋_GB2312"/>
          <w:color w:val="000000"/>
          <w:sz w:val="32"/>
          <w:szCs w:val="32"/>
        </w:rPr>
        <w:t>”项目开展了绩效</w:t>
      </w:r>
      <w:r>
        <w:rPr>
          <w:rFonts w:hint="eastAsia" w:ascii="仿宋_GB2312" w:hAnsi="仿宋_GB2312" w:eastAsia="仿宋_GB2312" w:cs="仿宋_GB2312"/>
          <w:color w:val="000000"/>
          <w:sz w:val="32"/>
          <w:szCs w:val="32"/>
          <w:lang w:eastAsia="zh-CN"/>
        </w:rPr>
        <w:t>自</w:t>
      </w:r>
      <w:r>
        <w:rPr>
          <w:rFonts w:hint="eastAsia" w:ascii="仿宋_GB2312" w:hAnsi="仿宋_GB2312" w:eastAsia="仿宋_GB2312" w:cs="仿宋_GB2312"/>
          <w:color w:val="000000"/>
          <w:sz w:val="32"/>
          <w:szCs w:val="32"/>
        </w:rPr>
        <w:t>评，</w:t>
      </w:r>
      <w:r>
        <w:rPr>
          <w:rFonts w:hint="eastAsia" w:ascii="仿宋_GB2312" w:hAnsi="仿宋_GB2312" w:eastAsia="仿宋_GB2312" w:cs="仿宋_GB2312"/>
          <w:color w:val="000000"/>
          <w:sz w:val="32"/>
          <w:szCs w:val="32"/>
          <w:lang w:eastAsia="zh-CN"/>
        </w:rPr>
        <w:t>《市级地质灾害隐患点管理项目</w:t>
      </w:r>
      <w:r>
        <w:rPr>
          <w:rFonts w:hint="default" w:ascii="仿宋_GB2312" w:hAnsi="仿宋_GB2312" w:eastAsia="仿宋_GB2312" w:cs="仿宋_GB2312"/>
          <w:color w:val="000000"/>
          <w:sz w:val="32"/>
          <w:szCs w:val="32"/>
          <w:lang w:eastAsia="zh-CN"/>
        </w:rPr>
        <w:t>2020</w:t>
      </w:r>
      <w:r>
        <w:rPr>
          <w:rFonts w:hint="eastAsia" w:ascii="仿宋_GB2312" w:hAnsi="仿宋_GB2312" w:eastAsia="仿宋_GB2312" w:cs="仿宋_GB2312"/>
          <w:color w:val="000000"/>
          <w:sz w:val="32"/>
          <w:szCs w:val="32"/>
          <w:lang w:eastAsia="zh-CN"/>
        </w:rPr>
        <w:t>年绩效评价报告》见附件（附件2）。</w:t>
      </w:r>
    </w:p>
    <w:p>
      <w:pPr>
        <w:spacing w:line="580" w:lineRule="exact"/>
        <w:ind w:firstLine="640" w:firstLineChars="200"/>
        <w:rPr>
          <w:rFonts w:hint="eastAsia" w:ascii="仿宋_GB2312" w:hAnsi="仿宋_GB2312" w:eastAsia="仿宋_GB2312" w:cs="仿宋_GB2312"/>
          <w:color w:val="000000"/>
          <w:sz w:val="32"/>
          <w:szCs w:val="32"/>
        </w:rPr>
      </w:pPr>
    </w:p>
    <w:p>
      <w:pPr>
        <w:spacing w:line="580" w:lineRule="exact"/>
        <w:jc w:val="center"/>
        <w:rPr>
          <w:rStyle w:val="37"/>
          <w:rFonts w:hint="eastAsia" w:ascii="方正小标宋_GBK" w:hAnsi="方正小标宋_GBK" w:eastAsia="方正小标宋_GBK" w:cs="方正小标宋_GBK"/>
          <w:b w:val="0"/>
          <w:bCs w:val="0"/>
        </w:rPr>
      </w:pPr>
      <w:r>
        <w:rPr>
          <w:rFonts w:hint="eastAsia" w:ascii="仿宋_GB2312" w:hAnsi="仿宋_GB2312" w:eastAsia="仿宋_GB2312" w:cs="仿宋_GB2312"/>
          <w:color w:val="000000"/>
          <w:sz w:val="32"/>
          <w:szCs w:val="32"/>
        </w:rPr>
        <w:br w:type="page"/>
      </w:r>
      <w:bookmarkStart w:id="38" w:name="_Toc15396613"/>
      <w:bookmarkStart w:id="39" w:name="_Toc15377225"/>
      <w:r>
        <w:rPr>
          <w:rStyle w:val="37"/>
          <w:rFonts w:hint="eastAsia" w:ascii="方正小标宋_GBK" w:hAnsi="方正小标宋_GBK" w:eastAsia="方正小标宋_GBK" w:cs="方正小标宋_GBK"/>
          <w:b w:val="0"/>
          <w:bCs w:val="0"/>
        </w:rPr>
        <w:t>第三部分  名词解释</w:t>
      </w:r>
      <w:bookmarkEnd w:id="38"/>
      <w:bookmarkEnd w:id="39"/>
    </w:p>
    <w:p>
      <w:pPr>
        <w:spacing w:line="580" w:lineRule="exact"/>
        <w:jc w:val="left"/>
        <w:rPr>
          <w:rFonts w:ascii="宋体"/>
          <w:b/>
          <w:color w:val="000000"/>
          <w:sz w:val="44"/>
          <w:szCs w:val="44"/>
        </w:rPr>
      </w:pP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4"/>
          <w:rFonts w:hint="eastAsia" w:ascii="仿宋_GB2312" w:hAnsi="仿宋_GB2312" w:eastAsia="仿宋_GB2312" w:cs="仿宋_GB2312"/>
          <w:b w:val="0"/>
          <w:sz w:val="32"/>
          <w:szCs w:val="32"/>
        </w:rPr>
        <w:t>指机关事业单位</w:t>
      </w:r>
      <w:r>
        <w:rPr>
          <w:rStyle w:val="14"/>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4"/>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3" w:firstLineChars="200"/>
        <w:rPr>
          <w:rStyle w:val="14"/>
          <w:rFonts w:hint="eastAsia" w:ascii="仿宋_GB2312" w:hAnsi="仿宋_GB2312" w:eastAsia="仿宋_GB2312" w:cs="仿宋_GB2312"/>
          <w:b w:val="0"/>
          <w:sz w:val="32"/>
          <w:szCs w:val="32"/>
        </w:rPr>
      </w:pPr>
      <w:r>
        <w:rPr>
          <w:rStyle w:val="14"/>
          <w:rFonts w:hint="eastAsia" w:ascii="仿宋_GB2312" w:hAnsi="仿宋_GB2312" w:eastAsia="仿宋_GB2312" w:cs="仿宋_GB2312"/>
          <w:bCs/>
          <w:color w:val="000000"/>
          <w:sz w:val="32"/>
          <w:szCs w:val="32"/>
        </w:rPr>
        <w:t>7.社会保障和就业（类）抚恤（款）死亡抚恤（项）：指</w:t>
      </w:r>
      <w:r>
        <w:rPr>
          <w:rStyle w:val="14"/>
          <w:rFonts w:hint="eastAsia" w:ascii="仿宋_GB2312" w:hAnsi="仿宋_GB2312" w:eastAsia="仿宋_GB2312" w:cs="仿宋_GB2312"/>
          <w:b w:val="0"/>
          <w:color w:val="000000"/>
          <w:sz w:val="32"/>
          <w:szCs w:val="32"/>
        </w:rPr>
        <w:t>反映按规定用于烈士牺牲、病故人员家属的一次性和定期抚恤金以及丧葬补助费。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（类）行政事业单位医疗（款）行政单位医疗（项）</w:t>
      </w:r>
      <w:r>
        <w:rPr>
          <w:rFonts w:hint="eastAsia" w:ascii="仿宋_GB2312" w:hAnsi="仿宋_GB2312" w:eastAsia="仿宋_GB2312" w:cs="仿宋_GB2312"/>
          <w:color w:val="000000"/>
          <w:sz w:val="32"/>
          <w:szCs w:val="32"/>
        </w:rPr>
        <w:t>：指</w:t>
      </w:r>
      <w:r>
        <w:rPr>
          <w:rStyle w:val="14"/>
          <w:rFonts w:hint="eastAsia" w:ascii="仿宋_GB2312" w:hAnsi="仿宋_GB2312" w:eastAsia="仿宋_GB2312" w:cs="仿宋_GB2312"/>
          <w:b w:val="0"/>
          <w:sz w:val="32"/>
          <w:szCs w:val="32"/>
        </w:rPr>
        <w:t>局机关</w:t>
      </w:r>
      <w:r>
        <w:rPr>
          <w:rFonts w:hint="eastAsia" w:ascii="仿宋_GB2312" w:hAnsi="仿宋_GB2312" w:eastAsia="仿宋_GB2312" w:cs="仿宋_GB2312"/>
          <w:sz w:val="32"/>
          <w:szCs w:val="32"/>
          <w:shd w:val="clear" w:color="auto" w:fill="FFFFFF"/>
        </w:rPr>
        <w:t>用于缴纳单位基本医疗保险支出。</w:t>
      </w:r>
    </w:p>
    <w:p>
      <w:pPr>
        <w:spacing w:line="580" w:lineRule="exact"/>
        <w:ind w:firstLine="640" w:firstLineChars="200"/>
        <w:rPr>
          <w:rStyle w:val="14"/>
          <w:rFonts w:hint="eastAsia" w:ascii="仿宋_GB2312" w:hAnsi="仿宋_GB2312" w:eastAsia="仿宋_GB2312" w:cs="仿宋_GB2312"/>
          <w:b w:val="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bCs/>
          <w:color w:val="000000"/>
          <w:sz w:val="32"/>
          <w:szCs w:val="32"/>
        </w:rPr>
        <w:t>城区社区（类）其他城区社区支出（款）土地开发及出让支出（项）</w:t>
      </w:r>
      <w:r>
        <w:rPr>
          <w:rFonts w:hint="eastAsia" w:ascii="仿宋_GB2312" w:hAnsi="仿宋_GB2312" w:eastAsia="仿宋_GB2312" w:cs="仿宋_GB2312"/>
          <w:color w:val="000000"/>
          <w:sz w:val="32"/>
          <w:szCs w:val="32"/>
        </w:rPr>
        <w:t>：指土地开发及出让项目发生的业务支出、土地拆迁补偿支出、土地出让业务支出。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b/>
          <w:bCs/>
          <w:color w:val="000000"/>
          <w:sz w:val="32"/>
          <w:szCs w:val="32"/>
        </w:rPr>
        <w:t>自然资源海洋气象等（类）自然资源事务（款）行政运行（项）：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局行政机关用于保障机构正常运行、开展日常工作的基本支出。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b/>
          <w:bCs/>
          <w:color w:val="000000"/>
          <w:sz w:val="32"/>
          <w:szCs w:val="32"/>
        </w:rPr>
        <w:t>自然资源海洋气象等（类）自然资源事务（款)一般行政管理事务行（项）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局机关及事业单位开展自然资源综合业务专门性自然资源管理工作的项目支出。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shd w:val="clear" w:color="auto" w:fill="FFFFFF"/>
        </w:rPr>
        <w:t>14.</w:t>
      </w:r>
      <w:r>
        <w:rPr>
          <w:rStyle w:val="14"/>
          <w:rFonts w:hint="eastAsia" w:ascii="仿宋_GB2312" w:hAnsi="仿宋_GB2312" w:eastAsia="仿宋_GB2312" w:cs="仿宋_GB2312"/>
          <w:b/>
          <w:bCs w:val="0"/>
          <w:color w:val="000000"/>
          <w:sz w:val="32"/>
          <w:szCs w:val="32"/>
        </w:rPr>
        <w:t>自然资源海洋气象等支出（类）自然资源事务（款）自然资源利用与保护（项）</w:t>
      </w:r>
      <w:r>
        <w:rPr>
          <w:rStyle w:val="14"/>
          <w:rFonts w:hint="eastAsia" w:ascii="仿宋_GB2312" w:hAnsi="仿宋_GB2312" w:eastAsia="仿宋_GB2312" w:cs="仿宋_GB2312"/>
          <w:b w:val="0"/>
          <w:bCs/>
          <w:color w:val="000000"/>
          <w:sz w:val="32"/>
          <w:szCs w:val="32"/>
        </w:rPr>
        <w:t>：指地质环境治理和土地整治方面的支出。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15.</w:t>
      </w:r>
      <w:r>
        <w:rPr>
          <w:rStyle w:val="14"/>
          <w:rFonts w:hint="eastAsia" w:ascii="仿宋_GB2312" w:hAnsi="仿宋_GB2312" w:eastAsia="仿宋_GB2312" w:cs="仿宋_GB2312"/>
          <w:color w:val="000000"/>
          <w:sz w:val="32"/>
          <w:szCs w:val="32"/>
        </w:rPr>
        <w:t>自然资源海洋气象等支出（类）自然资源事务（款）地质勘察与矿产资源管理（项）</w:t>
      </w:r>
      <w:r>
        <w:rPr>
          <w:rStyle w:val="14"/>
          <w:rFonts w:hint="eastAsia" w:ascii="仿宋_GB2312" w:hAnsi="仿宋_GB2312" w:eastAsia="仿宋_GB2312" w:cs="仿宋_GB2312"/>
          <w:b w:val="0"/>
          <w:bCs/>
          <w:color w:val="000000"/>
          <w:sz w:val="32"/>
          <w:szCs w:val="32"/>
        </w:rPr>
        <w:t>：指矿业权管理、矿产资源合理利用和保护方面的支出。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16.</w:t>
      </w:r>
      <w:r>
        <w:rPr>
          <w:rStyle w:val="14"/>
          <w:rFonts w:hint="eastAsia" w:ascii="仿宋_GB2312" w:hAnsi="仿宋_GB2312" w:eastAsia="仿宋_GB2312" w:cs="仿宋_GB2312"/>
          <w:color w:val="000000"/>
          <w:sz w:val="32"/>
          <w:szCs w:val="32"/>
        </w:rPr>
        <w:t>自然资源海洋气象等支出（类）自然资源事务（款）其他自然资源事务（项）</w:t>
      </w:r>
      <w:r>
        <w:rPr>
          <w:rStyle w:val="14"/>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17.</w:t>
      </w:r>
      <w:r>
        <w:rPr>
          <w:rStyle w:val="14"/>
          <w:rFonts w:hint="eastAsia" w:ascii="仿宋_GB2312" w:hAnsi="仿宋_GB2312" w:eastAsia="仿宋_GB2312" w:cs="仿宋_GB2312"/>
          <w:color w:val="000000"/>
          <w:sz w:val="32"/>
          <w:szCs w:val="32"/>
        </w:rPr>
        <w:t>灾害防治及应急管理（类）自然灾害防治（款）地质灾害防治（项）</w:t>
      </w:r>
      <w:r>
        <w:rPr>
          <w:rStyle w:val="14"/>
          <w:rFonts w:hint="eastAsia" w:ascii="仿宋_GB2312" w:hAnsi="仿宋_GB2312" w:eastAsia="仿宋_GB2312" w:cs="仿宋_GB2312"/>
          <w:b w:val="0"/>
          <w:bCs/>
          <w:color w:val="000000"/>
          <w:sz w:val="32"/>
          <w:szCs w:val="32"/>
        </w:rPr>
        <w:t>：指用于地质灾害防治方面的支出。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left="319" w:leftChars="15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b/>
          <w:bCs/>
          <w:color w:val="000000"/>
          <w:sz w:val="32"/>
          <w:szCs w:val="32"/>
        </w:rPr>
        <w:t>住房保障（类）住房改革支出（款）购房补贴（项）：</w:t>
      </w:r>
      <w:r>
        <w:rPr>
          <w:rFonts w:hint="eastAsia" w:ascii="仿宋_GB2312" w:hAnsi="仿宋_GB2312" w:eastAsia="仿宋_GB2312" w:cs="仿宋_GB2312"/>
          <w:color w:val="000000"/>
          <w:sz w:val="32"/>
          <w:szCs w:val="32"/>
        </w:rPr>
        <w:t>印记的研究生和选调生的安家补助费。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37"/>
          <w:rFonts w:ascii="黑体" w:hAnsi="黑体" w:eastAsia="黑体"/>
          <w:b w:val="0"/>
        </w:rPr>
      </w:pPr>
      <w:bookmarkStart w:id="40" w:name="_Toc15377226"/>
      <w:r>
        <w:rPr>
          <w:rFonts w:ascii="宋体"/>
          <w:b/>
          <w:color w:val="000000"/>
          <w:sz w:val="44"/>
          <w:szCs w:val="44"/>
        </w:rPr>
        <w:br w:type="page"/>
      </w:r>
      <w:bookmarkStart w:id="41" w:name="_Toc15396614"/>
      <w:r>
        <w:rPr>
          <w:rFonts w:hint="eastAsia" w:ascii="黑体" w:hAnsi="黑体" w:eastAsia="黑体"/>
          <w:color w:val="000000"/>
          <w:sz w:val="44"/>
          <w:szCs w:val="44"/>
        </w:rPr>
        <w:t>第</w:t>
      </w:r>
      <w:r>
        <w:rPr>
          <w:rStyle w:val="37"/>
          <w:rFonts w:hint="eastAsia" w:ascii="黑体" w:hAnsi="黑体" w:eastAsia="黑体"/>
          <w:b w:val="0"/>
        </w:rPr>
        <w:t>四部分  附件</w:t>
      </w:r>
      <w:bookmarkEnd w:id="4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hint="eastAsia" w:ascii="方正小标宋_GBK" w:eastAsia="方正小标宋_GBK"/>
          <w:bCs/>
          <w:sz w:val="36"/>
          <w:szCs w:val="36"/>
          <w:lang w:eastAsia="zh-CN"/>
        </w:rPr>
      </w:pPr>
      <w:r>
        <w:rPr>
          <w:rFonts w:hint="eastAsia" w:ascii="方正小标宋_GBK" w:eastAsia="方正小标宋_GBK"/>
          <w:bCs/>
          <w:sz w:val="36"/>
          <w:szCs w:val="36"/>
          <w:lang w:eastAsia="zh-CN"/>
        </w:rPr>
        <w:t>广元市地质环境监测站</w:t>
      </w:r>
    </w:p>
    <w:p>
      <w:pPr>
        <w:spacing w:line="560" w:lineRule="exact"/>
        <w:jc w:val="center"/>
        <w:outlineLvl w:val="0"/>
        <w:rPr>
          <w:rFonts w:hint="eastAsia" w:ascii="方正小标宋_GBK" w:eastAsia="方正小标宋_GBK"/>
          <w:bCs/>
          <w:sz w:val="36"/>
          <w:szCs w:val="36"/>
        </w:rPr>
      </w:pPr>
      <w:r>
        <w:rPr>
          <w:rFonts w:hint="eastAsia" w:ascii="方正小标宋_GBK" w:eastAsia="方正小标宋_GBK"/>
          <w:bCs/>
          <w:sz w:val="36"/>
          <w:szCs w:val="36"/>
          <w:lang w:val="en-US" w:eastAsia="zh-CN"/>
        </w:rPr>
        <w:t>2020</w:t>
      </w:r>
      <w:r>
        <w:rPr>
          <w:rFonts w:hint="eastAsia" w:ascii="方正小标宋_GBK" w:eastAsia="方正小标宋_GBK"/>
          <w:bCs/>
          <w:sz w:val="36"/>
          <w:szCs w:val="36"/>
        </w:rPr>
        <w:t>年部门支出绩效评价自评报告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一、部门概况</w:t>
      </w:r>
    </w:p>
    <w:p>
      <w:pPr>
        <w:pStyle w:val="5"/>
        <w:adjustRightInd w:val="0"/>
        <w:snapToGrid w:val="0"/>
        <w:spacing w:before="93" w:line="580" w:lineRule="exact"/>
        <w:ind w:firstLine="672" w:firstLineChars="210"/>
        <w:outlineLvl w:val="2"/>
        <w:rPr>
          <w:rFonts w:hint="eastAsia" w:ascii="楷体_GB2312" w:eastAsia="楷体_GB2312"/>
          <w:bCs/>
          <w:sz w:val="32"/>
          <w:szCs w:val="32"/>
        </w:rPr>
      </w:pPr>
      <w:r>
        <w:rPr>
          <w:rFonts w:hint="eastAsia" w:ascii="楷体_GB2312" w:eastAsia="楷体_GB2312"/>
          <w:sz w:val="32"/>
          <w:szCs w:val="32"/>
        </w:rPr>
        <w:t>(</w:t>
      </w:r>
      <w:r>
        <w:rPr>
          <w:rFonts w:hint="eastAsia" w:ascii="楷体_GB2312" w:eastAsia="楷体_GB2312"/>
          <w:bCs/>
          <w:sz w:val="32"/>
          <w:szCs w:val="32"/>
        </w:rPr>
        <w:t>一）基本职能</w:t>
      </w:r>
    </w:p>
    <w:p>
      <w:pPr>
        <w:widowControl/>
        <w:adjustRightInd w:val="0"/>
        <w:snapToGrid w:val="0"/>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1.组织编制和实施全市地质环境监测工作规划、计划；参与编制地质灾害环境资源规划；对各县（区、事务中心）地质环境监测站（股）进行业务指导。</w:t>
      </w:r>
    </w:p>
    <w:p>
      <w:pPr>
        <w:widowControl/>
        <w:adjustRightInd w:val="0"/>
        <w:snapToGrid w:val="0"/>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2.负责提出地质灾害预警工程项目的设置建议，承担重大地质灾害的监测、调查研究、评价和防治工作；开展地质灾害预测预报工作，推进和建立全市地质灾害“群测群防、群专结合”的监测网络体系。</w:t>
      </w:r>
    </w:p>
    <w:p>
      <w:pPr>
        <w:widowControl/>
        <w:adjustRightInd w:val="0"/>
        <w:snapToGrid w:val="0"/>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3.提供地质环境监测管理对策建议；编制地质环境、地质灾害、地质遗迹、地下水资源的年报、通报和公报；建立和完善全市突发性地质灾害的速报制度。</w:t>
      </w:r>
    </w:p>
    <w:p>
      <w:pPr>
        <w:widowControl/>
        <w:adjustRightInd w:val="0"/>
        <w:snapToGrid w:val="0"/>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4.承担全市地质环境监测数据和资料的接收、汇总、分析和处理以及全市地质环境信息系统的建设、管理，向广元自然资源局及省国土空间生态修复及地质灾害防治研究院提交各类监测成果。</w:t>
      </w:r>
    </w:p>
    <w:p>
      <w:pPr>
        <w:widowControl/>
        <w:adjustRightInd w:val="0"/>
        <w:snapToGrid w:val="0"/>
        <w:spacing w:line="500" w:lineRule="exact"/>
        <w:ind w:firstLine="600" w:firstLineChars="200"/>
        <w:jc w:val="left"/>
        <w:rPr>
          <w:rFonts w:hint="eastAsia" w:ascii="仿宋_GB2312" w:hAnsi="仿宋_GB2312" w:eastAsia="仿宋_GB2312" w:cs="仿宋_GB2312"/>
          <w:color w:val="000000"/>
          <w:kern w:val="0"/>
          <w:sz w:val="30"/>
          <w:szCs w:val="30"/>
          <w:shd w:val="clear" w:color="auto" w:fill="FFFFFF"/>
          <w:lang w:val="zh-CN"/>
        </w:rPr>
      </w:pPr>
      <w:r>
        <w:rPr>
          <w:rFonts w:hint="eastAsia" w:ascii="仿宋_GB2312" w:hAnsi="仿宋_GB2312" w:eastAsia="仿宋_GB2312" w:cs="仿宋_GB2312"/>
          <w:color w:val="000000"/>
          <w:kern w:val="0"/>
          <w:sz w:val="30"/>
          <w:szCs w:val="30"/>
          <w:shd w:val="clear" w:color="auto" w:fill="FFFFFF"/>
          <w:lang w:val="zh-CN"/>
        </w:rPr>
        <w:t>5.开展地质环境监测的技术培训、交流与合作。</w:t>
      </w:r>
    </w:p>
    <w:p>
      <w:pPr>
        <w:widowControl/>
        <w:adjustRightInd w:val="0"/>
        <w:snapToGrid w:val="0"/>
        <w:spacing w:line="500" w:lineRule="exact"/>
        <w:ind w:firstLine="600" w:firstLineChars="200"/>
        <w:jc w:val="left"/>
        <w:rPr>
          <w:rFonts w:hint="eastAsia" w:hAnsi="宋体" w:cs="宋体"/>
          <w:color w:val="000000"/>
          <w:sz w:val="32"/>
          <w:szCs w:val="32"/>
        </w:rPr>
      </w:pPr>
      <w:r>
        <w:rPr>
          <w:rFonts w:hint="eastAsia" w:ascii="仿宋_GB2312" w:hAnsi="仿宋_GB2312" w:eastAsia="仿宋_GB2312" w:cs="仿宋_GB2312"/>
          <w:color w:val="000000"/>
          <w:kern w:val="0"/>
          <w:sz w:val="30"/>
          <w:szCs w:val="30"/>
          <w:shd w:val="clear" w:color="auto" w:fill="FFFFFF"/>
          <w:lang w:val="zh-CN"/>
        </w:rPr>
        <w:t>6.承办广元市自然资源局及省自然资源厅、省国土空间生态修复及地质灾害防治研究院交办的其他事项。</w:t>
      </w:r>
    </w:p>
    <w:p>
      <w:pPr>
        <w:numPr>
          <w:ilvl w:val="0"/>
          <w:numId w:val="2"/>
        </w:num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基本情况</w:t>
      </w:r>
    </w:p>
    <w:p>
      <w:pPr>
        <w:widowControl/>
        <w:adjustRightInd w:val="0"/>
        <w:snapToGrid w:val="0"/>
        <w:spacing w:line="500" w:lineRule="exact"/>
        <w:ind w:firstLine="640" w:firstLineChars="200"/>
        <w:jc w:val="left"/>
        <w:rPr>
          <w:rFonts w:hint="eastAsia" w:ascii="仿宋_GB2312" w:hAnsi="仿宋_GB2312" w:eastAsia="仿宋_GB2312" w:cs="仿宋_GB2312"/>
          <w:color w:val="000000"/>
          <w:kern w:val="0"/>
          <w:sz w:val="30"/>
          <w:szCs w:val="30"/>
          <w:shd w:val="clear" w:color="auto" w:fill="FFFFFF"/>
          <w:lang w:eastAsia="zh-CN"/>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 xml:space="preserve"> </w:t>
      </w:r>
      <w:r>
        <w:rPr>
          <w:rFonts w:hint="eastAsia" w:ascii="仿宋_GB2312" w:hAnsi="仿宋_GB2312" w:eastAsia="仿宋_GB2312" w:cs="仿宋_GB2312"/>
          <w:color w:val="000000"/>
          <w:kern w:val="0"/>
          <w:sz w:val="30"/>
          <w:szCs w:val="30"/>
          <w:shd w:val="clear" w:color="auto" w:fill="FFFFFF"/>
          <w:lang w:val="zh-CN" w:eastAsia="zh-CN"/>
        </w:rPr>
        <w:t>广元市地质环境监测站在职编制数</w:t>
      </w:r>
      <w:r>
        <w:rPr>
          <w:rFonts w:hint="eastAsia" w:ascii="仿宋_GB2312" w:hAnsi="仿宋_GB2312" w:eastAsia="仿宋_GB2312" w:cs="仿宋_GB2312"/>
          <w:color w:val="000000"/>
          <w:kern w:val="0"/>
          <w:sz w:val="30"/>
          <w:szCs w:val="30"/>
          <w:shd w:val="clear" w:color="auto" w:fill="FFFFFF"/>
          <w:lang w:val="en-US" w:eastAsia="zh-CN"/>
        </w:rPr>
        <w:t>11</w:t>
      </w:r>
      <w:r>
        <w:rPr>
          <w:rFonts w:hint="eastAsia" w:ascii="仿宋_GB2312" w:hAnsi="仿宋_GB2312" w:eastAsia="仿宋_GB2312" w:cs="仿宋_GB2312"/>
          <w:color w:val="000000"/>
          <w:kern w:val="0"/>
          <w:sz w:val="30"/>
          <w:szCs w:val="30"/>
          <w:shd w:val="clear" w:color="auto" w:fill="FFFFFF"/>
        </w:rPr>
        <w:t>名。年末在职人员</w:t>
      </w:r>
      <w:r>
        <w:rPr>
          <w:rFonts w:hint="eastAsia" w:ascii="仿宋_GB2312" w:hAnsi="仿宋_GB2312" w:eastAsia="仿宋_GB2312" w:cs="仿宋_GB2312"/>
          <w:color w:val="000000"/>
          <w:kern w:val="0"/>
          <w:sz w:val="30"/>
          <w:szCs w:val="30"/>
          <w:shd w:val="clear" w:color="auto" w:fill="FFFFFF"/>
          <w:lang w:val="en-US" w:eastAsia="zh-CN"/>
        </w:rPr>
        <w:t>11</w:t>
      </w:r>
      <w:r>
        <w:rPr>
          <w:rFonts w:hint="eastAsia" w:ascii="仿宋_GB2312" w:hAnsi="仿宋_GB2312" w:eastAsia="仿宋_GB2312" w:cs="仿宋_GB2312"/>
          <w:color w:val="000000"/>
          <w:kern w:val="0"/>
          <w:sz w:val="30"/>
          <w:szCs w:val="30"/>
          <w:shd w:val="clear" w:color="auto" w:fill="FFFFFF"/>
        </w:rPr>
        <w:t>人</w:t>
      </w:r>
      <w:r>
        <w:rPr>
          <w:rFonts w:hint="eastAsia" w:ascii="仿宋_GB2312" w:hAnsi="仿宋_GB2312" w:eastAsia="仿宋_GB2312" w:cs="仿宋_GB2312"/>
          <w:color w:val="000000"/>
          <w:kern w:val="0"/>
          <w:sz w:val="30"/>
          <w:szCs w:val="30"/>
          <w:shd w:val="clear" w:color="auto" w:fill="FFFFFF"/>
          <w:lang w:eastAsia="zh-CN"/>
        </w:rPr>
        <w:t>。</w:t>
      </w:r>
    </w:p>
    <w:p>
      <w:pPr>
        <w:spacing w:line="576" w:lineRule="exact"/>
        <w:ind w:firstLine="600" w:firstLineChars="200"/>
        <w:rPr>
          <w:rFonts w:hint="eastAsia" w:ascii="仿宋" w:hAnsi="仿宋" w:eastAsia="仿宋" w:cs="仿宋_GB2312"/>
          <w:b/>
          <w:bCs/>
          <w:kern w:val="0"/>
          <w:sz w:val="30"/>
          <w:szCs w:val="30"/>
        </w:rPr>
      </w:pPr>
      <w:r>
        <w:rPr>
          <w:rFonts w:hint="eastAsia" w:ascii="仿宋_GB2312" w:hAnsi="仿宋_GB2312" w:eastAsia="仿宋_GB2312" w:cs="仿宋_GB2312"/>
          <w:color w:val="000000"/>
          <w:kern w:val="0"/>
          <w:sz w:val="30"/>
          <w:szCs w:val="30"/>
          <w:shd w:val="clear" w:color="auto" w:fill="FFFFFF"/>
        </w:rPr>
        <w:t>2.</w:t>
      </w:r>
      <w:r>
        <w:rPr>
          <w:rFonts w:hint="eastAsia" w:ascii="楷体_GB2312" w:hAnsi="Times New Roman" w:eastAsia="楷体_GB2312" w:cs="Times New Roman"/>
          <w:bCs/>
          <w:sz w:val="32"/>
          <w:szCs w:val="32"/>
        </w:rPr>
        <w:t>部门自评步骤及方法</w:t>
      </w:r>
    </w:p>
    <w:p>
      <w:pPr>
        <w:spacing w:line="576" w:lineRule="exact"/>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根据</w:t>
      </w:r>
      <w:r>
        <w:rPr>
          <w:rFonts w:hint="eastAsia" w:ascii="仿宋" w:hAnsi="仿宋" w:eastAsia="仿宋" w:cs="仿宋_GB2312"/>
          <w:kern w:val="0"/>
          <w:sz w:val="30"/>
          <w:szCs w:val="30"/>
        </w:rPr>
        <w:t>《</w:t>
      </w:r>
      <w:r>
        <w:rPr>
          <w:rFonts w:hint="eastAsia" w:ascii="仿宋" w:hAnsi="仿宋" w:eastAsia="仿宋" w:cs="仿宋_GB2312"/>
          <w:bCs/>
          <w:kern w:val="0"/>
          <w:sz w:val="30"/>
          <w:szCs w:val="30"/>
        </w:rPr>
        <w:t>20</w:t>
      </w:r>
      <w:r>
        <w:rPr>
          <w:rFonts w:hint="eastAsia" w:ascii="仿宋" w:hAnsi="仿宋" w:eastAsia="仿宋" w:cs="仿宋_GB2312"/>
          <w:bCs/>
          <w:kern w:val="0"/>
          <w:sz w:val="30"/>
          <w:szCs w:val="30"/>
          <w:lang w:val="en-US" w:eastAsia="zh-CN"/>
        </w:rPr>
        <w:t>20</w:t>
      </w:r>
      <w:r>
        <w:rPr>
          <w:rFonts w:hint="eastAsia" w:ascii="仿宋" w:hAnsi="仿宋" w:eastAsia="仿宋" w:cs="仿宋_GB2312"/>
          <w:bCs/>
          <w:kern w:val="0"/>
          <w:sz w:val="30"/>
          <w:szCs w:val="30"/>
        </w:rPr>
        <w:t>年市本级预算单位部门支出绩效评价工作的通知</w:t>
      </w:r>
      <w:r>
        <w:rPr>
          <w:rFonts w:hint="eastAsia" w:ascii="仿宋" w:hAnsi="仿宋" w:eastAsia="仿宋" w:cs="仿宋_GB2312"/>
          <w:kern w:val="0"/>
          <w:sz w:val="30"/>
          <w:szCs w:val="30"/>
        </w:rPr>
        <w:t>》要求，对照《广元市部门整体支出绩效评价指标体系》，对20</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年预算编制和执行情况、财政资金收支管理情况以及项目资金管理情况逐一核实、打分。</w:t>
      </w:r>
    </w:p>
    <w:p>
      <w:pPr>
        <w:spacing w:line="576"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en-US" w:eastAsia="zh-CN"/>
        </w:rPr>
        <w:t>3.</w:t>
      </w:r>
      <w:r>
        <w:rPr>
          <w:rFonts w:hint="eastAsia" w:ascii="仿宋_GB2312" w:hAnsi="仿宋_GB2312" w:eastAsia="仿宋_GB2312" w:cs="仿宋_GB2312"/>
          <w:color w:val="000000"/>
          <w:kern w:val="0"/>
          <w:sz w:val="30"/>
          <w:szCs w:val="30"/>
          <w:shd w:val="clear" w:color="auto" w:fill="FFFFFF"/>
        </w:rPr>
        <w:t>部分支出绩效评价得分情况</w:t>
      </w:r>
    </w:p>
    <w:tbl>
      <w:tblPr>
        <w:tblStyle w:val="12"/>
        <w:tblW w:w="8607" w:type="dxa"/>
        <w:tblInd w:w="93" w:type="dxa"/>
        <w:tblLayout w:type="fixed"/>
        <w:tblCellMar>
          <w:top w:w="0" w:type="dxa"/>
          <w:left w:w="108" w:type="dxa"/>
          <w:bottom w:w="0" w:type="dxa"/>
          <w:right w:w="108" w:type="dxa"/>
        </w:tblCellMar>
      </w:tblPr>
      <w:tblGrid>
        <w:gridCol w:w="1260"/>
        <w:gridCol w:w="1660"/>
        <w:gridCol w:w="3642"/>
        <w:gridCol w:w="1077"/>
        <w:gridCol w:w="968"/>
      </w:tblGrid>
      <w:tr>
        <w:tblPrEx>
          <w:tblCellMar>
            <w:top w:w="0" w:type="dxa"/>
            <w:left w:w="108" w:type="dxa"/>
            <w:bottom w:w="0" w:type="dxa"/>
            <w:right w:w="108" w:type="dxa"/>
          </w:tblCellMar>
        </w:tblPrEx>
        <w:trPr>
          <w:trHeight w:val="525"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一级指标</w:t>
            </w:r>
          </w:p>
        </w:tc>
        <w:tc>
          <w:tcPr>
            <w:tcW w:w="16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二级指标</w:t>
            </w:r>
          </w:p>
        </w:tc>
        <w:tc>
          <w:tcPr>
            <w:tcW w:w="364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三级指标</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分值</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得分</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w:t>
            </w:r>
            <w:r>
              <w:rPr>
                <w:rFonts w:hint="eastAsia" w:ascii="仿宋" w:hAnsi="仿宋" w:eastAsia="仿宋" w:cs="宋体"/>
                <w:bCs/>
                <w:color w:val="000000"/>
                <w:kern w:val="0"/>
                <w:sz w:val="24"/>
                <w:szCs w:val="24"/>
                <w:lang w:val="en-US" w:eastAsia="zh-CN"/>
              </w:rPr>
              <w:t>6</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报送时效</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编制质量</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预算编制准确</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w:t>
            </w:r>
            <w:r>
              <w:rPr>
                <w:rFonts w:hint="eastAsia" w:ascii="仿宋" w:hAnsi="仿宋" w:eastAsia="仿宋" w:cs="宋体"/>
                <w:bCs/>
                <w:color w:val="000000"/>
                <w:kern w:val="0"/>
                <w:sz w:val="24"/>
                <w:szCs w:val="24"/>
                <w:lang w:val="en-US" w:eastAsia="zh-CN"/>
              </w:rPr>
              <w:t>12</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执行进度</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部门预算执行进度</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预算调整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预算执行可行性</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行政成本</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“三公”经费</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部门决算编制和审查</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绩效管理（19份）</w:t>
            </w: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绩效目标</w:t>
            </w: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部门整体绩效目标</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项目绩效评价</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绩效监控</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跟踪监控开展情况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监控结果运用情况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绩效评价</w:t>
            </w: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评价结果报告</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r>
      <w:tr>
        <w:tblPrEx>
          <w:tblCellMar>
            <w:top w:w="0" w:type="dxa"/>
            <w:left w:w="108" w:type="dxa"/>
            <w:bottom w:w="0" w:type="dxa"/>
            <w:right w:w="108" w:type="dxa"/>
          </w:tblCellMar>
        </w:tblPrEx>
        <w:trPr>
          <w:trHeight w:val="465"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综合管理（3</w:t>
            </w:r>
            <w:r>
              <w:rPr>
                <w:rFonts w:hint="eastAsia" w:ascii="仿宋" w:hAnsi="仿宋" w:eastAsia="仿宋" w:cs="宋体"/>
                <w:bCs/>
                <w:color w:val="000000"/>
                <w:kern w:val="0"/>
                <w:sz w:val="24"/>
                <w:szCs w:val="24"/>
                <w:lang w:val="en-US" w:eastAsia="zh-CN"/>
              </w:rPr>
              <w:t>3</w:t>
            </w:r>
            <w:r>
              <w:rPr>
                <w:rFonts w:hint="eastAsia" w:ascii="仿宋" w:hAnsi="仿宋" w:eastAsia="仿宋" w:cs="宋体"/>
                <w:bCs/>
                <w:color w:val="000000"/>
                <w:kern w:val="0"/>
                <w:sz w:val="24"/>
                <w:szCs w:val="24"/>
              </w:rPr>
              <w:t>分）</w:t>
            </w:r>
          </w:p>
        </w:tc>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w:t>
            </w:r>
            <w:r>
              <w:rPr>
                <w:rFonts w:hint="eastAsia" w:ascii="仿宋" w:hAnsi="仿宋" w:eastAsia="仿宋" w:cs="宋体"/>
                <w:bCs/>
                <w:color w:val="000000"/>
                <w:kern w:val="0"/>
                <w:sz w:val="24"/>
                <w:szCs w:val="24"/>
                <w:lang w:val="en-US" w:eastAsia="zh-CN"/>
              </w:rPr>
              <w:t xml:space="preserve">   </w:t>
            </w:r>
            <w:r>
              <w:rPr>
                <w:rFonts w:hint="eastAsia" w:ascii="仿宋" w:hAnsi="仿宋" w:eastAsia="仿宋" w:cs="宋体"/>
                <w:bCs/>
                <w:color w:val="000000"/>
                <w:kern w:val="0"/>
                <w:sz w:val="24"/>
                <w:szCs w:val="24"/>
              </w:rPr>
              <w:t>执收情况</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非税收入征收情况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非税收入上缴情况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w:t>
            </w:r>
          </w:p>
        </w:tc>
        <w:tc>
          <w:tcPr>
            <w:tcW w:w="364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政府采购实施计划编制</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政府采购实施计划执行</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资产管理信息系统建设情况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行政事业单位资产清查开展情况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行政事业单位资产报表上报情况</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内部控制制度健全完整</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信息公开</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绩效信息公开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财政政策执行</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公务卡改革</w:t>
            </w:r>
          </w:p>
        </w:tc>
        <w:tc>
          <w:tcPr>
            <w:tcW w:w="1077" w:type="dxa"/>
            <w:tcBorders>
              <w:top w:val="nil"/>
              <w:left w:val="nil"/>
              <w:bottom w:val="single" w:color="auto" w:sz="4" w:space="0"/>
              <w:right w:val="single" w:color="auto" w:sz="4" w:space="0"/>
            </w:tcBorders>
            <w:noWrap/>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预算执行动态监控</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授权支付退票</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财经纪律执行</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违规记录</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存在问题整改是否到位</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lang w:val="en-US" w:eastAsia="zh-CN"/>
              </w:rPr>
              <w:t xml:space="preserve">评价结果应用  </w:t>
            </w:r>
            <w:r>
              <w:rPr>
                <w:rFonts w:hint="eastAsia" w:ascii="仿宋" w:hAnsi="仿宋" w:eastAsia="仿宋" w:cs="宋体"/>
                <w:bCs/>
                <w:color w:val="000000"/>
                <w:kern w:val="0"/>
                <w:sz w:val="24"/>
                <w:szCs w:val="24"/>
              </w:rPr>
              <w:t>（</w:t>
            </w:r>
            <w:r>
              <w:rPr>
                <w:rFonts w:hint="eastAsia" w:ascii="仿宋" w:hAnsi="仿宋" w:eastAsia="仿宋" w:cs="宋体"/>
                <w:bCs/>
                <w:color w:val="000000"/>
                <w:kern w:val="0"/>
                <w:sz w:val="24"/>
                <w:szCs w:val="24"/>
                <w:lang w:val="en-US" w:eastAsia="zh-CN"/>
              </w:rPr>
              <w:t>30</w:t>
            </w:r>
            <w:r>
              <w:rPr>
                <w:rFonts w:hint="eastAsia" w:ascii="仿宋" w:hAnsi="仿宋" w:eastAsia="仿宋" w:cs="宋体"/>
                <w:bCs/>
                <w:color w:val="000000"/>
                <w:kern w:val="0"/>
                <w:sz w:val="24"/>
                <w:szCs w:val="24"/>
              </w:rPr>
              <w:t>分）</w:t>
            </w:r>
          </w:p>
        </w:tc>
        <w:tc>
          <w:tcPr>
            <w:tcW w:w="1660"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项目</w:t>
            </w:r>
            <w:r>
              <w:rPr>
                <w:rFonts w:hint="eastAsia" w:ascii="仿宋" w:hAnsi="仿宋" w:eastAsia="仿宋" w:cs="宋体"/>
                <w:bCs/>
                <w:color w:val="000000"/>
                <w:kern w:val="0"/>
                <w:sz w:val="24"/>
                <w:szCs w:val="24"/>
              </w:rPr>
              <w:t>绩效</w:t>
            </w:r>
            <w:r>
              <w:rPr>
                <w:rFonts w:hint="eastAsia" w:ascii="仿宋" w:hAnsi="仿宋" w:eastAsia="仿宋" w:cs="宋体"/>
                <w:bCs/>
                <w:color w:val="000000"/>
                <w:kern w:val="0"/>
                <w:sz w:val="24"/>
                <w:szCs w:val="24"/>
                <w:lang w:val="en-US" w:eastAsia="zh-CN"/>
              </w:rPr>
              <w:t>评价结果</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项目绩效评价结果</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30</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30</w:t>
            </w:r>
          </w:p>
        </w:tc>
      </w:tr>
      <w:tr>
        <w:tblPrEx>
          <w:tblCellMar>
            <w:top w:w="0" w:type="dxa"/>
            <w:left w:w="108" w:type="dxa"/>
            <w:bottom w:w="0" w:type="dxa"/>
            <w:right w:w="108" w:type="dxa"/>
          </w:tblCellMar>
        </w:tblPrEx>
        <w:trPr>
          <w:trHeight w:val="540" w:hRule="atLeast"/>
        </w:trPr>
        <w:tc>
          <w:tcPr>
            <w:tcW w:w="65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合  计</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szCs w:val="24"/>
              </w:rPr>
            </w:pPr>
            <w:r>
              <w:rPr>
                <w:rFonts w:ascii="Arial" w:hAnsi="Arial" w:cs="Arial"/>
                <w:b/>
                <w:bCs/>
                <w:color w:val="000000"/>
                <w:kern w:val="0"/>
                <w:sz w:val="24"/>
                <w:szCs w:val="24"/>
              </w:rPr>
              <w:t>100</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
                <w:bCs/>
                <w:color w:val="000000"/>
                <w:kern w:val="0"/>
                <w:sz w:val="24"/>
                <w:szCs w:val="24"/>
                <w:lang w:val="en-US" w:eastAsia="zh-CN"/>
              </w:rPr>
            </w:pPr>
            <w:r>
              <w:rPr>
                <w:rFonts w:hint="eastAsia" w:ascii="Arial" w:hAnsi="Arial" w:eastAsia="宋体" w:cs="Arial"/>
                <w:b/>
                <w:bCs/>
                <w:color w:val="000000"/>
                <w:kern w:val="0"/>
                <w:sz w:val="24"/>
                <w:szCs w:val="24"/>
                <w:lang w:val="en-US" w:eastAsia="zh-CN"/>
              </w:rPr>
              <w:t>100</w:t>
            </w:r>
          </w:p>
        </w:tc>
      </w:tr>
    </w:tbl>
    <w:p>
      <w:pPr>
        <w:widowControl/>
        <w:adjustRightInd w:val="0"/>
        <w:snapToGrid w:val="0"/>
        <w:spacing w:line="500" w:lineRule="exact"/>
        <w:jc w:val="left"/>
        <w:rPr>
          <w:rFonts w:hint="eastAsia" w:hAnsi="仿宋_GB2312" w:cs="仿宋_GB2312"/>
          <w:color w:val="000000"/>
          <w:sz w:val="30"/>
          <w:szCs w:val="30"/>
        </w:rPr>
      </w:pPr>
    </w:p>
    <w:p>
      <w:pPr>
        <w:spacing w:line="500" w:lineRule="exact"/>
        <w:ind w:firstLine="7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二.部门总体评价</w:t>
      </w:r>
    </w:p>
    <w:p>
      <w:pPr>
        <w:spacing w:line="500" w:lineRule="exact"/>
        <w:ind w:firstLine="7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广元市</w:t>
      </w:r>
      <w:r>
        <w:rPr>
          <w:rFonts w:hint="eastAsia" w:ascii="仿宋_GB2312" w:hAnsi="仿宋_GB2312" w:eastAsia="仿宋_GB2312" w:cs="仿宋_GB2312"/>
          <w:sz w:val="30"/>
          <w:szCs w:val="30"/>
          <w:lang w:eastAsia="zh-CN"/>
        </w:rPr>
        <w:t>地质环境监测站</w:t>
      </w:r>
      <w:r>
        <w:rPr>
          <w:rFonts w:hint="eastAsia" w:ascii="仿宋_GB2312" w:hAnsi="仿宋_GB2312" w:eastAsia="仿宋_GB2312" w:cs="仿宋_GB2312"/>
          <w:sz w:val="30"/>
          <w:szCs w:val="30"/>
        </w:rPr>
        <w:t>总体支出绩效评价得分</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分。项目支出绩效评价</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分，按30%权重计算，我局总体绩效评价最终得分</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分。</w:t>
      </w:r>
    </w:p>
    <w:p>
      <w:pPr>
        <w:spacing w:line="500" w:lineRule="exact"/>
        <w:ind w:firstLine="720"/>
        <w:rPr>
          <w:rFonts w:hint="eastAsia" w:ascii="仿宋_GB2312" w:hAnsi="仿宋_GB2312" w:eastAsia="仿宋_GB2312" w:cs="仿宋_GB2312"/>
          <w:sz w:val="30"/>
          <w:szCs w:val="30"/>
        </w:rPr>
      </w:pPr>
    </w:p>
    <w:p>
      <w:pPr>
        <w:spacing w:line="580" w:lineRule="exact"/>
        <w:ind w:left="627"/>
        <w:rPr>
          <w:rFonts w:hint="eastAsia" w:ascii="黑体" w:hAnsi="黑体" w:eastAsia="黑体"/>
          <w:sz w:val="32"/>
          <w:szCs w:val="32"/>
        </w:rPr>
      </w:pPr>
      <w:r>
        <w:rPr>
          <w:rFonts w:hint="eastAsia" w:ascii="黑体" w:hAnsi="黑体" w:eastAsia="黑体"/>
          <w:sz w:val="32"/>
          <w:szCs w:val="32"/>
        </w:rPr>
        <w:t>三.部门财政支出管理情况</w:t>
      </w:r>
    </w:p>
    <w:p>
      <w:pPr>
        <w:spacing w:line="580" w:lineRule="exact"/>
        <w:rPr>
          <w:rFonts w:hint="eastAsia" w:ascii="楷体_GB2312" w:hAnsi="黑体" w:eastAsia="楷体_GB2312"/>
          <w:sz w:val="32"/>
          <w:szCs w:val="32"/>
        </w:rPr>
      </w:pPr>
      <w:r>
        <w:rPr>
          <w:rFonts w:hint="eastAsia" w:ascii="楷体_GB2312" w:hAnsi="黑体" w:eastAsia="楷体_GB2312"/>
          <w:sz w:val="32"/>
          <w:szCs w:val="32"/>
        </w:rPr>
        <w:t xml:space="preserve">    （一）预算编制</w:t>
      </w:r>
    </w:p>
    <w:p>
      <w:pPr>
        <w:spacing w:line="580" w:lineRule="exact"/>
        <w:rPr>
          <w:rFonts w:hint="eastAsia" w:ascii="仿宋_GB2312" w:eastAsia="仿宋_GB2312"/>
          <w:sz w:val="32"/>
          <w:szCs w:val="32"/>
        </w:rPr>
      </w:pPr>
      <w:r>
        <w:rPr>
          <w:rFonts w:hint="eastAsia" w:ascii="仿宋_GB2312" w:eastAsia="仿宋_GB2312"/>
          <w:sz w:val="32"/>
          <w:szCs w:val="32"/>
        </w:rPr>
        <w:t xml:space="preserve">    1.报送时效。我</w:t>
      </w:r>
      <w:r>
        <w:rPr>
          <w:rFonts w:hint="eastAsia" w:ascii="仿宋_GB2312" w:eastAsia="仿宋_GB2312"/>
          <w:sz w:val="32"/>
          <w:szCs w:val="32"/>
          <w:lang w:eastAsia="zh-CN"/>
        </w:rPr>
        <w:t>单位</w:t>
      </w:r>
      <w:r>
        <w:rPr>
          <w:rFonts w:hint="eastAsia" w:ascii="仿宋_GB2312" w:eastAsia="仿宋_GB2312"/>
          <w:sz w:val="32"/>
          <w:szCs w:val="32"/>
        </w:rPr>
        <w:t>严格按财政部门预算编制要求的时间及时报送了部门预算和项目绩效目标,并规范准确完整地填制和报送预算报表，合理反映了本部门年度职责履行情况。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2.编制质量。我</w:t>
      </w:r>
      <w:r>
        <w:rPr>
          <w:rFonts w:hint="eastAsia" w:ascii="仿宋_GB2312" w:eastAsia="仿宋_GB2312"/>
          <w:sz w:val="32"/>
          <w:szCs w:val="32"/>
          <w:lang w:eastAsia="zh-CN"/>
        </w:rPr>
        <w:t>单位</w:t>
      </w:r>
      <w:r>
        <w:rPr>
          <w:rFonts w:hint="eastAsia" w:ascii="仿宋_GB2312" w:eastAsia="仿宋_GB2312"/>
          <w:sz w:val="32"/>
          <w:szCs w:val="32"/>
        </w:rPr>
        <w:t>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（二）预算执行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w:t>
      </w:r>
      <w:r>
        <w:rPr>
          <w:rFonts w:hint="eastAsia" w:ascii="仿宋_GB2312" w:eastAsia="仿宋_GB2312"/>
          <w:sz w:val="32"/>
          <w:szCs w:val="32"/>
          <w:lang w:eastAsia="zh-CN"/>
        </w:rPr>
        <w:t>三位</w:t>
      </w:r>
      <w:r>
        <w:rPr>
          <w:rFonts w:hint="eastAsia" w:ascii="仿宋_GB2312" w:eastAsia="仿宋_GB2312"/>
          <w:sz w:val="32"/>
          <w:szCs w:val="32"/>
        </w:rPr>
        <w:t>严格执行预算，执行中不调整项目。</w:t>
      </w:r>
    </w:p>
    <w:p>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年“三公”经费预算</w:t>
      </w:r>
      <w:r>
        <w:rPr>
          <w:rFonts w:hint="eastAsia" w:ascii="仿宋_GB2312" w:hAnsi="仿宋_GB2312" w:eastAsia="仿宋_GB2312" w:cs="仿宋_GB2312"/>
          <w:color w:val="000000"/>
          <w:sz w:val="32"/>
          <w:szCs w:val="32"/>
          <w:lang w:val="en-US" w:eastAsia="zh-CN"/>
        </w:rPr>
        <w:t>4.8</w:t>
      </w:r>
      <w:r>
        <w:rPr>
          <w:rFonts w:hint="eastAsia" w:ascii="仿宋_GB2312" w:hAnsi="仿宋_GB2312" w:eastAsia="仿宋_GB2312" w:cs="仿宋_GB2312"/>
          <w:color w:val="000000"/>
          <w:sz w:val="32"/>
          <w:szCs w:val="32"/>
        </w:rPr>
        <w:t>万元，其中:公务接待</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 xml:space="preserve">万元。全年支出 </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万元。其中：公务接待费</w:t>
      </w:r>
      <w:r>
        <w:rPr>
          <w:rFonts w:hint="eastAsia" w:ascii="仿宋_GB2312" w:hAnsi="仿宋_GB2312" w:eastAsia="仿宋_GB2312" w:cs="仿宋_GB2312"/>
          <w:color w:val="000000"/>
          <w:sz w:val="32"/>
          <w:szCs w:val="32"/>
          <w:lang w:val="en-US" w:eastAsia="zh-CN"/>
        </w:rPr>
        <w:t>1.54</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1.36</w:t>
      </w:r>
      <w:r>
        <w:rPr>
          <w:rFonts w:hint="eastAsia" w:ascii="仿宋_GB2312" w:hAnsi="仿宋_GB2312" w:eastAsia="仿宋_GB2312" w:cs="仿宋_GB2312"/>
          <w:color w:val="000000"/>
          <w:sz w:val="32"/>
          <w:szCs w:val="32"/>
        </w:rPr>
        <w:t>万元，具体情况如下：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（1）公务用车运行维护费支出</w:t>
      </w:r>
      <w:r>
        <w:rPr>
          <w:rFonts w:hint="eastAsia" w:ascii="仿宋_GB2312" w:hAnsi="仿宋_GB2312" w:eastAsia="仿宋_GB2312" w:cs="仿宋_GB2312"/>
          <w:color w:val="000000"/>
          <w:sz w:val="32"/>
          <w:szCs w:val="32"/>
          <w:lang w:val="en-US" w:eastAsia="zh-CN"/>
        </w:rPr>
        <w:t>1.36</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决算数小于预算数。主要用于地质</w:t>
      </w:r>
      <w:r>
        <w:rPr>
          <w:rFonts w:hint="eastAsia" w:ascii="仿宋_GB2312" w:hAnsi="仿宋_GB2312" w:eastAsia="仿宋_GB2312" w:cs="仿宋_GB2312"/>
          <w:color w:val="000000"/>
          <w:sz w:val="32"/>
          <w:szCs w:val="32"/>
          <w:lang w:eastAsia="zh-CN"/>
        </w:rPr>
        <w:t>灾害防治日常工作开展</w:t>
      </w:r>
      <w:r>
        <w:rPr>
          <w:rFonts w:hint="eastAsia" w:ascii="仿宋_GB2312" w:hAnsi="仿宋_GB2312" w:eastAsia="仿宋_GB2312" w:cs="仿宋_GB2312"/>
          <w:color w:val="000000"/>
          <w:sz w:val="32"/>
          <w:szCs w:val="32"/>
        </w:rPr>
        <w:t>等所需的公务用车燃料费、维修费、过路过桥费等支出。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（2）公务接待费支出</w:t>
      </w:r>
      <w:r>
        <w:rPr>
          <w:rFonts w:hint="eastAsia" w:ascii="仿宋_GB2312" w:hAnsi="仿宋_GB2312" w:eastAsia="仿宋_GB2312" w:cs="仿宋_GB2312"/>
          <w:color w:val="000000"/>
          <w:sz w:val="32"/>
          <w:szCs w:val="32"/>
          <w:lang w:val="en-US" w:eastAsia="zh-CN"/>
        </w:rPr>
        <w:t>1.54</w:t>
      </w:r>
      <w:r>
        <w:rPr>
          <w:rFonts w:hint="eastAsia" w:ascii="仿宋_GB2312" w:hAnsi="仿宋_GB2312" w:eastAsia="仿宋_GB2312" w:cs="仿宋_GB2312"/>
          <w:color w:val="000000"/>
          <w:sz w:val="32"/>
          <w:szCs w:val="32"/>
        </w:rPr>
        <w:t>万元，</w:t>
      </w:r>
      <w:r>
        <w:rPr>
          <w:rStyle w:val="14"/>
          <w:rFonts w:hint="eastAsia" w:ascii="仿宋_GB2312" w:hAnsi="仿宋_GB2312" w:eastAsia="仿宋_GB2312" w:cs="仿宋_GB2312"/>
          <w:b w:val="0"/>
          <w:bCs w:val="0"/>
          <w:color w:val="000000"/>
          <w:sz w:val="32"/>
          <w:szCs w:val="32"/>
        </w:rPr>
        <w:t>完成预算</w:t>
      </w:r>
      <w:r>
        <w:rPr>
          <w:rStyle w:val="14"/>
          <w:rFonts w:hint="eastAsia" w:ascii="仿宋_GB2312" w:hAnsi="仿宋_GB2312" w:eastAsia="仿宋_GB2312" w:cs="仿宋_GB2312"/>
          <w:b w:val="0"/>
          <w:bCs w:val="0"/>
          <w:color w:val="000000"/>
          <w:sz w:val="32"/>
          <w:szCs w:val="32"/>
          <w:lang w:val="en-US" w:eastAsia="zh-CN"/>
        </w:rPr>
        <w:t>64.16</w:t>
      </w:r>
      <w:r>
        <w:rPr>
          <w:rStyle w:val="14"/>
          <w:rFonts w:ascii="仿宋_GB2312" w:hAnsi="仿宋_GB2312" w:eastAsia="仿宋_GB2312" w:cs="仿宋_GB2312"/>
          <w:b w:val="0"/>
          <w:bCs w:val="0"/>
          <w:color w:val="000000"/>
          <w:sz w:val="32"/>
          <w:szCs w:val="32"/>
        </w:rPr>
        <w:t>%</w:t>
      </w:r>
      <w:r>
        <w:rPr>
          <w:rStyle w:val="14"/>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color w:val="000000"/>
          <w:sz w:val="32"/>
          <w:szCs w:val="32"/>
        </w:rPr>
        <w:t>决算数小于预算数是因为贯彻执行厉行节约政策、努力压缩开支。国内公务接待</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余人次（不包括陪同人员），</w:t>
      </w:r>
      <w:r>
        <w:rPr>
          <w:rFonts w:hint="eastAsia" w:ascii="仿宋_GB2312" w:hAnsi="仿宋_GB2312" w:eastAsia="仿宋_GB2312" w:cs="仿宋_GB2312"/>
          <w:b/>
          <w:bCs/>
          <w:color w:val="0C0C0C"/>
          <w:sz w:val="32"/>
          <w:szCs w:val="32"/>
        </w:rPr>
        <w:t>共计支出</w:t>
      </w:r>
      <w:r>
        <w:rPr>
          <w:rFonts w:hint="eastAsia" w:ascii="仿宋_GB2312" w:hAnsi="仿宋_GB2312" w:eastAsia="仿宋_GB2312" w:cs="仿宋_GB2312"/>
          <w:b/>
          <w:bCs/>
          <w:color w:val="0C0C0C"/>
          <w:sz w:val="32"/>
          <w:szCs w:val="32"/>
          <w:lang w:val="en-US" w:eastAsia="zh-CN"/>
        </w:rPr>
        <w:t>1.54</w:t>
      </w:r>
      <w:r>
        <w:rPr>
          <w:rFonts w:hint="eastAsia" w:ascii="仿宋_GB2312" w:hAnsi="仿宋_GB2312" w:eastAsia="仿宋_GB2312" w:cs="仿宋_GB2312"/>
          <w:b/>
          <w:bCs/>
          <w:color w:val="000000"/>
          <w:sz w:val="32"/>
          <w:szCs w:val="32"/>
        </w:rPr>
        <w:t>万元</w:t>
      </w:r>
      <w:r>
        <w:rPr>
          <w:rFonts w:hint="eastAsia" w:ascii="仿宋_GB2312" w:hAnsi="仿宋_GB2312" w:eastAsia="仿宋_GB2312" w:cs="仿宋_GB2312"/>
          <w:color w:val="000000"/>
          <w:sz w:val="32"/>
          <w:szCs w:val="32"/>
        </w:rPr>
        <w:t>，具体内容包括：主要用于接待省厅级县区局用于工作衔接和关于地质灾害等业务工作餐。</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80" w:lineRule="exact"/>
        <w:rPr>
          <w:rFonts w:hint="eastAsia" w:ascii="楷体_GB2312" w:eastAsia="楷体_GB2312"/>
          <w:sz w:val="32"/>
          <w:szCs w:val="32"/>
        </w:rPr>
      </w:pPr>
      <w:r>
        <w:rPr>
          <w:rFonts w:hint="eastAsia" w:ascii="楷体_GB2312" w:eastAsia="楷体_GB2312"/>
          <w:bCs/>
          <w:sz w:val="32"/>
          <w:szCs w:val="32"/>
        </w:rPr>
        <w:t xml:space="preserve">    （三）财政资金综合管理情况</w:t>
      </w:r>
    </w:p>
    <w:p>
      <w:pPr>
        <w:spacing w:line="580" w:lineRule="exact"/>
        <w:rPr>
          <w:rFonts w:hint="eastAsia" w:ascii="仿宋_GB2312" w:eastAsia="仿宋_GB2312"/>
          <w:sz w:val="32"/>
          <w:szCs w:val="32"/>
          <w:lang w:eastAsia="zh-CN"/>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单位无非税收入征收、上缴工作。</w:t>
      </w:r>
    </w:p>
    <w:p>
      <w:pPr>
        <w:spacing w:line="580" w:lineRule="exact"/>
        <w:rPr>
          <w:rFonts w:hint="eastAsia" w:ascii="仿宋_GB2312" w:hAnsi="宋体" w:eastAsia="仿宋_GB2312" w:cs="宋体"/>
          <w:kern w:val="0"/>
          <w:sz w:val="32"/>
          <w:szCs w:val="32"/>
          <w:lang w:val="en-US" w:eastAsia="zh-CN"/>
        </w:rPr>
      </w:pPr>
      <w:r>
        <w:rPr>
          <w:rFonts w:hint="eastAsia" w:ascii="仿宋_GB2312" w:eastAsia="仿宋_GB2312"/>
          <w:b/>
          <w:bCs/>
          <w:sz w:val="32"/>
          <w:szCs w:val="32"/>
        </w:rPr>
        <w:t xml:space="preserve">   </w:t>
      </w:r>
      <w:r>
        <w:rPr>
          <w:rFonts w:hint="eastAsia" w:ascii="仿宋_GB2312" w:eastAsia="仿宋_GB2312"/>
          <w:sz w:val="32"/>
          <w:szCs w:val="32"/>
        </w:rPr>
        <w:t xml:space="preserve"> 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万元，实际采购金额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4.部门内部控制制度健全情况。我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内部管理制度比较健全，设置有《岗位责任制》，《廉政风险三同防控图》，</w:t>
      </w:r>
      <w:r>
        <w:rPr>
          <w:rFonts w:hint="eastAsia" w:ascii="仿宋_GB2312" w:hAnsi="宋体" w:eastAsia="仿宋_GB2312" w:cs="宋体"/>
          <w:kern w:val="0"/>
          <w:sz w:val="32"/>
          <w:szCs w:val="32"/>
          <w:lang w:eastAsia="zh-CN"/>
        </w:rPr>
        <w:t>依据</w:t>
      </w:r>
      <w:r>
        <w:rPr>
          <w:rFonts w:hint="eastAsia" w:ascii="仿宋_GB2312" w:hAnsi="宋体" w:eastAsia="仿宋_GB2312" w:cs="宋体"/>
          <w:kern w:val="0"/>
          <w:sz w:val="32"/>
          <w:szCs w:val="32"/>
        </w:rPr>
        <w:t>了《广元市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系统内部审计管理办法》、《广元市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局财务管理制度》，具体内容包括经费审批制度、现金管理、票据管理、会计档案管理、资产管理等。</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5.预决算及绩效信息公开情况。我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严格按照财政要求，及时、准确、全面的在政府网站和局域内门户网站公开预决算和绩效信息。</w:t>
      </w:r>
    </w:p>
    <w:p>
      <w:pPr>
        <w:spacing w:line="580" w:lineRule="exact"/>
        <w:ind w:firstLine="640" w:firstLineChars="200"/>
        <w:rPr>
          <w:rFonts w:hint="eastAsia" w:ascii="仿宋_GB2312" w:eastAsia="仿宋_GB2312"/>
          <w:color w:val="000000"/>
          <w:sz w:val="32"/>
          <w:szCs w:val="32"/>
        </w:rPr>
      </w:pPr>
      <w:r>
        <w:rPr>
          <w:rFonts w:hint="eastAsia" w:ascii="仿宋_GB2312" w:hAnsi="宋体" w:eastAsia="仿宋_GB2312" w:cs="宋体"/>
          <w:kern w:val="0"/>
          <w:sz w:val="32"/>
          <w:szCs w:val="32"/>
        </w:rPr>
        <w:t>6.绩效评价开展、评价结果报告情况。</w:t>
      </w:r>
      <w:r>
        <w:rPr>
          <w:rFonts w:hint="eastAsia" w:ascii="仿宋_GB2312" w:hAnsi="宋体" w:eastAsia="仿宋_GB2312" w:cs="宋体"/>
          <w:kern w:val="0"/>
          <w:sz w:val="32"/>
          <w:szCs w:val="32"/>
          <w:lang w:eastAsia="zh-CN"/>
        </w:rPr>
        <w:t>积极对我单位</w:t>
      </w:r>
      <w:r>
        <w:rPr>
          <w:rFonts w:hint="eastAsia" w:ascii="仿宋_GB2312" w:eastAsia="仿宋_GB2312"/>
          <w:color w:val="000000"/>
          <w:sz w:val="32"/>
          <w:szCs w:val="32"/>
        </w:rPr>
        <w:t>开展了绩效</w:t>
      </w:r>
      <w:r>
        <w:rPr>
          <w:rFonts w:hint="eastAsia" w:ascii="仿宋_GB2312" w:eastAsia="仿宋_GB2312"/>
          <w:color w:val="000000"/>
          <w:sz w:val="32"/>
          <w:szCs w:val="32"/>
          <w:lang w:eastAsia="zh-CN"/>
        </w:rPr>
        <w:t>自</w:t>
      </w:r>
      <w:r>
        <w:rPr>
          <w:rFonts w:hint="eastAsia" w:ascii="仿宋_GB2312" w:eastAsia="仿宋_GB2312"/>
          <w:color w:val="000000"/>
          <w:sz w:val="32"/>
          <w:szCs w:val="32"/>
        </w:rPr>
        <w:t>评，通过对支出总体评价，自评得分100分。</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color w:val="000000"/>
          <w:sz w:val="32"/>
          <w:szCs w:val="32"/>
        </w:rPr>
        <w:t>7.绩效管理工作开展情况</w:t>
      </w:r>
      <w:r>
        <w:rPr>
          <w:rFonts w:hint="eastAsia" w:ascii="仿宋_GB2312" w:eastAsia="仿宋_GB2312"/>
          <w:color w:val="000000"/>
          <w:sz w:val="32"/>
          <w:szCs w:val="32"/>
          <w:lang w:eastAsia="zh-CN"/>
        </w:rPr>
        <w:t>。我的单位严格按照绩效管理评价工作的要求，积极落实，</w:t>
      </w:r>
      <w:r>
        <w:rPr>
          <w:rFonts w:hint="eastAsia" w:ascii="仿宋_GB2312" w:hAnsi="仿宋_GB2312" w:eastAsia="仿宋_GB2312" w:cs="仿宋_GB2312"/>
          <w:bCs/>
          <w:kern w:val="0"/>
          <w:sz w:val="32"/>
          <w:szCs w:val="32"/>
          <w:lang w:val="en-US" w:eastAsia="zh-CN"/>
        </w:rPr>
        <w:t>认真组织本部门相关人员开展绩效评价工作。</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8.财政政策执行情况</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严格执行国库集中支付规定，当年部门预算支出中直接支付比例超过市本级当期平均水平。</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（4）非税收入征收管理。我</w:t>
      </w:r>
      <w:r>
        <w:rPr>
          <w:rFonts w:hint="eastAsia" w:ascii="仿宋_GB2312" w:hAnsi="宋体" w:eastAsia="仿宋_GB2312" w:cs="宋体"/>
          <w:kern w:val="0"/>
          <w:sz w:val="32"/>
          <w:szCs w:val="32"/>
          <w:lang w:eastAsia="zh-CN"/>
        </w:rPr>
        <w:t>单位无非税收入征收业务。</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9.财经纪律执行情况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（1）审计监察。接受了</w:t>
      </w:r>
      <w:r>
        <w:rPr>
          <w:rFonts w:hint="eastAsia" w:ascii="仿宋_GB2312" w:eastAsia="仿宋_GB2312"/>
          <w:sz w:val="32"/>
          <w:szCs w:val="32"/>
          <w:lang w:eastAsia="zh-CN"/>
        </w:rPr>
        <w:t>审计局及</w:t>
      </w:r>
      <w:r>
        <w:rPr>
          <w:rFonts w:hint="eastAsia" w:ascii="仿宋_GB2312" w:eastAsia="仿宋_GB2312"/>
          <w:sz w:val="32"/>
          <w:szCs w:val="32"/>
        </w:rPr>
        <w:t>相关部门检查组对我</w:t>
      </w:r>
      <w:r>
        <w:rPr>
          <w:rFonts w:hint="eastAsia" w:ascii="仿宋_GB2312" w:eastAsia="仿宋_GB2312"/>
          <w:sz w:val="32"/>
          <w:szCs w:val="32"/>
          <w:lang w:eastAsia="zh-CN"/>
        </w:rPr>
        <w:t>单位</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年度财政预算收支情况的检查，</w:t>
      </w:r>
      <w:r>
        <w:rPr>
          <w:rFonts w:hint="eastAsia" w:ascii="仿宋_GB2312" w:eastAsia="仿宋_GB2312"/>
          <w:sz w:val="32"/>
          <w:szCs w:val="32"/>
          <w:lang w:eastAsia="zh-CN"/>
        </w:rPr>
        <w:t>以及</w:t>
      </w:r>
      <w:r>
        <w:rPr>
          <w:rFonts w:hint="eastAsia" w:ascii="仿宋_GB2312" w:eastAsia="仿宋_GB2312"/>
          <w:sz w:val="32"/>
          <w:szCs w:val="32"/>
        </w:rPr>
        <w:t>财政等部门的</w:t>
      </w:r>
      <w:r>
        <w:rPr>
          <w:rFonts w:hint="eastAsia" w:ascii="仿宋_GB2312" w:eastAsia="仿宋_GB2312"/>
          <w:sz w:val="32"/>
          <w:szCs w:val="32"/>
          <w:lang w:eastAsia="zh-CN"/>
        </w:rPr>
        <w:t>其他</w:t>
      </w:r>
      <w:r>
        <w:rPr>
          <w:rFonts w:hint="eastAsia" w:ascii="仿宋_GB2312" w:eastAsia="仿宋_GB2312"/>
          <w:sz w:val="32"/>
          <w:szCs w:val="32"/>
        </w:rPr>
        <w:t>相关检查。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（四）部门项目绩效评价情况</w:t>
      </w:r>
    </w:p>
    <w:p>
      <w:p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广元</w:t>
      </w:r>
      <w:r>
        <w:rPr>
          <w:rFonts w:hint="eastAsia" w:ascii="楷体_GB2312" w:eastAsia="楷体_GB2312"/>
          <w:bCs/>
          <w:sz w:val="32"/>
          <w:szCs w:val="32"/>
          <w:lang w:eastAsia="zh-CN"/>
        </w:rPr>
        <w:t>市地质环境监测站</w:t>
      </w:r>
      <w:r>
        <w:rPr>
          <w:rFonts w:hint="eastAsia" w:ascii="楷体_GB2312" w:eastAsia="楷体_GB2312"/>
          <w:bCs/>
          <w:sz w:val="32"/>
          <w:szCs w:val="32"/>
          <w:lang w:val="en-US" w:eastAsia="zh-CN"/>
        </w:rPr>
        <w:t>2020</w:t>
      </w:r>
      <w:r>
        <w:rPr>
          <w:rFonts w:hint="eastAsia" w:ascii="楷体_GB2312" w:eastAsia="楷体_GB2312"/>
          <w:bCs/>
          <w:sz w:val="32"/>
          <w:szCs w:val="32"/>
        </w:rPr>
        <w:t>年被评价的一共</w:t>
      </w:r>
      <w:r>
        <w:rPr>
          <w:rFonts w:hint="eastAsia" w:ascii="楷体_GB2312" w:eastAsia="楷体_GB2312"/>
          <w:bCs/>
          <w:sz w:val="32"/>
          <w:szCs w:val="32"/>
          <w:lang w:val="en-US" w:eastAsia="zh-CN"/>
        </w:rPr>
        <w:t>1</w:t>
      </w:r>
      <w:r>
        <w:rPr>
          <w:rFonts w:hint="eastAsia" w:ascii="楷体_GB2312" w:eastAsia="楷体_GB2312"/>
          <w:bCs/>
          <w:sz w:val="32"/>
          <w:szCs w:val="32"/>
        </w:rPr>
        <w:t>个项目，评价得分100分，平均</w:t>
      </w:r>
      <w:r>
        <w:rPr>
          <w:rFonts w:hint="eastAsia" w:ascii="楷体_GB2312" w:eastAsia="楷体_GB2312"/>
          <w:bCs/>
          <w:sz w:val="32"/>
          <w:szCs w:val="32"/>
          <w:lang w:eastAsia="zh-CN"/>
        </w:rPr>
        <w:t>得</w:t>
      </w:r>
      <w:r>
        <w:rPr>
          <w:rFonts w:hint="eastAsia" w:ascii="楷体_GB2312" w:eastAsia="楷体_GB2312"/>
          <w:bCs/>
          <w:sz w:val="32"/>
          <w:szCs w:val="32"/>
        </w:rPr>
        <w:t>分</w:t>
      </w:r>
      <w:r>
        <w:rPr>
          <w:rFonts w:hint="eastAsia" w:ascii="楷体_GB2312" w:eastAsia="楷体_GB2312"/>
          <w:bCs/>
          <w:sz w:val="32"/>
          <w:szCs w:val="32"/>
          <w:lang w:val="en-US" w:eastAsia="zh-CN"/>
        </w:rPr>
        <w:t>100</w:t>
      </w:r>
      <w:r>
        <w:rPr>
          <w:rFonts w:hint="eastAsia" w:ascii="楷体_GB2312" w:eastAsia="楷体_GB2312"/>
          <w:bCs/>
          <w:sz w:val="32"/>
          <w:szCs w:val="32"/>
        </w:rPr>
        <w:t>分，按30%全重计算，我</w:t>
      </w:r>
      <w:r>
        <w:rPr>
          <w:rFonts w:hint="eastAsia" w:ascii="楷体_GB2312" w:eastAsia="楷体_GB2312"/>
          <w:bCs/>
          <w:sz w:val="32"/>
          <w:szCs w:val="32"/>
          <w:lang w:eastAsia="zh-CN"/>
        </w:rPr>
        <w:t>单位</w:t>
      </w:r>
      <w:r>
        <w:rPr>
          <w:rFonts w:hint="eastAsia" w:ascii="楷体_GB2312" w:eastAsia="楷体_GB2312"/>
          <w:bCs/>
          <w:sz w:val="32"/>
          <w:szCs w:val="32"/>
        </w:rPr>
        <w:t>项目绩效评价得分100分。</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三、存在问题</w:t>
      </w:r>
    </w:p>
    <w:p>
      <w:pPr>
        <w:numPr>
          <w:ilvl w:val="0"/>
          <w:numId w:val="0"/>
        </w:numPr>
        <w:autoSpaceDE w:val="0"/>
        <w:autoSpaceDN w:val="0"/>
        <w:adjustRightInd w:val="0"/>
        <w:spacing w:line="576" w:lineRule="atLeast"/>
        <w:ind w:leftChars="0"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加强内控制度的衔接与建立，我们也会今后在工作中不断改进和加强各项支出管理，确保整体支出绩效达到最佳水平。</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四、整改建议和意见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下一步改进措施：一是建议财政加强对单位及其财务人员项目绩效评价和内控制度建设等方面的培训力度，为适应新形势新要求，让每一个财务人员及时正确掌握政策，把握好财经纪律。建议将财务人员定期培训工作纳入目标任务。二是建议通过财政支出和项目绩效评价结果，财政根据各单位的项目工作任务及政府目标考核内容纳入项目工作经费，确保各单位履行行政职能职责有保障。</w:t>
      </w:r>
    </w:p>
    <w:p>
      <w:pPr>
        <w:spacing w:line="580" w:lineRule="exact"/>
        <w:rPr>
          <w:rFonts w:hint="eastAsia"/>
          <w:sz w:val="32"/>
          <w:szCs w:val="32"/>
        </w:rPr>
      </w:pPr>
    </w:p>
    <w:p>
      <w:pPr>
        <w:spacing w:line="580" w:lineRule="exact"/>
        <w:rPr>
          <w:rFonts w:hint="eastAsia"/>
          <w:sz w:val="32"/>
          <w:szCs w:val="32"/>
        </w:rPr>
      </w:pPr>
    </w:p>
    <w:p>
      <w:pPr>
        <w:spacing w:line="580" w:lineRule="exact"/>
        <w:rPr>
          <w:rFonts w:hint="eastAsia"/>
          <w:sz w:val="32"/>
          <w:szCs w:val="32"/>
        </w:rPr>
      </w:pPr>
      <w:r>
        <w:rPr>
          <w:rFonts w:hint="eastAsia"/>
          <w:sz w:val="32"/>
          <w:szCs w:val="32"/>
        </w:rPr>
        <w:t xml:space="preserve">   </w:t>
      </w:r>
    </w:p>
    <w:p>
      <w:pPr>
        <w:spacing w:line="580" w:lineRule="exact"/>
        <w:ind w:left="5430" w:leftChars="1824" w:hanging="1600" w:hangingChars="500"/>
        <w:rPr>
          <w:sz w:val="32"/>
          <w:szCs w:val="32"/>
        </w:rPr>
      </w:pPr>
      <w:r>
        <w:rPr>
          <w:rFonts w:hint="eastAsia"/>
          <w:sz w:val="32"/>
          <w:szCs w:val="32"/>
        </w:rPr>
        <w:t xml:space="preserve">  </w:t>
      </w:r>
    </w:p>
    <w:p>
      <w:pPr>
        <w:spacing w:line="580" w:lineRule="exact"/>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br w:type="page"/>
      </w: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560" w:lineRule="exact"/>
        <w:jc w:val="center"/>
        <w:outlineLvl w:val="0"/>
        <w:rPr>
          <w:rFonts w:hint="eastAsia" w:ascii="方正小标宋_GBK" w:hAnsi="Times New Roman" w:eastAsia="方正小标宋_GBK" w:cs="Times New Roman"/>
          <w:bCs/>
          <w:sz w:val="36"/>
          <w:szCs w:val="36"/>
        </w:rPr>
      </w:pPr>
      <w:r>
        <w:rPr>
          <w:rFonts w:hint="eastAsia" w:ascii="方正小标宋_GBK" w:hAnsi="Times New Roman" w:eastAsia="方正小标宋_GBK" w:cs="Times New Roman"/>
          <w:bCs/>
          <w:sz w:val="36"/>
          <w:szCs w:val="36"/>
          <w:lang w:eastAsia="zh-CN"/>
        </w:rPr>
        <w:t>关于市级地质灾害隐患点管理</w:t>
      </w:r>
      <w:r>
        <w:rPr>
          <w:rFonts w:hint="eastAsia" w:ascii="方正小标宋_GBK" w:hAnsi="Times New Roman" w:eastAsia="方正小标宋_GBK" w:cs="Times New Roman"/>
          <w:bCs/>
          <w:sz w:val="36"/>
          <w:szCs w:val="36"/>
        </w:rPr>
        <w:t>项目</w:t>
      </w:r>
      <w:r>
        <w:rPr>
          <w:rFonts w:hint="default" w:ascii="方正小标宋_GBK" w:hAnsi="Times New Roman" w:eastAsia="方正小标宋_GBK" w:cs="Times New Roman"/>
          <w:bCs/>
          <w:sz w:val="36"/>
          <w:szCs w:val="36"/>
        </w:rPr>
        <w:t>2020</w:t>
      </w:r>
      <w:r>
        <w:rPr>
          <w:rFonts w:hint="eastAsia" w:ascii="方正小标宋_GBK" w:hAnsi="Times New Roman" w:eastAsia="方正小标宋_GBK" w:cs="Times New Roman"/>
          <w:bCs/>
          <w:sz w:val="36"/>
          <w:szCs w:val="36"/>
        </w:rPr>
        <w:t>年绩效评价报告</w:t>
      </w:r>
    </w:p>
    <w:p>
      <w:pPr>
        <w:keepNext w:val="0"/>
        <w:keepLines w:val="0"/>
        <w:pageBreakBefore w:val="0"/>
        <w:widowControl w:val="0"/>
        <w:kinsoku/>
        <w:wordWrap/>
        <w:overflowPunct/>
        <w:topLinePunct w:val="0"/>
        <w:autoSpaceDE/>
        <w:autoSpaceDN/>
        <w:bidi w:val="0"/>
        <w:spacing w:line="540" w:lineRule="exact"/>
        <w:textAlignment w:val="auto"/>
        <w:rPr>
          <w:rFonts w:ascii="宋体"/>
          <w:sz w:val="32"/>
          <w:szCs w:val="32"/>
        </w:rPr>
      </w:pPr>
      <w:r>
        <w:rPr>
          <w:rFonts w:hint="eastAsia" w:ascii="宋体"/>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0"/>
        <w:rPr>
          <w:rFonts w:hint="eastAsia" w:ascii="黑体" w:hAnsi="宋体" w:eastAsia="黑体"/>
          <w:sz w:val="32"/>
          <w:szCs w:val="32"/>
        </w:rPr>
      </w:pPr>
      <w:r>
        <w:rPr>
          <w:rFonts w:hint="eastAsia" w:ascii="黑体" w:hAnsi="黑体" w:eastAsia="黑体"/>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hint="eastAsia" w:ascii="楷体_GB2312" w:hAnsi="宋体"/>
          <w:b/>
          <w:sz w:val="32"/>
          <w:szCs w:val="32"/>
        </w:rPr>
      </w:pPr>
      <w:r>
        <w:rPr>
          <w:rFonts w:ascii="楷体_GB2312" w:hAnsi="楷体_GB2312"/>
          <w:b/>
          <w:sz w:val="32"/>
          <w:szCs w:val="32"/>
        </w:rPr>
        <w:t>（一）项目基本情况</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市地质环境监测站为市自然资源局下属事业单位，根据市自然资源局对市地质环境监测站职能划分，市地质环境监测站主要职能是</w:t>
      </w:r>
      <w:r>
        <w:rPr>
          <w:rFonts w:hint="eastAsia" w:ascii="仿宋_GB2312" w:hAnsi="Times New Roman" w:eastAsia="仿宋_GB2312" w:cs="Times New Roman"/>
          <w:sz w:val="32"/>
          <w:szCs w:val="32"/>
          <w:lang w:val="en-US" w:eastAsia="zh-CN"/>
        </w:rPr>
        <w:t>对全市地质灾害防治组织、协调、指导和监督，</w:t>
      </w:r>
      <w:r>
        <w:rPr>
          <w:rFonts w:hint="eastAsia" w:ascii="仿宋_GB2312" w:hAnsi="Times New Roman" w:eastAsia="仿宋_GB2312" w:cs="Times New Roman"/>
          <w:sz w:val="32"/>
          <w:szCs w:val="32"/>
          <w:lang w:eastAsia="zh-CN"/>
        </w:rPr>
        <w:t>在汛前组织指导各县区开展地质灾害防治知识宣传培训及避险演练，指导编制地质灾害防治年度规划，汛期开展地质灾害风险监测预警，指导基层一线做好地质灾害防范工作，指导全市地质环境管理工作。</w:t>
      </w:r>
    </w:p>
    <w:p>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本项目立项、资金申报主要依据《地质灾害防治条例》第一章第七条以及《省自然资源厅关于加强全省地质灾害隐患点动态管理工作的通知》等。</w:t>
      </w:r>
      <w:r>
        <w:rPr>
          <w:rFonts w:hint="eastAsia" w:ascii="仿宋_GB2312" w:hAnsi="Times New Roman" w:eastAsia="仿宋_GB2312" w:cs="Times New Roman"/>
          <w:sz w:val="32"/>
          <w:szCs w:val="32"/>
          <w:lang w:eastAsia="zh-CN"/>
        </w:rPr>
        <w:t>结合全市地质灾害隐患点状况，</w:t>
      </w:r>
      <w:r>
        <w:rPr>
          <w:rFonts w:hint="eastAsia" w:ascii="仿宋_GB2312" w:hAnsi="Times New Roman" w:eastAsia="仿宋_GB2312" w:cs="Times New Roman"/>
          <w:sz w:val="32"/>
          <w:szCs w:val="32"/>
          <w:lang w:val="en-US" w:eastAsia="zh-CN"/>
        </w:rPr>
        <w:t>2020年，</w:t>
      </w:r>
      <w:r>
        <w:rPr>
          <w:rFonts w:hint="eastAsia" w:ascii="仿宋_GB2312" w:hAnsi="Times New Roman" w:eastAsia="仿宋_GB2312" w:cs="Times New Roman"/>
          <w:sz w:val="32"/>
          <w:szCs w:val="32"/>
          <w:lang w:eastAsia="zh-CN"/>
        </w:rPr>
        <w:t>市级地质灾害隐患点管理</w:t>
      </w:r>
      <w:r>
        <w:rPr>
          <w:rFonts w:hint="eastAsia" w:ascii="仿宋_GB2312" w:hAnsi="Times New Roman" w:eastAsia="仿宋_GB2312" w:cs="Times New Roman"/>
          <w:sz w:val="32"/>
          <w:szCs w:val="32"/>
        </w:rPr>
        <w:t>项目</w:t>
      </w:r>
      <w:r>
        <w:rPr>
          <w:rFonts w:hint="eastAsia" w:ascii="仿宋_GB2312" w:hAnsi="Times New Roman" w:eastAsia="仿宋_GB2312" w:cs="Times New Roman"/>
          <w:sz w:val="32"/>
          <w:szCs w:val="32"/>
          <w:lang w:eastAsia="zh-CN"/>
        </w:rPr>
        <w:t>申报了</w:t>
      </w:r>
      <w:r>
        <w:rPr>
          <w:rFonts w:hint="eastAsia" w:ascii="仿宋_GB2312" w:hAnsi="Times New Roman" w:eastAsia="仿宋_GB2312" w:cs="Times New Roman"/>
          <w:sz w:val="32"/>
          <w:szCs w:val="32"/>
          <w:lang w:val="en-US" w:eastAsia="zh-CN"/>
        </w:rPr>
        <w:t>财政资金38.31万元。主要用于到全市地质灾害隐患点现场踏勘，对发生地质灾害灾险情时第一时间赶赴现场指导处置等。</w:t>
      </w:r>
    </w:p>
    <w:p>
      <w:pPr>
        <w:spacing w:line="58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本项目资金管理办法主要依据《中央对地方专项转移支付管理办法》《广元市自然资源局财务管理制度》和《预算法》等法律法规和相关制度严格管控项目开支，建立了常态化监督检查机制。</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（二）项目绩效目标</w:t>
      </w:r>
    </w:p>
    <w:p>
      <w:pPr>
        <w:spacing w:line="58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本项目绩效目标是：落实各项防灾措施，分层次开展宣传培训和避险演练，有效提升全社会防灾避险能力。提高全市地质灾害隐患点群策群防水平，搞好汛期排查，汛中巡查和汛后核查工作，实现地灾隐患点零伤亡。申报的绩效目标符合我市地质灾害隐患管理实际。</w:t>
      </w:r>
    </w:p>
    <w:p>
      <w:pPr>
        <w:spacing w:line="58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我市制定了年度地质灾害防治方案，健全了群测群防监测预警网络，落实了各级各部门地质灾害防治责任和防灾措施，市、县分层级开展了防灾知识宣传培训，各地“点对点”逐一开展了避险演练。开展了汛前地质灾害隐患排查、汛期地质灾害隐患集中大排查和日常地质灾害隐患动态巡查排查，实现了地质灾害隐患点零伤亡。</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（三）项目自评步骤及方法</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ascii="仿宋_GB2312" w:hAnsi="仿宋_GB2312"/>
          <w:sz w:val="32"/>
          <w:szCs w:val="32"/>
        </w:rPr>
      </w:pPr>
      <w:r>
        <w:rPr>
          <w:rFonts w:hint="eastAsia" w:ascii="仿宋_GB2312" w:hAnsi="Times New Roman" w:eastAsia="仿宋_GB2312" w:cs="Times New Roman"/>
          <w:sz w:val="32"/>
          <w:szCs w:val="32"/>
          <w:lang w:eastAsia="zh-CN"/>
        </w:rPr>
        <w:t>项目自评主要采用分层级列出各项指标，并对照预期指标值和实际完成指标值开展自评。对数量指标、质量指标、时效指标、成本指标、社会效益、生态效益、可持续影响指标以及满意度指标等逐一对比完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0"/>
        <w:rPr>
          <w:rFonts w:ascii="黑体" w:hAnsi="宋体" w:eastAsia="黑体"/>
          <w:sz w:val="32"/>
          <w:szCs w:val="32"/>
        </w:rPr>
      </w:pPr>
      <w:r>
        <w:rPr>
          <w:rFonts w:hint="eastAsia" w:ascii="黑体" w:hAnsi="黑体" w:eastAsia="黑体"/>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hint="eastAsia" w:ascii="楷体_GB2312" w:hAnsi="宋体"/>
          <w:b/>
          <w:sz w:val="32"/>
          <w:szCs w:val="32"/>
        </w:rPr>
      </w:pPr>
      <w:r>
        <w:rPr>
          <w:rFonts w:ascii="楷体_GB2312" w:hAnsi="楷体_GB2312"/>
          <w:b/>
          <w:sz w:val="32"/>
          <w:szCs w:val="32"/>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2020年，根据我市地质灾害隐患实际状况，申报了市级地质灾害隐患点管理项目申报资金38.31万元，批复执行数38.31万元，不存在预算调整等情况。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仿宋_GB2312" w:hAnsi="宋体"/>
          <w:sz w:val="32"/>
          <w:szCs w:val="32"/>
        </w:rPr>
      </w:pPr>
      <w:r>
        <w:rPr>
          <w:rFonts w:ascii="楷体_GB2312" w:hAnsi="楷体_GB2312"/>
          <w:b/>
          <w:sz w:val="32"/>
          <w:szCs w:val="32"/>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本项目资金计划为38.31万元，来源为市级财政资金，无项目单位自筹资金。</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本项目到位市级财政资金为38.31万元，到位及时，到位率100%。</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2020年，对全市地质灾害隐患现场踏勘、指导灾险情应对处置等累计出场1431次，已全部支出该项目资金38.31万元。主要用于支付部门工作人员到现场察看地质灾害隐患点、到现场指导处置灾险情等相关工作经费。</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（三）项目财务管理情况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我单位财务管理制度健全，严格按照《预算法》《政府会计制度》《广元市自然资源局财务管理制度》等的相关规定，在日常中严格执行各项财经纪律，及时处理各项账务，规范各类会计核算。</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黑体" w:hAnsi="黑体" w:eastAsia="黑体"/>
          <w:sz w:val="32"/>
          <w:szCs w:val="32"/>
        </w:rPr>
        <w:t>三、项目实施及管理情况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楷体_GB2312"/>
          <w:b/>
          <w:sz w:val="32"/>
          <w:szCs w:val="32"/>
        </w:rPr>
      </w:pPr>
      <w:r>
        <w:rPr>
          <w:rFonts w:ascii="楷体_GB2312" w:hAnsi="楷体_GB2312"/>
          <w:b/>
          <w:sz w:val="32"/>
          <w:szCs w:val="32"/>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质灾害隐患点管理由市地质环境监测站组织实施，主要是在汛前组织指导各地开展地质灾害防治知识宣传培训及避险演练工作，指导开展汛前地质灾害隐患排查；汛期开展地质灾害风险监测预警，现场指导应对处置地质灾害灾险情，指导基层一线做好地质灾害防范工作。</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楷体_GB2312"/>
          <w:b/>
          <w:sz w:val="32"/>
          <w:szCs w:val="32"/>
        </w:rPr>
      </w:pPr>
      <w:r>
        <w:rPr>
          <w:rFonts w:ascii="楷体_GB2312" w:hAnsi="楷体_GB2312"/>
          <w:b/>
          <w:sz w:val="32"/>
          <w:szCs w:val="32"/>
        </w:rPr>
        <w:t>（二）项目管理情况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项目严格按照《地质灾害防治条例》《国务院关于加强地质灾害防治工作的决定》《四川省地质环境管理条例》《四川省国土资源厅关于加强全省地质灾害隐患点动态管理工作的通知》等法律法规实施，坚持“动态排查、动态核实、动态监测、动态管理”的原则，规范了地质灾害群测群防工作，提高了地质灾害防治工作的针对性和实效性。</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楷体_GB2312"/>
          <w:b/>
          <w:sz w:val="32"/>
          <w:szCs w:val="32"/>
        </w:rPr>
      </w:pPr>
      <w:r>
        <w:rPr>
          <w:rFonts w:ascii="楷体_GB2312" w:hAnsi="楷体_GB2312"/>
          <w:b/>
          <w:sz w:val="32"/>
          <w:szCs w:val="32"/>
        </w:rPr>
        <w:t>（三）项目监管情况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市自然资源局为我单位主管部门，经常召开党委会、局务会安排部署地质灾害防治工作，在汛期把地质灾害防治工作作为全局的重点工作之一来抓，与水利、应急等部门组成督导检查组到各地隐患点防灾一线实地察看防灾措施落实情况；市地质环境监测站也组成多个检查指导组，分批到各地开展防灾减灾指导工作，有效地促进了地质灾害防治责任和各项防灾措施落实。</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0"/>
        <w:rPr>
          <w:rFonts w:ascii="仿宋_GB2312" w:hAnsi="宋体"/>
          <w:sz w:val="32"/>
          <w:szCs w:val="32"/>
        </w:rPr>
      </w:pPr>
      <w:r>
        <w:rPr>
          <w:rFonts w:hint="eastAsia" w:ascii="黑体" w:hAnsi="黑体" w:eastAsia="黑体"/>
          <w:sz w:val="32"/>
          <w:szCs w:val="32"/>
        </w:rPr>
        <w:t>四、项目绩效情况</w:t>
      </w:r>
      <w:r>
        <w:rPr>
          <w:rFonts w:ascii="仿宋_GB2312" w:hAnsi="宋体"/>
          <w:sz w:val="32"/>
          <w:szCs w:val="32"/>
        </w:rPr>
        <w:tab/>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（一）项目完成情况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在2020年底前，本项目落实了全市1431处隐患点防灾措施，完成了全市1431处地质灾害隐患点群测群防监测措施，同步对1431处隐患点完成了宣传培训和避险演练，提高了地质灾害隐患点群测群防水平。在汛期开展了地质灾害隐患集中大排查，做到了汛中巡查和汛后核查，掌握了地质灾害风险隐患底数，确保了2020年度地质灾害隐患点零伤亡，全面完成了目标任务。</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（二）项目效益情况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通过本项目的实施，为我市社会经济发展提供了安全的地质环境条件，使受地质灾害损坏的生态环境得以恢复和提升，使地质灾害隐患点周边群众的生产生活得到有效保障，群众对地质灾害隐患的管理十分满意。</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0"/>
        <w:rPr>
          <w:rFonts w:ascii="黑体" w:hAnsi="宋体" w:eastAsia="黑体"/>
          <w:sz w:val="32"/>
          <w:szCs w:val="32"/>
        </w:rPr>
      </w:pPr>
      <w:r>
        <w:rPr>
          <w:rFonts w:hint="eastAsia" w:ascii="黑体" w:hAnsi="黑体" w:eastAsia="黑体"/>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楷体_GB2312"/>
          <w:b/>
          <w:sz w:val="32"/>
          <w:szCs w:val="32"/>
        </w:rPr>
      </w:pPr>
      <w:r>
        <w:rPr>
          <w:rFonts w:ascii="楷体_GB2312" w:hAnsi="楷体_GB2312"/>
          <w:b/>
          <w:sz w:val="32"/>
          <w:szCs w:val="32"/>
        </w:rPr>
        <w:t>（一）评价结论</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地质灾害隐患点管理项目完成了数量、质量、时效及成本指标，取得了良好的社会、生态、经济效益，受益群众满意度100%，该项目的目标任务全面完成。</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（二）存在的问题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地质灾害隐患是动态变化的，近年来极端强降雨天气增多，受汛期持续强降雨影响，地质灾害隐患点时有增加，灾险情时有发生，到现场查灾查险处置的次数就会增加，地质灾害隐患点管理经费还有欠缺。</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outlineLvl w:val="1"/>
        <w:rPr>
          <w:rFonts w:ascii="楷体_GB2312" w:hAnsi="宋体"/>
          <w:b/>
          <w:sz w:val="32"/>
          <w:szCs w:val="32"/>
        </w:rPr>
      </w:pPr>
      <w:r>
        <w:rPr>
          <w:rFonts w:ascii="楷体_GB2312" w:hAnsi="楷体_GB2312"/>
          <w:b/>
          <w:sz w:val="32"/>
          <w:szCs w:val="32"/>
        </w:rPr>
        <w:t>（三）相关建议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sz w:val="32"/>
          <w:szCs w:val="32"/>
          <w:lang w:val="en-US" w:eastAsia="zh-CN"/>
        </w:rPr>
      </w:pPr>
      <w:r>
        <w:rPr>
          <w:rFonts w:hint="eastAsia" w:ascii="仿宋_GB2312" w:hAnsi="Times New Roman" w:eastAsia="仿宋_GB2312" w:cs="Times New Roman"/>
          <w:sz w:val="32"/>
          <w:szCs w:val="32"/>
          <w:lang w:val="en-US" w:eastAsia="zh-CN"/>
        </w:rPr>
        <w:t>建议适当增加地质灾害隐患点管理经费，把地质灾害预警信息发送经费、年度地质灾害防治方案的公示经费等纳入市级财政统筹</w:t>
      </w:r>
      <w:r>
        <w:rPr>
          <w:rFonts w:hint="eastAsia" w:ascii="仿宋_GB2312" w:hAnsi="仿宋_GB2312"/>
          <w:sz w:val="32"/>
          <w:szCs w:val="32"/>
          <w:lang w:eastAsia="zh-CN"/>
        </w:rPr>
        <w:t>。</w:t>
      </w:r>
      <w:r>
        <w:rPr>
          <w:rFonts w:hint="eastAsia" w:ascii="仿宋_GB2312" w:hAnsi="仿宋_GB2312"/>
          <w:sz w:val="32"/>
          <w:szCs w:val="32"/>
          <w:lang w:val="en-US" w:eastAsia="zh-CN"/>
        </w:rPr>
        <w:t xml:space="preserve"> </w:t>
      </w:r>
    </w:p>
    <w:p>
      <w:pPr>
        <w:widowControl/>
        <w:jc w:val="left"/>
        <w:rPr>
          <w:rStyle w:val="37"/>
          <w:rFonts w:ascii="黑体" w:hAnsi="黑体" w:eastAsia="黑体"/>
          <w:b w:val="0"/>
        </w:rPr>
      </w:pPr>
      <w:r>
        <w:rPr>
          <w:rStyle w:val="37"/>
          <w:rFonts w:ascii="黑体" w:hAnsi="黑体" w:eastAsia="黑体"/>
          <w:b w:val="0"/>
        </w:rPr>
        <w:br w:type="page"/>
      </w:r>
    </w:p>
    <w:p>
      <w:pPr>
        <w:spacing w:line="600" w:lineRule="exact"/>
        <w:jc w:val="center"/>
        <w:outlineLvl w:val="0"/>
        <w:rPr>
          <w:rStyle w:val="37"/>
          <w:rFonts w:hint="eastAsia" w:ascii="黑体" w:hAnsi="黑体" w:eastAsia="黑体"/>
          <w:b w:val="0"/>
        </w:rPr>
      </w:pPr>
      <w:bookmarkStart w:id="42" w:name="_Toc15396618"/>
      <w:r>
        <w:rPr>
          <w:rFonts w:hint="eastAsia" w:ascii="黑体" w:hAnsi="黑体" w:eastAsia="黑体"/>
          <w:color w:val="000000"/>
          <w:sz w:val="44"/>
          <w:szCs w:val="44"/>
        </w:rPr>
        <w:t>第</w:t>
      </w:r>
      <w:r>
        <w:rPr>
          <w:rStyle w:val="37"/>
          <w:rFonts w:hint="eastAsia" w:ascii="黑体" w:hAnsi="黑体" w:eastAsia="黑体"/>
          <w:b w:val="0"/>
        </w:rPr>
        <w:t>五部分  附表</w:t>
      </w:r>
      <w:bookmarkEnd w:id="40"/>
      <w:bookmarkEnd w:id="42"/>
    </w:p>
    <w:p>
      <w:pPr>
        <w:spacing w:line="600" w:lineRule="exact"/>
        <w:jc w:val="center"/>
        <w:outlineLvl w:val="0"/>
        <w:rPr>
          <w:rStyle w:val="37"/>
          <w:rFonts w:hint="eastAsia" w:ascii="黑体" w:hAnsi="黑体" w:eastAsia="黑体"/>
          <w:b w:val="0"/>
        </w:rPr>
      </w:pPr>
    </w:p>
    <w:bookmarkEnd w:id="37"/>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二、收入决算表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四、财政拨款收入支出决算总表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六、一般公共预算财政拨款支出决算表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七、一般公共预算财政拨款支出决算明细表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八、一般公共预算财政拨款基本支出决算表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九、一般公共预算财政拨款项目支出决算表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十、一般公共预算财政拨款“三公”经费支出决算表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十一、政府性基金预算财政拨款收入支出决算表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十二、政府性基金预算财政拨款“三公”经费支出决算表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十三、国有资本经营预算财政拨款收入支出决算表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十四、国有资本经营预算财政拨款支出决算表</w:t>
      </w:r>
    </w:p>
    <w:p>
      <w:pPr>
        <w:rPr>
          <w:rFonts w:hint="eastAsia" w:ascii="仿宋_GB2312" w:hAnsi="Times New Roman" w:eastAsia="仿宋_GB2312" w:cs="Times New Roman"/>
          <w:kern w:val="2"/>
          <w:sz w:val="32"/>
          <w:szCs w:val="32"/>
          <w:lang w:val="en-US" w:eastAsia="zh-CN" w:bidi="ar-SA"/>
        </w:rPr>
      </w:pPr>
    </w:p>
    <w:p/>
    <w:sectPr>
      <w:headerReference r:id="rId3" w:type="default"/>
      <w:footerReference r:id="rId4" w:type="default"/>
      <w:pgSz w:w="11906" w:h="16838"/>
      <w:pgMar w:top="1440" w:right="1304" w:bottom="1134" w:left="1418" w:header="851"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31</w:t>
    </w:r>
    <w:r>
      <w:rPr>
        <w:rStyle w:val="15"/>
      </w:rPr>
      <w:fldChar w:fldCharType="end"/>
    </w:r>
  </w:p>
  <w:p>
    <w:pPr>
      <w:pStyle w:val="8"/>
      <w:ind w:right="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28C7ED72"/>
    <w:multiLevelType w:val="singleLevel"/>
    <w:tmpl w:val="28C7ED7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03BA4"/>
    <w:rsid w:val="000222C6"/>
    <w:rsid w:val="0002549F"/>
    <w:rsid w:val="00035BAF"/>
    <w:rsid w:val="00036507"/>
    <w:rsid w:val="000468DB"/>
    <w:rsid w:val="00056652"/>
    <w:rsid w:val="0006487A"/>
    <w:rsid w:val="00065F8F"/>
    <w:rsid w:val="00070A43"/>
    <w:rsid w:val="00071F1B"/>
    <w:rsid w:val="00072EEA"/>
    <w:rsid w:val="000763B8"/>
    <w:rsid w:val="000768F2"/>
    <w:rsid w:val="000824A7"/>
    <w:rsid w:val="00087B0F"/>
    <w:rsid w:val="0009184B"/>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4E9B"/>
    <w:rsid w:val="00142216"/>
    <w:rsid w:val="00144D6A"/>
    <w:rsid w:val="0014729F"/>
    <w:rsid w:val="0015174A"/>
    <w:rsid w:val="00157BAB"/>
    <w:rsid w:val="001654D1"/>
    <w:rsid w:val="00172DB9"/>
    <w:rsid w:val="00174518"/>
    <w:rsid w:val="0018106D"/>
    <w:rsid w:val="001877A7"/>
    <w:rsid w:val="00191536"/>
    <w:rsid w:val="00196687"/>
    <w:rsid w:val="001A03B9"/>
    <w:rsid w:val="001C0962"/>
    <w:rsid w:val="001D2E85"/>
    <w:rsid w:val="001D7531"/>
    <w:rsid w:val="001E18D7"/>
    <w:rsid w:val="001E737D"/>
    <w:rsid w:val="001F0592"/>
    <w:rsid w:val="001F7506"/>
    <w:rsid w:val="002006CD"/>
    <w:rsid w:val="00202B36"/>
    <w:rsid w:val="00204B7A"/>
    <w:rsid w:val="00204CDE"/>
    <w:rsid w:val="0021101A"/>
    <w:rsid w:val="00220536"/>
    <w:rsid w:val="002307CB"/>
    <w:rsid w:val="002328DD"/>
    <w:rsid w:val="00235629"/>
    <w:rsid w:val="00260C38"/>
    <w:rsid w:val="002616C0"/>
    <w:rsid w:val="00265372"/>
    <w:rsid w:val="002662AA"/>
    <w:rsid w:val="00280496"/>
    <w:rsid w:val="00294DC9"/>
    <w:rsid w:val="00295495"/>
    <w:rsid w:val="00296E64"/>
    <w:rsid w:val="002A31DE"/>
    <w:rsid w:val="002B2613"/>
    <w:rsid w:val="002B413C"/>
    <w:rsid w:val="002D19B0"/>
    <w:rsid w:val="002D6D05"/>
    <w:rsid w:val="002F1818"/>
    <w:rsid w:val="002F567B"/>
    <w:rsid w:val="003216A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7B60"/>
    <w:rsid w:val="003D0C0F"/>
    <w:rsid w:val="003D1FB2"/>
    <w:rsid w:val="003D66DA"/>
    <w:rsid w:val="003E1310"/>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530"/>
    <w:rsid w:val="00451544"/>
    <w:rsid w:val="0046577C"/>
    <w:rsid w:val="00471401"/>
    <w:rsid w:val="00473F31"/>
    <w:rsid w:val="0048263A"/>
    <w:rsid w:val="00486EE5"/>
    <w:rsid w:val="00487E5D"/>
    <w:rsid w:val="00496CB4"/>
    <w:rsid w:val="004A48F5"/>
    <w:rsid w:val="004A588C"/>
    <w:rsid w:val="004A711F"/>
    <w:rsid w:val="004B199D"/>
    <w:rsid w:val="004B4690"/>
    <w:rsid w:val="004B4C77"/>
    <w:rsid w:val="004E0A2D"/>
    <w:rsid w:val="004E206B"/>
    <w:rsid w:val="004E6DF7"/>
    <w:rsid w:val="004F0FBD"/>
    <w:rsid w:val="004F403E"/>
    <w:rsid w:val="004F6F23"/>
    <w:rsid w:val="00505A47"/>
    <w:rsid w:val="00512FDA"/>
    <w:rsid w:val="0051532A"/>
    <w:rsid w:val="00520DA0"/>
    <w:rsid w:val="00565AEA"/>
    <w:rsid w:val="005664BB"/>
    <w:rsid w:val="00566FFA"/>
    <w:rsid w:val="0057481D"/>
    <w:rsid w:val="00575F0B"/>
    <w:rsid w:val="0058054A"/>
    <w:rsid w:val="0058486E"/>
    <w:rsid w:val="00585B33"/>
    <w:rsid w:val="0059014D"/>
    <w:rsid w:val="005B5C64"/>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E73"/>
    <w:rsid w:val="006A3141"/>
    <w:rsid w:val="006A5E34"/>
    <w:rsid w:val="006B2422"/>
    <w:rsid w:val="006B2B9A"/>
    <w:rsid w:val="006C1937"/>
    <w:rsid w:val="006C570B"/>
    <w:rsid w:val="006E4764"/>
    <w:rsid w:val="006E76A7"/>
    <w:rsid w:val="006F020C"/>
    <w:rsid w:val="007127B7"/>
    <w:rsid w:val="00712E44"/>
    <w:rsid w:val="00715723"/>
    <w:rsid w:val="0071798E"/>
    <w:rsid w:val="00727533"/>
    <w:rsid w:val="007416B6"/>
    <w:rsid w:val="00746F48"/>
    <w:rsid w:val="0075404D"/>
    <w:rsid w:val="00757C91"/>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3576"/>
    <w:rsid w:val="007F53D9"/>
    <w:rsid w:val="007F55FC"/>
    <w:rsid w:val="007F5665"/>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4DB1"/>
    <w:rsid w:val="008C4EAF"/>
    <w:rsid w:val="008C5176"/>
    <w:rsid w:val="008C7FD0"/>
    <w:rsid w:val="008E1DE7"/>
    <w:rsid w:val="008E707C"/>
    <w:rsid w:val="008F3EF3"/>
    <w:rsid w:val="00900B08"/>
    <w:rsid w:val="00902155"/>
    <w:rsid w:val="00902FA3"/>
    <w:rsid w:val="00921781"/>
    <w:rsid w:val="00923564"/>
    <w:rsid w:val="0092392E"/>
    <w:rsid w:val="009315F9"/>
    <w:rsid w:val="00933499"/>
    <w:rsid w:val="00935C98"/>
    <w:rsid w:val="00946945"/>
    <w:rsid w:val="00951248"/>
    <w:rsid w:val="0095152F"/>
    <w:rsid w:val="00954C49"/>
    <w:rsid w:val="00955E37"/>
    <w:rsid w:val="0097099F"/>
    <w:rsid w:val="00971997"/>
    <w:rsid w:val="00971FFC"/>
    <w:rsid w:val="009735B5"/>
    <w:rsid w:val="00973FB7"/>
    <w:rsid w:val="00981ACD"/>
    <w:rsid w:val="0098660A"/>
    <w:rsid w:val="009931C3"/>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2709"/>
    <w:rsid w:val="00C44F57"/>
    <w:rsid w:val="00C533CC"/>
    <w:rsid w:val="00C5751C"/>
    <w:rsid w:val="00C61BFC"/>
    <w:rsid w:val="00C62B85"/>
    <w:rsid w:val="00C65438"/>
    <w:rsid w:val="00C80440"/>
    <w:rsid w:val="00C91CBB"/>
    <w:rsid w:val="00C92A53"/>
    <w:rsid w:val="00CA570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4D2"/>
    <w:rsid w:val="00D51276"/>
    <w:rsid w:val="00D51920"/>
    <w:rsid w:val="00D63930"/>
    <w:rsid w:val="00D7035F"/>
    <w:rsid w:val="00DA5BC9"/>
    <w:rsid w:val="00DA634F"/>
    <w:rsid w:val="00DA65AC"/>
    <w:rsid w:val="00DB1913"/>
    <w:rsid w:val="00DC1361"/>
    <w:rsid w:val="00DC410D"/>
    <w:rsid w:val="00DC5A81"/>
    <w:rsid w:val="00DC68CA"/>
    <w:rsid w:val="00DC7CBA"/>
    <w:rsid w:val="00DD73B7"/>
    <w:rsid w:val="00DF28BC"/>
    <w:rsid w:val="00DF34B9"/>
    <w:rsid w:val="00E01053"/>
    <w:rsid w:val="00E04239"/>
    <w:rsid w:val="00E07ACF"/>
    <w:rsid w:val="00E331A1"/>
    <w:rsid w:val="00E33202"/>
    <w:rsid w:val="00E336A9"/>
    <w:rsid w:val="00E45202"/>
    <w:rsid w:val="00E472B1"/>
    <w:rsid w:val="00E4740A"/>
    <w:rsid w:val="00E50624"/>
    <w:rsid w:val="00E568DF"/>
    <w:rsid w:val="00E64269"/>
    <w:rsid w:val="00E66797"/>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408F"/>
    <w:rsid w:val="00F240E9"/>
    <w:rsid w:val="00F35E63"/>
    <w:rsid w:val="00F36D8F"/>
    <w:rsid w:val="00F417B1"/>
    <w:rsid w:val="00F45853"/>
    <w:rsid w:val="00F602DF"/>
    <w:rsid w:val="00F71E92"/>
    <w:rsid w:val="00F754A1"/>
    <w:rsid w:val="00F81FD9"/>
    <w:rsid w:val="00F841AA"/>
    <w:rsid w:val="00F84A94"/>
    <w:rsid w:val="00F87E96"/>
    <w:rsid w:val="00F91249"/>
    <w:rsid w:val="00FA23E8"/>
    <w:rsid w:val="00FA586E"/>
    <w:rsid w:val="00FD3CC1"/>
    <w:rsid w:val="00FE7366"/>
    <w:rsid w:val="00FE7819"/>
    <w:rsid w:val="00FF1E02"/>
    <w:rsid w:val="00FF30B4"/>
    <w:rsid w:val="058C072B"/>
    <w:rsid w:val="07DE0A6C"/>
    <w:rsid w:val="088F1785"/>
    <w:rsid w:val="09CF1707"/>
    <w:rsid w:val="0A3C0A6C"/>
    <w:rsid w:val="0A4B1C59"/>
    <w:rsid w:val="0AFC619F"/>
    <w:rsid w:val="0B2610EC"/>
    <w:rsid w:val="0B3B1F00"/>
    <w:rsid w:val="0DD75714"/>
    <w:rsid w:val="0E1E2A88"/>
    <w:rsid w:val="0E946040"/>
    <w:rsid w:val="10C055FF"/>
    <w:rsid w:val="10C07695"/>
    <w:rsid w:val="10DE3302"/>
    <w:rsid w:val="111051E3"/>
    <w:rsid w:val="1248787E"/>
    <w:rsid w:val="131D1574"/>
    <w:rsid w:val="1438021D"/>
    <w:rsid w:val="146002B9"/>
    <w:rsid w:val="14600B8F"/>
    <w:rsid w:val="14DE6368"/>
    <w:rsid w:val="14FF7D2F"/>
    <w:rsid w:val="1515286D"/>
    <w:rsid w:val="160E2BE2"/>
    <w:rsid w:val="1627130E"/>
    <w:rsid w:val="16BB723D"/>
    <w:rsid w:val="16F81AAD"/>
    <w:rsid w:val="17B776CF"/>
    <w:rsid w:val="18A800DC"/>
    <w:rsid w:val="18A8056D"/>
    <w:rsid w:val="19026AB4"/>
    <w:rsid w:val="19627B5E"/>
    <w:rsid w:val="199968DD"/>
    <w:rsid w:val="1A4B1CDF"/>
    <w:rsid w:val="1C1C5ED4"/>
    <w:rsid w:val="1D957489"/>
    <w:rsid w:val="1E1938A6"/>
    <w:rsid w:val="1E864938"/>
    <w:rsid w:val="1EA11F9F"/>
    <w:rsid w:val="1ED1539A"/>
    <w:rsid w:val="1EF4767A"/>
    <w:rsid w:val="204A4A1C"/>
    <w:rsid w:val="20BD0DD2"/>
    <w:rsid w:val="2123219E"/>
    <w:rsid w:val="240371BF"/>
    <w:rsid w:val="268B12D0"/>
    <w:rsid w:val="295364FC"/>
    <w:rsid w:val="29FD04D3"/>
    <w:rsid w:val="2A990C6A"/>
    <w:rsid w:val="2AD71259"/>
    <w:rsid w:val="2AE913DA"/>
    <w:rsid w:val="2B7C0BFA"/>
    <w:rsid w:val="2B8D5151"/>
    <w:rsid w:val="2DB027A8"/>
    <w:rsid w:val="308E13C4"/>
    <w:rsid w:val="319F7F4E"/>
    <w:rsid w:val="31A04E90"/>
    <w:rsid w:val="31E103CC"/>
    <w:rsid w:val="32566F47"/>
    <w:rsid w:val="360A7919"/>
    <w:rsid w:val="362C5056"/>
    <w:rsid w:val="3678361F"/>
    <w:rsid w:val="37422BA0"/>
    <w:rsid w:val="39EA3F3A"/>
    <w:rsid w:val="39FE6156"/>
    <w:rsid w:val="3A5D73E6"/>
    <w:rsid w:val="3B5C50A2"/>
    <w:rsid w:val="3BC84E62"/>
    <w:rsid w:val="3C1B662B"/>
    <w:rsid w:val="3C233C19"/>
    <w:rsid w:val="3C340349"/>
    <w:rsid w:val="3C740204"/>
    <w:rsid w:val="3CD07AAA"/>
    <w:rsid w:val="3D527E33"/>
    <w:rsid w:val="3E7F5346"/>
    <w:rsid w:val="3E865794"/>
    <w:rsid w:val="3FBB3EDC"/>
    <w:rsid w:val="40A02CF9"/>
    <w:rsid w:val="40EE2169"/>
    <w:rsid w:val="415B6549"/>
    <w:rsid w:val="419E0DFD"/>
    <w:rsid w:val="41EA284C"/>
    <w:rsid w:val="42467679"/>
    <w:rsid w:val="427C1B91"/>
    <w:rsid w:val="42B67EDD"/>
    <w:rsid w:val="42DC6FCD"/>
    <w:rsid w:val="43E80302"/>
    <w:rsid w:val="4478018A"/>
    <w:rsid w:val="447A7E94"/>
    <w:rsid w:val="44DE0C91"/>
    <w:rsid w:val="46826F27"/>
    <w:rsid w:val="47580A3F"/>
    <w:rsid w:val="48147B0E"/>
    <w:rsid w:val="48AB0499"/>
    <w:rsid w:val="4A742A2B"/>
    <w:rsid w:val="4B3711DA"/>
    <w:rsid w:val="4B544FC7"/>
    <w:rsid w:val="4BF54C17"/>
    <w:rsid w:val="4D532219"/>
    <w:rsid w:val="4E4E5C98"/>
    <w:rsid w:val="4ECE2238"/>
    <w:rsid w:val="4F20722D"/>
    <w:rsid w:val="4F9E3D48"/>
    <w:rsid w:val="50847E3F"/>
    <w:rsid w:val="509609B8"/>
    <w:rsid w:val="51423736"/>
    <w:rsid w:val="52962D15"/>
    <w:rsid w:val="529F4220"/>
    <w:rsid w:val="52FB61EE"/>
    <w:rsid w:val="53FD0FD0"/>
    <w:rsid w:val="551A04A3"/>
    <w:rsid w:val="566C64F2"/>
    <w:rsid w:val="5861216A"/>
    <w:rsid w:val="59870923"/>
    <w:rsid w:val="5A7826CE"/>
    <w:rsid w:val="5AE052DB"/>
    <w:rsid w:val="5C605F53"/>
    <w:rsid w:val="5DEB64B6"/>
    <w:rsid w:val="5E413410"/>
    <w:rsid w:val="5F3E27B6"/>
    <w:rsid w:val="5F8222E6"/>
    <w:rsid w:val="5F956146"/>
    <w:rsid w:val="5FF2518A"/>
    <w:rsid w:val="60984E8D"/>
    <w:rsid w:val="61E47C14"/>
    <w:rsid w:val="63676635"/>
    <w:rsid w:val="63FA097E"/>
    <w:rsid w:val="63FF2A9B"/>
    <w:rsid w:val="644276AC"/>
    <w:rsid w:val="65E41219"/>
    <w:rsid w:val="660855D2"/>
    <w:rsid w:val="67736FF5"/>
    <w:rsid w:val="67C839AC"/>
    <w:rsid w:val="6847141C"/>
    <w:rsid w:val="6854692B"/>
    <w:rsid w:val="691A348B"/>
    <w:rsid w:val="6A194C42"/>
    <w:rsid w:val="6A543F22"/>
    <w:rsid w:val="6B534062"/>
    <w:rsid w:val="6B942172"/>
    <w:rsid w:val="6B9C1000"/>
    <w:rsid w:val="6BB96779"/>
    <w:rsid w:val="6D2F34DE"/>
    <w:rsid w:val="6D4076D6"/>
    <w:rsid w:val="6DCB7D73"/>
    <w:rsid w:val="6E245129"/>
    <w:rsid w:val="6E633B4F"/>
    <w:rsid w:val="6FB502F8"/>
    <w:rsid w:val="71D27A57"/>
    <w:rsid w:val="72734D90"/>
    <w:rsid w:val="753E4405"/>
    <w:rsid w:val="769B4839"/>
    <w:rsid w:val="76C25776"/>
    <w:rsid w:val="77B55D7E"/>
    <w:rsid w:val="78CB58F9"/>
    <w:rsid w:val="78E87F4E"/>
    <w:rsid w:val="79306B95"/>
    <w:rsid w:val="799B1046"/>
    <w:rsid w:val="79CD17B1"/>
    <w:rsid w:val="7A6969ED"/>
    <w:rsid w:val="7AB71011"/>
    <w:rsid w:val="7ABF427F"/>
    <w:rsid w:val="7BB827E7"/>
    <w:rsid w:val="7D3E4C1B"/>
    <w:rsid w:val="7DDB115E"/>
    <w:rsid w:val="7E1F67A2"/>
    <w:rsid w:val="7E4321D4"/>
    <w:rsid w:val="7FDD5EE9"/>
    <w:rsid w:val="DCBD1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semiHidden/>
    <w:qFormat/>
    <w:uiPriority w:val="99"/>
    <w:pPr>
      <w:tabs>
        <w:tab w:val="right" w:leader="dot" w:pos="8296"/>
      </w:tabs>
      <w:adjustRightInd w:val="0"/>
      <w:snapToGrid w:val="0"/>
      <w:spacing w:line="380" w:lineRule="exact"/>
      <w:jc w:val="left"/>
    </w:pPr>
    <w:rPr>
      <w:rFonts w:ascii="黑体" w:hAnsi="黑体" w:eastAsia="黑体" w:cs="黑体"/>
      <w:sz w:val="24"/>
      <w:szCs w:val="24"/>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标题 1 Char"/>
    <w:basedOn w:val="13"/>
    <w:link w:val="2"/>
    <w:qFormat/>
    <w:locked/>
    <w:uiPriority w:val="99"/>
    <w:rPr>
      <w:rFonts w:ascii="Times New Roman" w:hAnsi="Times New Roman" w:cs="Times New Roman"/>
      <w:b/>
      <w:bCs/>
      <w:kern w:val="44"/>
      <w:sz w:val="44"/>
      <w:szCs w:val="44"/>
    </w:rPr>
  </w:style>
  <w:style w:type="character" w:customStyle="1" w:styleId="18">
    <w:name w:val="标题 2 Char"/>
    <w:basedOn w:val="13"/>
    <w:link w:val="3"/>
    <w:qFormat/>
    <w:locked/>
    <w:uiPriority w:val="99"/>
    <w:rPr>
      <w:rFonts w:ascii="Cambria" w:hAnsi="Cambria" w:eastAsia="宋体" w:cs="Cambria"/>
      <w:b/>
      <w:bCs/>
      <w:kern w:val="2"/>
      <w:sz w:val="32"/>
      <w:szCs w:val="32"/>
    </w:rPr>
  </w:style>
  <w:style w:type="character" w:customStyle="1" w:styleId="19">
    <w:name w:val="标题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批注框文本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列出段落1"/>
    <w:basedOn w:val="1"/>
    <w:qFormat/>
    <w:uiPriority w:val="0"/>
    <w:pPr>
      <w:ind w:firstLine="420" w:firstLineChars="200"/>
    </w:pPr>
  </w:style>
  <w:style w:type="paragraph" w:customStyle="1" w:styleId="32">
    <w:name w:val="列出段落2"/>
    <w:basedOn w:val="1"/>
    <w:qFormat/>
    <w:uiPriority w:val="0"/>
    <w:pPr>
      <w:ind w:firstLine="420" w:firstLineChars="200"/>
    </w:pPr>
  </w:style>
  <w:style w:type="character" w:customStyle="1" w:styleId="33">
    <w:name w:val="font31"/>
    <w:qFormat/>
    <w:uiPriority w:val="0"/>
    <w:rPr>
      <w:rFonts w:hint="eastAsia" w:ascii="仿宋_GB2312" w:eastAsia="仿宋_GB2312" w:cs="仿宋_GB2312"/>
      <w:color w:val="000000"/>
      <w:sz w:val="24"/>
      <w:szCs w:val="24"/>
      <w:u w:val="none"/>
    </w:rPr>
  </w:style>
  <w:style w:type="character" w:customStyle="1" w:styleId="34">
    <w:name w:val="font41"/>
    <w:qFormat/>
    <w:uiPriority w:val="0"/>
    <w:rPr>
      <w:rFonts w:hint="eastAsia" w:ascii="仿宋_GB2312" w:eastAsia="仿宋_GB2312" w:cs="仿宋_GB2312"/>
      <w:color w:val="000000"/>
      <w:sz w:val="18"/>
      <w:szCs w:val="18"/>
      <w:u w:val="none"/>
    </w:rPr>
  </w:style>
  <w:style w:type="character" w:customStyle="1" w:styleId="35">
    <w:name w:val="font51"/>
    <w:qFormat/>
    <w:uiPriority w:val="0"/>
    <w:rPr>
      <w:rFonts w:hint="eastAsia" w:ascii="仿宋_GB2312" w:eastAsia="仿宋_GB2312" w:cs="仿宋_GB2312"/>
      <w:color w:val="000000"/>
      <w:sz w:val="32"/>
      <w:szCs w:val="32"/>
      <w:u w:val="none"/>
    </w:rPr>
  </w:style>
  <w:style w:type="character" w:customStyle="1" w:styleId="36">
    <w:name w:val="font01"/>
    <w:qFormat/>
    <w:uiPriority w:val="0"/>
    <w:rPr>
      <w:rFonts w:hint="eastAsia" w:ascii="仿宋_GB2312" w:eastAsia="仿宋_GB2312" w:cs="仿宋_GB2312"/>
      <w:color w:val="000000"/>
      <w:sz w:val="21"/>
      <w:szCs w:val="21"/>
      <w:u w:val="none"/>
    </w:rPr>
  </w:style>
  <w:style w:type="character" w:customStyle="1" w:styleId="37">
    <w:name w:val="标题 1 字符"/>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13905</Words>
  <Characters>14747</Characters>
  <Lines>168</Lines>
  <Paragraphs>47</Paragraphs>
  <TotalTime>14</TotalTime>
  <ScaleCrop>false</ScaleCrop>
  <LinksUpToDate>false</LinksUpToDate>
  <CharactersWithSpaces>14833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2020-09-24T10:00:00Z</dcterms:created>
  <dc:creator>曹颖</dc:creator>
  <cp:lastModifiedBy>WPS_1466565073</cp:lastModifiedBy>
  <cp:lastPrinted>2021-05-21T21:39:00Z</cp:lastPrinted>
  <dcterms:modified xsi:type="dcterms:W3CDTF">2022-10-22T03:49:15Z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EA410B031CC54280B9B9542B1A0B50A9</vt:lpwstr>
  </property>
</Properties>
</file>