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32"/>
          <w:szCs w:val="32"/>
        </w:rPr>
      </w:pPr>
    </w:p>
    <w:p>
      <w:pPr>
        <w:adjustRightInd w:val="0"/>
        <w:snapToGrid w:val="0"/>
        <w:spacing w:line="700" w:lineRule="exact"/>
        <w:jc w:val="center"/>
        <w:outlineLvl w:val="0"/>
        <w:rPr>
          <w:rFonts w:ascii="方正小标宋_GBK" w:hAnsi="宋体" w:eastAsia="方正小标宋_GBK"/>
          <w:color w:val="000000"/>
          <w:sz w:val="48"/>
          <w:szCs w:val="48"/>
        </w:rPr>
      </w:pPr>
      <w:bookmarkStart w:id="1" w:name="_Toc15377425"/>
      <w:bookmarkStart w:id="2" w:name="_Toc15396597"/>
      <w:bookmarkStart w:id="3" w:name="_Toc15377193"/>
      <w:bookmarkStart w:id="4" w:name="_Toc15378441"/>
      <w:bookmarkStart w:id="5" w:name="_Toc15396475"/>
      <w:r>
        <w:rPr>
          <w:rFonts w:ascii="方正小标宋_GBK" w:hAnsi="黑体" w:eastAsia="方正小标宋_GBK" w:cs="方正小标宋_GBK"/>
          <w:color w:val="000000"/>
          <w:sz w:val="48"/>
          <w:szCs w:val="48"/>
        </w:rPr>
        <w:t>20</w:t>
      </w:r>
      <w:r>
        <w:rPr>
          <w:rFonts w:hint="eastAsia" w:ascii="方正小标宋_GBK" w:hAnsi="黑体" w:eastAsia="方正小标宋_GBK" w:cs="方正小标宋_GBK"/>
          <w:color w:val="000000"/>
          <w:sz w:val="48"/>
          <w:szCs w:val="48"/>
          <w:lang w:val="en-US" w:eastAsia="zh-CN"/>
        </w:rPr>
        <w:t>20</w:t>
      </w:r>
      <w:r>
        <w:rPr>
          <w:rFonts w:hint="eastAsia" w:ascii="方正小标宋_GBK" w:hAnsi="宋体" w:eastAsia="方正小标宋_GBK" w:cs="方正小标宋_GBK"/>
          <w:color w:val="000000"/>
          <w:sz w:val="48"/>
          <w:szCs w:val="48"/>
        </w:rPr>
        <w:t>年度</w:t>
      </w:r>
      <w:bookmarkEnd w:id="1"/>
      <w:bookmarkEnd w:id="2"/>
      <w:bookmarkEnd w:id="3"/>
      <w:bookmarkEnd w:id="4"/>
      <w:bookmarkEnd w:id="5"/>
    </w:p>
    <w:p>
      <w:pPr>
        <w:adjustRightInd w:val="0"/>
        <w:snapToGrid w:val="0"/>
        <w:spacing w:line="700" w:lineRule="exact"/>
        <w:jc w:val="center"/>
        <w:outlineLvl w:val="0"/>
        <w:rPr>
          <w:rFonts w:hint="eastAsia" w:ascii="方正小标宋_GBK" w:hAnsi="宋体" w:eastAsia="方正小标宋_GBK" w:cs="方正小标宋_GBK"/>
          <w:color w:val="000000"/>
          <w:sz w:val="48"/>
          <w:szCs w:val="48"/>
        </w:rPr>
      </w:pPr>
      <w:bookmarkStart w:id="6" w:name="_Toc15378442"/>
      <w:bookmarkStart w:id="7" w:name="_Toc15377194"/>
      <w:bookmarkStart w:id="8" w:name="_Toc15396598"/>
      <w:bookmarkStart w:id="9" w:name="_Toc15377426"/>
      <w:bookmarkStart w:id="10" w:name="_Toc15396476"/>
      <w:r>
        <w:rPr>
          <w:rFonts w:hint="eastAsia" w:ascii="方正小标宋_GBK" w:hAnsi="宋体" w:eastAsia="方正小标宋_GBK" w:cs="方正小标宋_GBK"/>
          <w:color w:val="000000"/>
          <w:sz w:val="48"/>
          <w:szCs w:val="48"/>
        </w:rPr>
        <w:t>广元市</w:t>
      </w:r>
      <w:bookmarkEnd w:id="0"/>
      <w:bookmarkStart w:id="11" w:name="_Toc15306268"/>
      <w:r>
        <w:rPr>
          <w:rFonts w:hint="eastAsia" w:ascii="方正小标宋_GBK" w:hAnsi="宋体" w:eastAsia="方正小标宋_GBK" w:cs="方正小标宋_GBK"/>
          <w:color w:val="000000"/>
          <w:sz w:val="48"/>
          <w:szCs w:val="48"/>
          <w:lang w:eastAsia="zh-CN"/>
        </w:rPr>
        <w:t>国土整治中心</w:t>
      </w:r>
      <w:r>
        <w:rPr>
          <w:rFonts w:hint="eastAsia" w:ascii="方正小标宋_GBK" w:hAnsi="宋体" w:eastAsia="方正小标宋_GBK" w:cs="方正小标宋_GBK"/>
          <w:color w:val="000000"/>
          <w:sz w:val="48"/>
          <w:szCs w:val="48"/>
        </w:rPr>
        <w:t>部门决算</w:t>
      </w:r>
      <w:bookmarkEnd w:id="6"/>
      <w:bookmarkEnd w:id="7"/>
      <w:bookmarkEnd w:id="8"/>
      <w:bookmarkEnd w:id="9"/>
      <w:bookmarkEnd w:id="10"/>
      <w:bookmarkEnd w:id="11"/>
    </w:p>
    <w:p>
      <w:pPr>
        <w:adjustRightInd w:val="0"/>
        <w:snapToGrid w:val="0"/>
        <w:spacing w:line="700" w:lineRule="exact"/>
        <w:jc w:val="center"/>
        <w:outlineLvl w:val="0"/>
        <w:rPr>
          <w:rFonts w:hint="eastAsia" w:ascii="方正小标宋_GBK" w:hAnsi="宋体" w:eastAsia="方正小标宋_GBK"/>
          <w:color w:val="000000"/>
          <w:sz w:val="48"/>
          <w:szCs w:val="48"/>
          <w:lang w:eastAsia="zh-CN"/>
        </w:rPr>
      </w:pPr>
      <w:r>
        <w:rPr>
          <w:rFonts w:hint="eastAsia" w:ascii="方正小标宋_GBK" w:hAnsi="宋体" w:eastAsia="方正小标宋_GBK" w:cs="方正小标宋_GBK"/>
          <w:color w:val="000000"/>
          <w:sz w:val="48"/>
          <w:szCs w:val="48"/>
          <w:lang w:eastAsia="zh-CN"/>
        </w:rPr>
        <w:t>编制说明</w:t>
      </w:r>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48"/>
          <w:szCs w:val="48"/>
        </w:rPr>
      </w:pPr>
    </w:p>
    <w:p>
      <w:pPr>
        <w:adjustRightInd w:val="0"/>
        <w:snapToGrid w:val="0"/>
        <w:spacing w:line="360" w:lineRule="auto"/>
        <w:jc w:val="center"/>
        <w:outlineLvl w:val="0"/>
        <w:rPr>
          <w:rFonts w:ascii="方正小标宋简体" w:hAnsi="宋体" w:eastAsia="方正小标宋简体"/>
          <w:b/>
          <w:bCs/>
          <w:color w:val="000000"/>
          <w:sz w:val="52"/>
          <w:szCs w:val="52"/>
        </w:rPr>
      </w:pPr>
    </w:p>
    <w:p>
      <w:pPr>
        <w:widowControl/>
        <w:jc w:val="center"/>
        <w:rPr>
          <w:rFonts w:hint="eastAsia" w:ascii="黑体" w:hAnsi="黑体" w:eastAsia="黑体" w:cs="黑体"/>
          <w:color w:val="000000"/>
          <w:sz w:val="36"/>
          <w:szCs w:val="36"/>
        </w:rPr>
      </w:pPr>
      <w:r>
        <w:rPr>
          <w:rFonts w:ascii="方正小标宋简体" w:hAnsi="宋体" w:eastAsia="方正小标宋简体"/>
          <w:color w:val="000000"/>
          <w:sz w:val="36"/>
          <w:szCs w:val="36"/>
        </w:rPr>
        <w:br w:type="page"/>
      </w:r>
      <w:r>
        <w:rPr>
          <w:rFonts w:hint="eastAsia" w:asciiTheme="majorEastAsia" w:hAnsiTheme="majorEastAsia" w:eastAsiaTheme="majorEastAsia" w:cstheme="majorEastAsia"/>
          <w:b/>
          <w:bCs/>
          <w:color w:val="000000"/>
          <w:sz w:val="36"/>
          <w:szCs w:val="36"/>
        </w:rPr>
        <w:t>目    录</w:t>
      </w:r>
    </w:p>
    <w:p>
      <w:pPr>
        <w:widowControl/>
        <w:jc w:val="center"/>
        <w:rPr>
          <w:rFonts w:hint="eastAsia" w:asciiTheme="minorEastAsia" w:hAnsiTheme="minorEastAsia" w:eastAsiaTheme="minorEastAsia" w:cstheme="minorEastAsia"/>
          <w:b w:val="0"/>
          <w:bCs w:val="0"/>
          <w:color w:val="000000"/>
          <w:sz w:val="30"/>
          <w:szCs w:val="30"/>
          <w:lang w:eastAsia="zh-CN"/>
        </w:rPr>
      </w:pPr>
      <w:r>
        <w:rPr>
          <w:rFonts w:hint="eastAsia" w:asciiTheme="minorEastAsia" w:hAnsiTheme="minorEastAsia" w:eastAsiaTheme="minorEastAsia" w:cstheme="minorEastAsia"/>
          <w:b w:val="0"/>
          <w:bCs w:val="0"/>
          <w:color w:val="000000"/>
          <w:sz w:val="30"/>
          <w:szCs w:val="30"/>
          <w:lang w:eastAsia="zh-CN"/>
        </w:rPr>
        <w:t>（公开时间：</w:t>
      </w:r>
      <w:r>
        <w:rPr>
          <w:rFonts w:hint="eastAsia" w:asciiTheme="minorEastAsia" w:hAnsiTheme="minorEastAsia" w:eastAsiaTheme="minorEastAsia" w:cstheme="minorEastAsia"/>
          <w:b w:val="0"/>
          <w:bCs w:val="0"/>
          <w:color w:val="000000"/>
          <w:sz w:val="30"/>
          <w:szCs w:val="30"/>
          <w:lang w:val="en-US" w:eastAsia="zh-CN"/>
        </w:rPr>
        <w:t>2021年9月29日</w:t>
      </w:r>
      <w:r>
        <w:rPr>
          <w:rFonts w:hint="eastAsia" w:asciiTheme="minorEastAsia" w:hAnsiTheme="minorEastAsia" w:eastAsiaTheme="minorEastAsia" w:cstheme="minorEastAsia"/>
          <w:b w:val="0"/>
          <w:bCs w:val="0"/>
          <w:color w:val="000000"/>
          <w:sz w:val="30"/>
          <w:szCs w:val="30"/>
          <w:lang w:eastAsia="zh-CN"/>
        </w:rPr>
        <w:t>）</w:t>
      </w:r>
    </w:p>
    <w:p/>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第一部分 部门概况</w:t>
      </w:r>
    </w:p>
    <w:p>
      <w:pPr>
        <w:pStyle w:val="11"/>
        <w:adjustRightInd w:val="0"/>
        <w:snapToGrid w:val="0"/>
        <w:spacing w:line="380" w:lineRule="exact"/>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一、基本职能及主要</w:t>
      </w:r>
      <w:r>
        <w:rPr>
          <w:rFonts w:hint="eastAsia" w:asciiTheme="minorEastAsia" w:hAnsiTheme="minorEastAsia" w:eastAsiaTheme="minorEastAsia" w:cstheme="minorEastAsia"/>
          <w:sz w:val="28"/>
          <w:szCs w:val="28"/>
          <w:lang w:eastAsia="zh-CN"/>
        </w:rPr>
        <w:t>工</w:t>
      </w:r>
      <w:r>
        <w:rPr>
          <w:rFonts w:hint="eastAsia" w:asciiTheme="minorEastAsia" w:hAnsiTheme="minorEastAsia" w:eastAsiaTheme="minorEastAsia" w:cstheme="minorEastAsia"/>
          <w:sz w:val="28"/>
          <w:szCs w:val="28"/>
        </w:rPr>
        <w:t>作…………………………………………………</w:t>
      </w:r>
      <w:r>
        <w:rPr>
          <w:rFonts w:hint="eastAsia" w:asciiTheme="minorEastAsia" w:hAnsiTheme="minorEastAsia" w:eastAsiaTheme="minorEastAsia" w:cstheme="minorEastAsia"/>
          <w:sz w:val="28"/>
          <w:szCs w:val="28"/>
          <w:lang w:val="en-US" w:eastAsia="zh-CN"/>
        </w:rPr>
        <w:t>4</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二、机构设置………………………………………………………………</w:t>
      </w:r>
      <w:r>
        <w:rPr>
          <w:rFonts w:hint="eastAsia" w:asciiTheme="minorEastAsia" w:hAnsiTheme="minorEastAsia" w:eastAsiaTheme="minorEastAsia" w:cstheme="minorEastAsia"/>
          <w:sz w:val="28"/>
          <w:szCs w:val="28"/>
          <w:lang w:val="en-US" w:eastAsia="zh-CN"/>
        </w:rPr>
        <w:t>7</w:t>
      </w:r>
    </w:p>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第二部分 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年度部门决算情况说明</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一、收入支出决算总体情况说明…………………………………………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二、收入决算情况说明……………………………………………………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三、支出决算情况说明……………………………………………………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四、财政拨款收入支出决算总体情况说明………………………………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五、一般公共预算财政拨款支出决算情况说明…………………………</w:t>
      </w:r>
      <w:r>
        <w:rPr>
          <w:rFonts w:hint="eastAsia" w:asciiTheme="minorEastAsia" w:hAnsiTheme="minorEastAsia" w:eastAsiaTheme="minorEastAsia" w:cstheme="minorEastAsia"/>
          <w:sz w:val="28"/>
          <w:szCs w:val="28"/>
          <w:lang w:val="en-US" w:eastAsia="zh-CN"/>
        </w:rPr>
        <w:t>8</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六、一般公共预算财政拨款基本支出决算情况说明……………………</w:t>
      </w:r>
      <w:r>
        <w:rPr>
          <w:rFonts w:hint="eastAsia" w:asciiTheme="minorEastAsia" w:hAnsiTheme="minorEastAsia" w:eastAsiaTheme="minorEastAsia" w:cstheme="minorEastAsia"/>
          <w:sz w:val="28"/>
          <w:szCs w:val="28"/>
          <w:lang w:val="en-US" w:eastAsia="zh-CN"/>
        </w:rPr>
        <w:t>9</w:t>
      </w:r>
    </w:p>
    <w:p>
      <w:pPr>
        <w:pStyle w:val="11"/>
        <w:adjustRightInd w:val="0"/>
        <w:snapToGrid w:val="0"/>
        <w:spacing w:line="380" w:lineRule="exact"/>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七、“三公”经费财政拨款支出决算情况说明……………………</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p>
    <w:p>
      <w:pPr>
        <w:pStyle w:val="11"/>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八、政府性基金预算支出决算情况说明…………………………………</w:t>
      </w:r>
      <w:r>
        <w:rPr>
          <w:rFonts w:hint="eastAsia" w:asciiTheme="minorEastAsia" w:hAnsiTheme="minorEastAsia" w:eastAsiaTheme="minorEastAsia" w:cstheme="minorEastAsia"/>
          <w:sz w:val="28"/>
          <w:szCs w:val="28"/>
          <w:lang w:val="en-US" w:eastAsia="zh-CN"/>
        </w:rPr>
        <w:t>11</w:t>
      </w:r>
    </w:p>
    <w:p>
      <w:pPr>
        <w:pStyle w:val="11"/>
        <w:adjustRightInd w:val="0"/>
        <w:snapToGrid w:val="0"/>
        <w:spacing w:line="380" w:lineRule="exact"/>
        <w:ind w:left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九、 国有资本经营预算支出决算情况说明……………………………</w:t>
      </w:r>
      <w:r>
        <w:rPr>
          <w:rFonts w:hint="eastAsia" w:asciiTheme="minorEastAsia" w:hAnsiTheme="minorEastAsia" w:eastAsiaTheme="minorEastAsia" w:cstheme="minorEastAsia"/>
          <w:sz w:val="28"/>
          <w:szCs w:val="28"/>
          <w:lang w:val="en-US" w:eastAsia="zh-CN"/>
        </w:rPr>
        <w:t>11</w:t>
      </w:r>
    </w:p>
    <w:p>
      <w:pPr>
        <w:adjustRightInd w:val="0"/>
        <w:snapToGrid w:val="0"/>
        <w:spacing w:line="380" w:lineRule="exact"/>
        <w:ind w:firstLine="560" w:firstLineChars="200"/>
        <w:jc w:val="left"/>
        <w:rPr>
          <w:rFonts w:hint="default" w:asciiTheme="minorEastAsia" w:hAnsiTheme="minorEastAsia" w:eastAsiaTheme="minorEastAsia" w:cstheme="minorEastAsia"/>
          <w:sz w:val="28"/>
          <w:szCs w:val="28"/>
          <w:lang w:val="en-US" w:eastAsia="zh-CN"/>
        </w:rPr>
      </w:pPr>
      <w:r>
        <w:rPr>
          <w:rStyle w:val="16"/>
          <w:rFonts w:hint="eastAsia" w:asciiTheme="minorEastAsia" w:hAnsiTheme="minorEastAsia" w:eastAsiaTheme="minorEastAsia" w:cstheme="minorEastAsia"/>
          <w:color w:val="000000"/>
          <w:sz w:val="28"/>
          <w:szCs w:val="28"/>
          <w:u w:val="none"/>
        </w:rPr>
        <w:t>十、</w:t>
      </w:r>
      <w:r>
        <w:rPr>
          <w:rFonts w:hint="eastAsia" w:asciiTheme="minorEastAsia" w:hAnsiTheme="minorEastAsia" w:eastAsiaTheme="minorEastAsia" w:cstheme="minorEastAsia"/>
          <w:sz w:val="28"/>
          <w:szCs w:val="28"/>
        </w:rPr>
        <w:t>其他重要事项的情况说明…………………………………………</w:t>
      </w:r>
      <w:r>
        <w:rPr>
          <w:rFonts w:hint="eastAsia" w:asciiTheme="minorEastAsia" w:hAnsiTheme="minorEastAsia" w:eastAsiaTheme="minorEastAsia" w:cstheme="minorEastAsia"/>
          <w:sz w:val="28"/>
          <w:szCs w:val="28"/>
          <w:lang w:val="en-US" w:eastAsia="zh-CN"/>
        </w:rPr>
        <w:t>11</w:t>
      </w:r>
    </w:p>
    <w:p>
      <w:pPr>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kern w:val="2"/>
          <w:sz w:val="28"/>
          <w:szCs w:val="28"/>
          <w:lang w:val="en-US" w:eastAsia="zh-CN" w:bidi="ar-SA"/>
        </w:rPr>
        <w:t>第三部分 名词解释…</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13</w:t>
      </w:r>
    </w:p>
    <w:p>
      <w:pPr>
        <w:pStyle w:val="10"/>
        <w:rPr>
          <w:rFonts w:hint="eastAsia" w:asciiTheme="minorEastAsia" w:hAnsiTheme="minorEastAsia" w:eastAsiaTheme="minorEastAsia" w:cstheme="minorEastAsia"/>
          <w:sz w:val="28"/>
          <w:szCs w:val="28"/>
        </w:rPr>
      </w:pPr>
    </w:p>
    <w:p>
      <w:pPr>
        <w:adjustRightInd w:val="0"/>
        <w:snapToGrid w:val="0"/>
        <w:spacing w:line="380" w:lineRule="exact"/>
        <w:jc w:val="left"/>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2"/>
          <w:sz w:val="28"/>
          <w:szCs w:val="28"/>
          <w:lang w:val="en-US" w:eastAsia="zh-CN" w:bidi="ar-SA"/>
        </w:rPr>
        <w:t>第四部分 附件…</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16</w:t>
      </w:r>
    </w:p>
    <w:p>
      <w:pPr>
        <w:pStyle w:val="11"/>
        <w:adjustRightInd w:val="0"/>
        <w:snapToGrid w:val="0"/>
        <w:spacing w:line="380" w:lineRule="exact"/>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附件1……………………………………………………………………</w:t>
      </w:r>
      <w:r>
        <w:rPr>
          <w:rFonts w:hint="eastAsia" w:asciiTheme="minorEastAsia" w:hAnsiTheme="minorEastAsia" w:eastAsiaTheme="minorEastAsia" w:cstheme="minorEastAsia"/>
          <w:sz w:val="28"/>
          <w:szCs w:val="28"/>
          <w:lang w:val="en-US" w:eastAsia="zh-CN"/>
        </w:rPr>
        <w:t>16</w:t>
      </w:r>
    </w:p>
    <w:p>
      <w:pPr>
        <w:pStyle w:val="1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第五部分 附表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一、收入支出决算总表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二、收入决算表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四、财政拨款收入支出决算总表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五、财政拨款支出决算明细表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六、一般公共预算财政拨款支出决算表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七、一般公共预算财政拨款支出决算明细表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八、一般公共预算财政拨款基本支出决算表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九、一般公共预算财政拨款项目支出决算表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十、一般公共预算财政拨款“三公”经费支出决算表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十一、政府性基金预算财政拨款收入支出决算表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十二、政府性基金预算财政拨款“三公”经费支出决算表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十三、国有资本经营预算财政拨款收入支出决算表</w:t>
      </w:r>
    </w:p>
    <w:p>
      <w:pPr>
        <w:pStyle w:val="11"/>
        <w:adjustRightInd w:val="0"/>
        <w:snapToGrid w:val="0"/>
        <w:spacing w:line="576" w:lineRule="exact"/>
        <w:ind w:left="0" w:leftChars="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十四、国有资本经营预算财政拨款支出决算表</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widowControl/>
        <w:spacing w:line="440" w:lineRule="exact"/>
        <w:jc w:val="left"/>
        <w:rPr>
          <w:rFonts w:ascii="仿宋" w:hAnsi="仿宋" w:eastAsia="仿宋"/>
          <w:kern w:val="44"/>
          <w:sz w:val="24"/>
          <w:szCs w:val="24"/>
        </w:rPr>
      </w:pPr>
      <w:bookmarkStart w:id="12" w:name="_Toc15396599"/>
      <w:bookmarkStart w:id="13" w:name="_Toc15377196"/>
    </w:p>
    <w:p>
      <w:pPr>
        <w:widowControl/>
        <w:spacing w:line="440" w:lineRule="exact"/>
        <w:jc w:val="left"/>
        <w:rPr>
          <w:rFonts w:ascii="仿宋" w:hAnsi="仿宋" w:eastAsia="仿宋"/>
          <w:kern w:val="44"/>
          <w:sz w:val="24"/>
          <w:szCs w:val="24"/>
        </w:rPr>
      </w:pPr>
    </w:p>
    <w:p>
      <w:pPr>
        <w:widowControl/>
        <w:spacing w:line="440" w:lineRule="exact"/>
        <w:jc w:val="left"/>
        <w:rPr>
          <w:rFonts w:ascii="仿宋" w:hAnsi="仿宋" w:eastAsia="仿宋"/>
          <w:kern w:val="44"/>
          <w:sz w:val="24"/>
          <w:szCs w:val="24"/>
        </w:rPr>
      </w:pPr>
    </w:p>
    <w:p>
      <w:pPr>
        <w:pStyle w:val="2"/>
        <w:jc w:val="center"/>
        <w:rPr>
          <w:rStyle w:val="17"/>
          <w:rFonts w:ascii="方正小标宋_GBK" w:hAnsi="黑体" w:eastAsia="方正小标宋_GBK"/>
          <w:b/>
          <w:bCs/>
          <w:sz w:val="40"/>
          <w:szCs w:val="40"/>
        </w:rPr>
      </w:pPr>
      <w:r>
        <w:rPr>
          <w:rFonts w:hint="eastAsia" w:ascii="方正小标宋_GBK" w:hAnsi="黑体" w:eastAsia="方正小标宋_GBK" w:cs="方正小标宋_GBK"/>
          <w:b w:val="0"/>
          <w:bCs w:val="0"/>
          <w:sz w:val="40"/>
          <w:szCs w:val="40"/>
        </w:rPr>
        <w:t>第一部分</w:t>
      </w:r>
      <w:r>
        <w:rPr>
          <w:rFonts w:ascii="方正小标宋_GBK" w:hAnsi="黑体" w:eastAsia="方正小标宋_GBK" w:cs="方正小标宋_GBK"/>
          <w:b w:val="0"/>
          <w:bCs w:val="0"/>
          <w:sz w:val="40"/>
          <w:szCs w:val="40"/>
        </w:rPr>
        <w:t xml:space="preserve"> </w:t>
      </w:r>
      <w:r>
        <w:rPr>
          <w:rStyle w:val="17"/>
          <w:rFonts w:hint="eastAsia" w:ascii="方正小标宋_GBK" w:hAnsi="黑体" w:eastAsia="方正小标宋_GBK" w:cs="方正小标宋_GBK"/>
          <w:b w:val="0"/>
          <w:bCs w:val="0"/>
          <w:sz w:val="40"/>
          <w:szCs w:val="40"/>
        </w:rPr>
        <w:t>部门概况</w:t>
      </w:r>
      <w:bookmarkEnd w:id="12"/>
      <w:bookmarkEnd w:id="13"/>
    </w:p>
    <w:p>
      <w:pPr>
        <w:pStyle w:val="3"/>
        <w:spacing w:before="0" w:after="0" w:line="500" w:lineRule="exact"/>
        <w:rPr>
          <w:rStyle w:val="18"/>
          <w:rFonts w:hint="eastAsia" w:ascii="黑体" w:hAnsi="黑体" w:eastAsia="黑体" w:cs="黑体"/>
          <w:b w:val="0"/>
          <w:bCs w:val="0"/>
          <w:sz w:val="30"/>
          <w:szCs w:val="30"/>
        </w:rPr>
      </w:pPr>
      <w:bookmarkStart w:id="14" w:name="_Toc15377197"/>
      <w:bookmarkStart w:id="15" w:name="_Toc15396600"/>
      <w:r>
        <w:rPr>
          <w:rFonts w:ascii="黑体" w:hAnsi="黑体" w:eastAsia="黑体" w:cs="黑体"/>
          <w:b w:val="0"/>
          <w:bCs w:val="0"/>
          <w:color w:val="000000"/>
        </w:rPr>
        <w:t xml:space="preserve"> </w:t>
      </w:r>
      <w:r>
        <w:rPr>
          <w:rFonts w:hint="eastAsia" w:ascii="黑体" w:hAnsi="黑体" w:eastAsia="黑体" w:cs="黑体"/>
          <w:b w:val="0"/>
          <w:bCs w:val="0"/>
          <w:color w:val="000000"/>
          <w:sz w:val="30"/>
          <w:szCs w:val="30"/>
        </w:rPr>
        <w:t>一、基</w:t>
      </w:r>
      <w:r>
        <w:rPr>
          <w:rStyle w:val="18"/>
          <w:rFonts w:hint="eastAsia" w:ascii="黑体" w:hAnsi="黑体" w:eastAsia="黑体" w:cs="黑体"/>
          <w:b w:val="0"/>
          <w:bCs w:val="0"/>
          <w:sz w:val="30"/>
          <w:szCs w:val="30"/>
        </w:rPr>
        <w:t>本职能及主要工作</w:t>
      </w:r>
      <w:bookmarkEnd w:id="14"/>
      <w:bookmarkEnd w:id="15"/>
    </w:p>
    <w:p>
      <w:pPr>
        <w:spacing w:line="560" w:lineRule="exact"/>
        <w:rPr>
          <w:rFonts w:hint="eastAsia" w:ascii="黑体" w:hAnsi="黑体" w:eastAsia="黑体" w:cs="黑体"/>
          <w:b w:val="0"/>
          <w:bCs w:val="0"/>
          <w:color w:val="000000"/>
          <w:kern w:val="2"/>
          <w:sz w:val="30"/>
          <w:szCs w:val="30"/>
          <w:lang w:val="en-US" w:eastAsia="zh-CN" w:bidi="ar-SA"/>
        </w:rPr>
      </w:pPr>
      <w:bookmarkStart w:id="16" w:name="_Toc15377198"/>
      <w:bookmarkStart w:id="17" w:name="_Toc15378445"/>
      <w:r>
        <w:rPr>
          <w:rFonts w:hint="eastAsia" w:ascii="黑体" w:hAnsi="黑体" w:eastAsia="黑体" w:cs="黑体"/>
          <w:b w:val="0"/>
          <w:bCs w:val="0"/>
          <w:color w:val="000000"/>
          <w:kern w:val="2"/>
          <w:sz w:val="30"/>
          <w:szCs w:val="30"/>
          <w:lang w:val="en-US" w:eastAsia="zh-CN" w:bidi="ar-SA"/>
        </w:rPr>
        <w:t>（一）基本职能</w:t>
      </w:r>
      <w:bookmarkEnd w:id="16"/>
      <w:bookmarkEnd w:id="17"/>
    </w:p>
    <w:p>
      <w:pPr>
        <w:spacing w:line="540" w:lineRule="exact"/>
        <w:ind w:firstLine="640" w:firstLineChars="200"/>
        <w:rPr>
          <w:rFonts w:hint="default" w:ascii="仿宋_GB2312" w:eastAsia="仿宋_GB2312" w:cs="??_GB2312"/>
          <w:sz w:val="32"/>
          <w:szCs w:val="32"/>
          <w:lang w:val="en-US" w:eastAsia="zh-CN"/>
        </w:rPr>
      </w:pPr>
      <w:bookmarkStart w:id="18" w:name="_Toc15377199"/>
      <w:bookmarkStart w:id="19" w:name="_Toc15378446"/>
      <w:r>
        <w:rPr>
          <w:rFonts w:hint="eastAsia" w:ascii="仿宋_GB2312" w:eastAsia="仿宋_GB2312" w:cs="??_GB2312"/>
          <w:sz w:val="32"/>
          <w:szCs w:val="32"/>
          <w:lang w:val="en-US" w:eastAsia="zh-CN"/>
        </w:rPr>
        <w:t>负责全市土地开发项目的规划、设计、论证和立项材料的组织上报工作开展土地开发整理咨询服务和建设项目用地与预审评价工作提供土地开发整理项目面积复核和技术资料收集整理工作实施市本级使用新增建设用地有偿使用费必须完成的土地开发整理项目。</w:t>
      </w:r>
    </w:p>
    <w:p>
      <w:pPr>
        <w:spacing w:line="560" w:lineRule="exact"/>
        <w:rPr>
          <w:rFonts w:hint="eastAsia" w:ascii="黑体" w:hAnsi="黑体" w:eastAsia="黑体" w:cs="黑体"/>
          <w:b w:val="0"/>
          <w:bCs w:val="0"/>
          <w:color w:val="000000"/>
          <w:kern w:val="2"/>
          <w:sz w:val="30"/>
          <w:szCs w:val="30"/>
          <w:lang w:val="en-US" w:eastAsia="zh-CN" w:bidi="ar-SA"/>
        </w:rPr>
      </w:pPr>
      <w:r>
        <w:rPr>
          <w:rFonts w:hint="eastAsia" w:ascii="黑体" w:hAnsi="黑体" w:eastAsia="黑体" w:cs="黑体"/>
          <w:b w:val="0"/>
          <w:bCs w:val="0"/>
          <w:color w:val="000000"/>
          <w:kern w:val="2"/>
          <w:sz w:val="30"/>
          <w:szCs w:val="30"/>
          <w:lang w:val="en-US" w:eastAsia="zh-CN" w:bidi="ar-SA"/>
        </w:rPr>
        <w:t>（二）2020年重点工作完成情况</w:t>
      </w:r>
    </w:p>
    <w:bookmarkEnd w:id="18"/>
    <w:bookmarkEnd w:id="19"/>
    <w:p>
      <w:pPr>
        <w:spacing w:line="580" w:lineRule="exact"/>
        <w:ind w:firstLine="643" w:firstLineChars="200"/>
        <w:rPr>
          <w:rFonts w:hint="eastAsia" w:ascii="楷体" w:hAnsi="楷体" w:eastAsia="楷体"/>
          <w:b/>
          <w:sz w:val="32"/>
          <w:szCs w:val="32"/>
        </w:rPr>
      </w:pPr>
      <w:bookmarkStart w:id="20" w:name="_Toc15396601"/>
      <w:bookmarkStart w:id="21" w:name="_Toc15377200"/>
      <w:r>
        <w:rPr>
          <w:rFonts w:hint="eastAsia" w:ascii="楷体" w:hAnsi="楷体" w:eastAsia="楷体"/>
          <w:b/>
          <w:sz w:val="32"/>
          <w:szCs w:val="32"/>
        </w:rPr>
        <w:t>（一）农村土地整治扶贫项目“回头看”整改工作顺利完成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2020年上半年，我中心以巩固提升达标成果为重点，安排部署了农村土地整治扶贫专项“回头看”、扶贫领域农村土地整治工程项目专项清理“回头看”、移民库区农村土地整治扶贫项目“回头看”，以及农村土地整治扶贫专项问题整改清零行动等一系列专项工作。要求各县区严格按照各专项工作要求开展“回头看”清理排查，建立“问题清单台账”，做到“底数清、情况明”。坚持立行立改、边查边改，对照“问题清单台账”中的问题，做到逐一整改、逐一销号，确保6月30日前所有问题全部整改到位。通过“回头看”清理，各县区共排查发现部分单体工程损毁、产业发展规划不够科学、项目管护责任落实不到位和项目内业资料缺失等各类问题共计242个，其中：苍溪县15个行业扶贫项目共清理出54个问题，旺苍县13个行业扶贫项目共清理出48个问题，剑阁县9个行业扶贫项目共清理出27个问题，青川县5个行业扶贫项目共清理出16个问题，朝天区10个行业扶贫项目共清理出46个问题，昭化区16个行业扶贫项目共清理出51个问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截止6月底，工程损毁、产业发展规划调整和项目管护责任落实等问题已完成整改，整改率达100%。</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（二）土地整理项目验收技术核查工作全面完成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此次项目验收攻坚战需完成技术核查的项目共计</w:t>
      </w:r>
      <w:r>
        <w:rPr>
          <w:rFonts w:ascii="仿宋_GB2312" w:eastAsia="仿宋_GB2312"/>
          <w:sz w:val="32"/>
          <w:szCs w:val="32"/>
        </w:rPr>
        <w:t>75</w:t>
      </w:r>
      <w:r>
        <w:rPr>
          <w:rFonts w:hint="eastAsia" w:ascii="仿宋_GB2312" w:eastAsia="仿宋_GB2312"/>
          <w:sz w:val="32"/>
          <w:szCs w:val="32"/>
        </w:rPr>
        <w:t>个，其中：省投资项目</w:t>
      </w:r>
      <w:r>
        <w:rPr>
          <w:rFonts w:ascii="仿宋_GB2312" w:eastAsia="仿宋_GB2312"/>
          <w:sz w:val="32"/>
          <w:szCs w:val="32"/>
        </w:rPr>
        <w:t>70</w:t>
      </w:r>
      <w:r>
        <w:rPr>
          <w:rFonts w:hint="eastAsia" w:ascii="仿宋_GB2312" w:eastAsia="仿宋_GB2312"/>
          <w:sz w:val="32"/>
          <w:szCs w:val="32"/>
        </w:rPr>
        <w:t>个（含</w:t>
      </w:r>
      <w:r>
        <w:rPr>
          <w:rFonts w:ascii="仿宋_GB2312" w:eastAsia="仿宋_GB2312"/>
          <w:sz w:val="32"/>
          <w:szCs w:val="32"/>
        </w:rPr>
        <w:t>50</w:t>
      </w:r>
      <w:r>
        <w:rPr>
          <w:rFonts w:hint="eastAsia" w:ascii="仿宋_GB2312" w:eastAsia="仿宋_GB2312"/>
          <w:sz w:val="32"/>
          <w:szCs w:val="32"/>
        </w:rPr>
        <w:t>个行业扶贫项目），地方投资行业扶贫项目</w:t>
      </w:r>
      <w:r>
        <w:rPr>
          <w:rFonts w:ascii="仿宋_GB2312" w:eastAsia="仿宋_GB2312"/>
          <w:sz w:val="32"/>
          <w:szCs w:val="32"/>
        </w:rPr>
        <w:t>5</w:t>
      </w:r>
      <w:r>
        <w:rPr>
          <w:rFonts w:hint="eastAsia" w:ascii="仿宋_GB2312" w:eastAsia="仿宋_GB2312"/>
          <w:sz w:val="32"/>
          <w:szCs w:val="32"/>
        </w:rPr>
        <w:t>个。截止2020年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日，已完成技术核查外业调查工作</w:t>
      </w:r>
      <w:r>
        <w:rPr>
          <w:rFonts w:ascii="仿宋_GB2312" w:eastAsia="仿宋_GB2312"/>
          <w:sz w:val="32"/>
          <w:szCs w:val="32"/>
        </w:rPr>
        <w:t>73</w:t>
      </w:r>
      <w:r>
        <w:rPr>
          <w:rFonts w:hint="eastAsia" w:ascii="仿宋_GB2312" w:eastAsia="仿宋_GB2312"/>
          <w:sz w:val="32"/>
          <w:szCs w:val="32"/>
        </w:rPr>
        <w:t>个项目，其中：省投资项目</w:t>
      </w:r>
      <w:r>
        <w:rPr>
          <w:rFonts w:ascii="仿宋_GB2312" w:eastAsia="仿宋_GB2312"/>
          <w:sz w:val="32"/>
          <w:szCs w:val="32"/>
        </w:rPr>
        <w:t>68</w:t>
      </w:r>
      <w:r>
        <w:rPr>
          <w:rFonts w:hint="eastAsia" w:ascii="仿宋_GB2312" w:eastAsia="仿宋_GB2312"/>
          <w:sz w:val="32"/>
          <w:szCs w:val="32"/>
        </w:rPr>
        <w:t>个（含</w:t>
      </w:r>
      <w:r>
        <w:rPr>
          <w:rFonts w:ascii="仿宋_GB2312" w:eastAsia="仿宋_GB2312"/>
          <w:sz w:val="32"/>
          <w:szCs w:val="32"/>
        </w:rPr>
        <w:t>50</w:t>
      </w:r>
      <w:r>
        <w:rPr>
          <w:rFonts w:hint="eastAsia" w:ascii="仿宋_GB2312" w:eastAsia="仿宋_GB2312"/>
          <w:sz w:val="32"/>
          <w:szCs w:val="32"/>
        </w:rPr>
        <w:t>个行业扶贫项目），地方投资行业扶贫项目</w:t>
      </w:r>
      <w:r>
        <w:rPr>
          <w:rFonts w:ascii="仿宋_GB2312" w:eastAsia="仿宋_GB2312"/>
          <w:sz w:val="32"/>
          <w:szCs w:val="32"/>
        </w:rPr>
        <w:t>5</w:t>
      </w:r>
      <w:r>
        <w:rPr>
          <w:rFonts w:hint="eastAsia" w:ascii="仿宋_GB2312" w:eastAsia="仿宋_GB2312"/>
          <w:sz w:val="32"/>
          <w:szCs w:val="32"/>
        </w:rPr>
        <w:t>个；尚未进行技术核查外业调查的项目有</w:t>
      </w:r>
      <w:r>
        <w:rPr>
          <w:rFonts w:ascii="仿宋_GB2312" w:eastAsia="仿宋_GB2312"/>
          <w:sz w:val="32"/>
          <w:szCs w:val="32"/>
        </w:rPr>
        <w:t>2</w:t>
      </w:r>
      <w:r>
        <w:rPr>
          <w:rFonts w:hint="eastAsia" w:ascii="仿宋_GB2312" w:eastAsia="仿宋_GB2312"/>
          <w:sz w:val="32"/>
          <w:szCs w:val="32"/>
        </w:rPr>
        <w:t>个（剑阁县元山镇项目和城北镇项目）。已完成技术核查外业调查工作的</w:t>
      </w:r>
      <w:r>
        <w:rPr>
          <w:rFonts w:ascii="仿宋_GB2312" w:eastAsia="仿宋_GB2312"/>
          <w:sz w:val="32"/>
          <w:szCs w:val="32"/>
        </w:rPr>
        <w:t>73</w:t>
      </w:r>
      <w:r>
        <w:rPr>
          <w:rFonts w:hint="eastAsia" w:ascii="仿宋_GB2312" w:eastAsia="仿宋_GB2312"/>
          <w:sz w:val="32"/>
          <w:szCs w:val="32"/>
        </w:rPr>
        <w:t>个项目中已全部出具技术核查报告。</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（三）项目技术核查及验收发现问题整改复核工作全面完成</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在农村土地整治项目验收过程中，市国土整治中心结合技术核查工作，</w:t>
      </w:r>
      <w:r>
        <w:rPr>
          <w:rFonts w:ascii="仿宋_GB2312" w:eastAsia="仿宋_GB2312"/>
          <w:sz w:val="32"/>
          <w:szCs w:val="32"/>
        </w:rPr>
        <w:t>对项目单体工程进行了</w:t>
      </w:r>
      <w:r>
        <w:rPr>
          <w:rFonts w:hint="eastAsia" w:ascii="仿宋_GB2312" w:eastAsia="仿宋_GB2312"/>
          <w:sz w:val="32"/>
          <w:szCs w:val="32"/>
        </w:rPr>
        <w:t>100%全覆盖核查，对发现的问题以整改通知书的形式下发各县区局，要求限期进行整改。针对技术核查和验收时发现的内外业各类问题，各县区国土整治中心组织施工企业分类进行整改，对完成整改的项目市国土整治中心再次到现场进行100%全覆盖复核，留取整改影像资料形成整改复核报告按程序核发新增耕地验收证书。截止11月底，今年完成技术核查的73个项目共计完成56个项目的整改复核工作，其余昭化区的17个项目正在积极进行整改，计划于12月下旬全面完成。</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（四）新增耕地核定及上图入库备案工作正稳步推进</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按照自然资源部最新的政策规定，土地整治项目验收工作完成后，所有土地整治项目备案不仅要在部农村土地整治监测监管平台上完成备案，还须将项目新增耕地坐标以图斑形式在耕地占补平衡动态监管系统中备案，并完成现场影像采集上传复核后，新增耕地指标才能进入占补平衡指标库用于占补平衡。为顺利完成项目上图入库备案工作，市国土整治中心专程前往省国土整治中心请教学习，并立即组织各县区召开项目新增耕地核定及上图入库备案培训会，安排部署该项工作，要求在12月底前全面完成68个省投资项目上图入库备案工作。截止11月底，全市已完成40个项目的新增耕地面积核定及坐标图斑勾画，核定的新增耕地面积与项目规划设计新增耕地面积相比，误差均在5%以内。根据各县区技术作业单位的人员安排，其余项目正在全面展开，预计12月5日能完成县区自检。按照工作安排，我中心对报检项目按不低于图斑总数30%的比例对项目新增耕地坐标进行抽检，现已完成20个项目的抽检工作，抽检的耕地图斑中新增耕地坐标合格率均高于90%，按目前的进度和抽检结果，预计12月中旬前能完成68个省投资项目的新增耕地面积核定抽查工作，为土地整治项目验收攻坚战划上一个圆满的句号。</w:t>
      </w:r>
    </w:p>
    <w:p>
      <w:pPr>
        <w:spacing w:line="580" w:lineRule="exact"/>
        <w:ind w:firstLine="643" w:firstLineChars="200"/>
        <w:rPr>
          <w:rFonts w:hint="eastAsia" w:ascii="楷体" w:hAnsi="楷体" w:eastAsia="楷体"/>
          <w:b/>
          <w:sz w:val="32"/>
          <w:szCs w:val="32"/>
        </w:rPr>
      </w:pPr>
      <w:r>
        <w:rPr>
          <w:rFonts w:hint="eastAsia" w:ascii="楷体" w:hAnsi="楷体" w:eastAsia="楷体"/>
          <w:b/>
          <w:sz w:val="32"/>
          <w:szCs w:val="32"/>
        </w:rPr>
        <w:t>（五）增减挂钩项目入库情况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截止2020年底，全市入库增减挂钩项目68个，规模达1824.5482公顷，经省厅批准立项项目22个，规模达321.3146公顷。通过入库增减挂钩项目的实施，将广大农村闲置的宅基地整理复垦为耕地，提高了耕地的数量，同时通过修建沼气池、污水处理池、垃圾处理池、硬化道路、建设地下管网等，改变了居住分散、生活条件差的状况。</w:t>
      </w:r>
    </w:p>
    <w:p>
      <w:pPr>
        <w:spacing w:line="580" w:lineRule="exact"/>
        <w:ind w:firstLine="643" w:firstLineChars="200"/>
        <w:rPr>
          <w:rFonts w:hint="eastAsia" w:ascii="楷体" w:hAnsi="楷体" w:eastAsia="楷体"/>
          <w:b/>
          <w:sz w:val="32"/>
          <w:szCs w:val="32"/>
        </w:rPr>
      </w:pPr>
      <w:r>
        <w:rPr>
          <w:rFonts w:ascii="楷体" w:hAnsi="楷体" w:eastAsia="楷体"/>
          <w:b/>
          <w:sz w:val="32"/>
          <w:szCs w:val="32"/>
        </w:rPr>
        <w:t>（六）移民库区帮扶工作开展情况</w:t>
      </w:r>
    </w:p>
    <w:p>
      <w:pPr>
        <w:spacing w:line="580" w:lineRule="exact"/>
        <w:ind w:firstLine="640" w:firstLineChars="200"/>
        <w:rPr>
          <w:rFonts w:hint="eastAsia" w:ascii="仿宋_GB2312" w:eastAsia="仿宋_GB2312"/>
          <w:sz w:val="32"/>
          <w:szCs w:val="32"/>
        </w:rPr>
      </w:pPr>
      <w:r>
        <w:rPr>
          <w:rFonts w:ascii="仿宋_GB2312" w:eastAsia="仿宋_GB2312"/>
          <w:sz w:val="32"/>
          <w:szCs w:val="32"/>
        </w:rPr>
        <w:t>我中心今年积极开展移民库区金钟村的帮扶工作,一是助力阵地建设。由于村委会的阵地建设存在设施不齐、功能不配套等薄弱环节，我中心今年出资2万余元购置阵地建设所需的办公用品；二是协助村两委发展集体经济</w:t>
      </w:r>
      <w:r>
        <w:rPr>
          <w:rFonts w:hint="eastAsia" w:ascii="仿宋_GB2312" w:eastAsia="仿宋_GB2312"/>
          <w:sz w:val="32"/>
          <w:szCs w:val="32"/>
        </w:rPr>
        <w:t>。</w:t>
      </w:r>
      <w:r>
        <w:rPr>
          <w:rFonts w:ascii="仿宋_GB2312" w:eastAsia="仿宋_GB2312"/>
          <w:sz w:val="32"/>
          <w:szCs w:val="32"/>
        </w:rPr>
        <w:t>指导村集体利用好已流转的土地发展集体经济，抓好已建300亩特色枇杷、青脆李、红心柚水果产业园的管护工作，请专家开展技术培训，指导渔家乐规范化建设，逐步形成新型、高质量的产业，为该村今后发展旅游业打下基础并取得较好的成效。</w:t>
      </w:r>
    </w:p>
    <w:p>
      <w:pPr>
        <w:pStyle w:val="3"/>
        <w:spacing w:before="0" w:after="0" w:line="500" w:lineRule="exact"/>
        <w:rPr>
          <w:rStyle w:val="18"/>
          <w:rFonts w:cs="Times New Roman"/>
          <w:b w:val="0"/>
          <w:bCs w:val="0"/>
          <w:sz w:val="30"/>
          <w:szCs w:val="30"/>
        </w:rPr>
      </w:pPr>
      <w:r>
        <w:rPr>
          <w:rFonts w:ascii="黑体" w:eastAsia="黑体" w:cs="黑体"/>
          <w:b w:val="0"/>
          <w:bCs w:val="0"/>
          <w:color w:val="000000"/>
          <w:sz w:val="30"/>
          <w:szCs w:val="30"/>
        </w:rPr>
        <w:t xml:space="preserve">    </w:t>
      </w:r>
      <w:r>
        <w:rPr>
          <w:rFonts w:hint="eastAsia" w:ascii="黑体" w:eastAsia="黑体" w:cs="黑体"/>
          <w:b w:val="0"/>
          <w:bCs w:val="0"/>
          <w:color w:val="000000"/>
          <w:sz w:val="30"/>
          <w:szCs w:val="30"/>
        </w:rPr>
        <w:t>二、</w:t>
      </w:r>
      <w:r>
        <w:rPr>
          <w:rFonts w:hint="eastAsia" w:ascii="黑体" w:hAnsi="黑体" w:eastAsia="黑体" w:cs="黑体"/>
          <w:b w:val="0"/>
          <w:bCs w:val="0"/>
          <w:color w:val="000000"/>
          <w:sz w:val="30"/>
          <w:szCs w:val="30"/>
        </w:rPr>
        <w:t>机</w:t>
      </w:r>
      <w:r>
        <w:rPr>
          <w:rStyle w:val="18"/>
          <w:rFonts w:hint="eastAsia" w:ascii="黑体" w:hAnsi="黑体" w:eastAsia="黑体" w:cs="黑体"/>
          <w:b w:val="0"/>
          <w:bCs w:val="0"/>
          <w:sz w:val="30"/>
          <w:szCs w:val="30"/>
        </w:rPr>
        <w:t>构设置</w:t>
      </w:r>
      <w:bookmarkEnd w:id="20"/>
      <w:bookmarkEnd w:id="21"/>
    </w:p>
    <w:p>
      <w:pPr>
        <w:spacing w:line="500" w:lineRule="exact"/>
        <w:ind w:firstLine="750" w:firstLineChars="250"/>
        <w:rPr>
          <w:rFonts w:hint="eastAsia" w:ascii="仿宋_GB2312" w:hAnsi="仿宋" w:eastAsia="仿宋_GB2312"/>
          <w:sz w:val="30"/>
          <w:szCs w:val="30"/>
          <w:lang w:eastAsia="zh-CN"/>
        </w:rPr>
      </w:pPr>
      <w:r>
        <w:rPr>
          <w:rFonts w:hint="eastAsia" w:ascii="仿宋_GB2312" w:hAnsi="仿宋" w:eastAsia="仿宋_GB2312" w:cs="仿宋_GB2312"/>
          <w:sz w:val="30"/>
          <w:szCs w:val="30"/>
          <w:lang w:eastAsia="zh-CN"/>
        </w:rPr>
        <w:t>广元市国土整治中心属于</w:t>
      </w:r>
      <w:r>
        <w:rPr>
          <w:rFonts w:hint="eastAsia" w:ascii="仿宋_GB2312" w:hAnsi="仿宋" w:eastAsia="仿宋_GB2312" w:cs="仿宋_GB2312"/>
          <w:sz w:val="30"/>
          <w:szCs w:val="30"/>
        </w:rPr>
        <w:t>广元市自然资源局下属</w:t>
      </w:r>
      <w:r>
        <w:rPr>
          <w:rFonts w:hint="eastAsia" w:ascii="仿宋_GB2312" w:hAnsi="仿宋" w:eastAsia="仿宋_GB2312" w:cs="仿宋_GB2312"/>
          <w:sz w:val="30"/>
          <w:szCs w:val="30"/>
          <w:lang w:eastAsia="zh-CN"/>
        </w:rPr>
        <w:t>独立核算</w:t>
      </w:r>
      <w:r>
        <w:rPr>
          <w:rFonts w:hint="eastAsia" w:ascii="仿宋_GB2312" w:hAnsi="仿宋" w:eastAsia="仿宋_GB2312" w:cs="仿宋_GB2312"/>
          <w:sz w:val="30"/>
          <w:szCs w:val="30"/>
        </w:rPr>
        <w:t>二级</w:t>
      </w:r>
      <w:r>
        <w:rPr>
          <w:rFonts w:hint="eastAsia" w:ascii="仿宋_GB2312" w:hAnsi="仿宋" w:eastAsia="仿宋_GB2312" w:cs="仿宋_GB2312"/>
          <w:sz w:val="30"/>
          <w:szCs w:val="30"/>
          <w:lang w:eastAsia="zh-CN"/>
        </w:rPr>
        <w:t>预算</w:t>
      </w:r>
      <w:r>
        <w:rPr>
          <w:rFonts w:hint="eastAsia" w:ascii="仿宋_GB2312" w:hAnsi="仿宋" w:eastAsia="仿宋_GB2312" w:cs="仿宋_GB2312"/>
          <w:sz w:val="30"/>
          <w:szCs w:val="30"/>
        </w:rPr>
        <w:t>单位</w:t>
      </w:r>
      <w:r>
        <w:rPr>
          <w:rFonts w:hint="eastAsia" w:ascii="仿宋_GB2312" w:hAnsi="仿宋" w:eastAsia="仿宋_GB2312" w:cs="仿宋_GB2312"/>
          <w:sz w:val="30"/>
          <w:szCs w:val="30"/>
          <w:lang w:eastAsia="zh-CN"/>
        </w:rPr>
        <w:t>。</w:t>
      </w:r>
    </w:p>
    <w:p>
      <w:pPr>
        <w:widowControl/>
        <w:spacing w:line="500" w:lineRule="exact"/>
        <w:jc w:val="center"/>
        <w:rPr>
          <w:rStyle w:val="17"/>
          <w:rFonts w:ascii="黑体" w:hAnsi="黑体" w:eastAsia="黑体"/>
          <w:b w:val="0"/>
          <w:bCs w:val="0"/>
          <w:sz w:val="30"/>
          <w:szCs w:val="30"/>
        </w:rPr>
      </w:pPr>
      <w:r>
        <w:rPr>
          <w:rFonts w:ascii="仿宋" w:hAnsi="仿宋" w:eastAsia="仿宋"/>
          <w:color w:val="000000"/>
          <w:sz w:val="30"/>
          <w:szCs w:val="30"/>
        </w:rPr>
        <w:br w:type="page"/>
      </w:r>
      <w:bookmarkStart w:id="22" w:name="_Toc15377204"/>
      <w:bookmarkStart w:id="23" w:name="_Toc15396602"/>
      <w:r>
        <w:rPr>
          <w:rFonts w:hint="eastAsia" w:ascii="方正小标宋_GBK" w:hAnsi="黑体" w:eastAsia="方正小标宋_GBK" w:cs="方正小标宋_GBK"/>
          <w:b w:val="0"/>
          <w:bCs w:val="0"/>
          <w:kern w:val="44"/>
          <w:sz w:val="40"/>
          <w:szCs w:val="40"/>
          <w:lang w:val="en-US" w:eastAsia="zh-CN" w:bidi="ar-SA"/>
        </w:rPr>
        <w:t>第二部分 2020年度部门决算情况说明</w:t>
      </w:r>
      <w:bookmarkEnd w:id="22"/>
      <w:bookmarkEnd w:id="23"/>
    </w:p>
    <w:p>
      <w:pPr>
        <w:spacing w:line="500" w:lineRule="exact"/>
        <w:rPr>
          <w:sz w:val="30"/>
          <w:szCs w:val="30"/>
        </w:rPr>
      </w:pPr>
    </w:p>
    <w:p>
      <w:pPr>
        <w:pStyle w:val="28"/>
        <w:numPr>
          <w:ilvl w:val="0"/>
          <w:numId w:val="1"/>
        </w:numPr>
        <w:spacing w:line="500" w:lineRule="exact"/>
        <w:ind w:firstLineChars="0"/>
        <w:outlineLvl w:val="1"/>
        <w:rPr>
          <w:rStyle w:val="18"/>
          <w:rFonts w:ascii="黑体" w:hAnsi="黑体" w:eastAsia="黑体" w:cs="Times New Roman"/>
          <w:b w:val="0"/>
          <w:bCs w:val="0"/>
          <w:sz w:val="30"/>
          <w:szCs w:val="30"/>
        </w:rPr>
      </w:pPr>
      <w:bookmarkStart w:id="24" w:name="_Toc15377205"/>
      <w:bookmarkStart w:id="25" w:name="_Toc15396603"/>
      <w:r>
        <w:rPr>
          <w:rFonts w:hint="eastAsia" w:ascii="黑体" w:hAnsi="黑体" w:eastAsia="黑体" w:cs="黑体"/>
          <w:color w:val="000000"/>
          <w:sz w:val="30"/>
          <w:szCs w:val="30"/>
        </w:rPr>
        <w:t>收</w:t>
      </w:r>
      <w:r>
        <w:rPr>
          <w:rStyle w:val="18"/>
          <w:rFonts w:hint="eastAsia" w:ascii="黑体" w:hAnsi="黑体" w:eastAsia="黑体" w:cs="黑体"/>
          <w:b w:val="0"/>
          <w:bCs w:val="0"/>
          <w:sz w:val="30"/>
          <w:szCs w:val="30"/>
        </w:rPr>
        <w:t>入支出决算总体情况说明</w:t>
      </w:r>
      <w:bookmarkEnd w:id="24"/>
      <w:bookmarkEnd w:id="25"/>
    </w:p>
    <w:p>
      <w:pPr>
        <w:spacing w:line="500" w:lineRule="exact"/>
        <w:ind w:firstLine="600" w:firstLineChars="200"/>
        <w:rPr>
          <w:rFonts w:hint="eastAsia" w:ascii="仿宋_GB2312" w:hAnsi="仿宋" w:eastAsia="仿宋_GB2312"/>
          <w:color w:val="000000"/>
          <w:sz w:val="30"/>
          <w:szCs w:val="30"/>
          <w:lang w:eastAsia="zh-CN"/>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年度收、支总计</w:t>
      </w:r>
      <w:r>
        <w:rPr>
          <w:rFonts w:hint="eastAsia" w:ascii="仿宋_GB2312" w:hAnsi="仿宋" w:eastAsia="仿宋_GB2312" w:cs="仿宋_GB2312"/>
          <w:color w:val="000000"/>
          <w:sz w:val="30"/>
          <w:szCs w:val="30"/>
          <w:lang w:val="en-US" w:eastAsia="zh-CN"/>
        </w:rPr>
        <w:t>388.85</w:t>
      </w:r>
      <w:r>
        <w:rPr>
          <w:rFonts w:hint="eastAsia" w:ascii="仿宋_GB2312" w:hAnsi="仿宋" w:eastAsia="仿宋_GB2312" w:cs="仿宋_GB2312"/>
          <w:color w:val="000000"/>
          <w:sz w:val="30"/>
          <w:szCs w:val="30"/>
        </w:rPr>
        <w:t>万元。与</w:t>
      </w:r>
      <w:r>
        <w:rPr>
          <w:rFonts w:ascii="仿宋_GB2312" w:hAnsi="仿宋" w:eastAsia="仿宋_GB2312" w:cs="仿宋_GB2312"/>
          <w:color w:val="000000"/>
          <w:sz w:val="30"/>
          <w:szCs w:val="30"/>
        </w:rPr>
        <w:t>201</w:t>
      </w:r>
      <w:r>
        <w:rPr>
          <w:rFonts w:hint="eastAsia" w:ascii="仿宋_GB2312" w:hAnsi="仿宋" w:eastAsia="仿宋_GB2312" w:cs="仿宋_GB2312"/>
          <w:color w:val="000000"/>
          <w:sz w:val="30"/>
          <w:szCs w:val="30"/>
          <w:lang w:val="en-US" w:eastAsia="zh-CN"/>
        </w:rPr>
        <w:t>9</w:t>
      </w:r>
      <w:r>
        <w:rPr>
          <w:rFonts w:hint="eastAsia" w:ascii="仿宋_GB2312" w:hAnsi="仿宋" w:eastAsia="仿宋_GB2312" w:cs="仿宋_GB2312"/>
          <w:color w:val="000000"/>
          <w:sz w:val="30"/>
          <w:szCs w:val="30"/>
        </w:rPr>
        <w:t>年相比，收、支总计各</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132.24</w:t>
      </w:r>
      <w:r>
        <w:rPr>
          <w:rFonts w:hint="eastAsia" w:ascii="仿宋_GB2312" w:hAnsi="仿宋" w:eastAsia="仿宋_GB2312" w:cs="仿宋_GB2312"/>
          <w:color w:val="000000"/>
          <w:sz w:val="30"/>
          <w:szCs w:val="30"/>
        </w:rPr>
        <w:t>万元，</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25.38</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。主要变动原因</w:t>
      </w:r>
      <w:r>
        <w:rPr>
          <w:rFonts w:hint="eastAsia" w:ascii="仿宋_GB2312" w:hAnsi="仿宋" w:eastAsia="仿宋_GB2312" w:cs="仿宋_GB2312"/>
          <w:color w:val="000000"/>
          <w:sz w:val="30"/>
          <w:szCs w:val="30"/>
          <w:lang w:eastAsia="zh-CN"/>
        </w:rPr>
        <w:t>一是年初财政拨款收入减少，项目结转减少；二是人员减少。</w:t>
      </w:r>
    </w:p>
    <w:p>
      <w:pPr>
        <w:pStyle w:val="28"/>
        <w:numPr>
          <w:ilvl w:val="0"/>
          <w:numId w:val="1"/>
        </w:numPr>
        <w:spacing w:line="500" w:lineRule="exact"/>
        <w:ind w:firstLineChars="0"/>
        <w:outlineLvl w:val="1"/>
        <w:rPr>
          <w:rStyle w:val="18"/>
          <w:rFonts w:ascii="黑体" w:hAnsi="黑体" w:eastAsia="黑体" w:cs="Times New Roman"/>
          <w:b w:val="0"/>
          <w:bCs w:val="0"/>
          <w:sz w:val="30"/>
          <w:szCs w:val="30"/>
        </w:rPr>
      </w:pPr>
      <w:bookmarkStart w:id="26" w:name="_Toc15377206"/>
      <w:bookmarkStart w:id="27" w:name="_Toc15396604"/>
      <w:r>
        <w:rPr>
          <w:rFonts w:hint="eastAsia" w:ascii="黑体" w:hAnsi="黑体" w:eastAsia="黑体" w:cs="黑体"/>
          <w:color w:val="000000"/>
          <w:sz w:val="30"/>
          <w:szCs w:val="30"/>
        </w:rPr>
        <w:t>收</w:t>
      </w:r>
      <w:r>
        <w:rPr>
          <w:rStyle w:val="18"/>
          <w:rFonts w:hint="eastAsia" w:ascii="黑体" w:hAnsi="黑体" w:eastAsia="黑体" w:cs="黑体"/>
          <w:b w:val="0"/>
          <w:bCs w:val="0"/>
          <w:sz w:val="30"/>
          <w:szCs w:val="30"/>
        </w:rPr>
        <w:t>入决算情况说明</w:t>
      </w:r>
      <w:bookmarkEnd w:id="26"/>
      <w:bookmarkEnd w:id="27"/>
    </w:p>
    <w:p>
      <w:pPr>
        <w:spacing w:line="500" w:lineRule="exact"/>
        <w:ind w:firstLine="600" w:firstLineChars="200"/>
        <w:outlineLvl w:val="1"/>
        <w:rPr>
          <w:rFonts w:ascii="仿宋_GB2312" w:hAnsi="仿宋" w:eastAsia="仿宋_GB2312"/>
          <w:color w:val="000000"/>
          <w:sz w:val="30"/>
          <w:szCs w:val="30"/>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年本年收入合计</w:t>
      </w:r>
      <w:r>
        <w:rPr>
          <w:rFonts w:hint="eastAsia" w:ascii="仿宋_GB2312" w:hAnsi="仿宋" w:eastAsia="仿宋_GB2312" w:cs="仿宋_GB2312"/>
          <w:color w:val="000000"/>
          <w:sz w:val="30"/>
          <w:szCs w:val="30"/>
          <w:lang w:val="en-US" w:eastAsia="zh-CN"/>
        </w:rPr>
        <w:t>220.03</w:t>
      </w:r>
      <w:r>
        <w:rPr>
          <w:rFonts w:hint="eastAsia" w:ascii="仿宋_GB2312" w:hAnsi="仿宋" w:eastAsia="仿宋_GB2312" w:cs="仿宋_GB2312"/>
          <w:color w:val="000000"/>
          <w:sz w:val="30"/>
          <w:szCs w:val="30"/>
        </w:rPr>
        <w:t>万元，其中：一般公共预算财政拨款收入</w:t>
      </w:r>
      <w:r>
        <w:rPr>
          <w:rFonts w:hint="eastAsia" w:ascii="仿宋_GB2312" w:hAnsi="仿宋" w:eastAsia="仿宋_GB2312" w:cs="仿宋_GB2312"/>
          <w:color w:val="000000"/>
          <w:sz w:val="30"/>
          <w:szCs w:val="30"/>
          <w:lang w:val="en-US" w:eastAsia="zh-CN"/>
        </w:rPr>
        <w:t>189.73</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86.23</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；政府性基金预算财政拨款收入</w:t>
      </w:r>
      <w:r>
        <w:rPr>
          <w:rFonts w:hint="eastAsia" w:ascii="仿宋_GB2312" w:hAnsi="仿宋" w:eastAsia="仿宋_GB2312" w:cs="仿宋_GB2312"/>
          <w:color w:val="000000"/>
          <w:sz w:val="30"/>
          <w:szCs w:val="30"/>
          <w:lang w:val="en-US" w:eastAsia="zh-CN"/>
        </w:rPr>
        <w:t>0</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0</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；其他收入</w:t>
      </w:r>
      <w:r>
        <w:rPr>
          <w:rFonts w:hint="eastAsia" w:ascii="仿宋_GB2312" w:hAnsi="仿宋" w:eastAsia="仿宋_GB2312" w:cs="仿宋_GB2312"/>
          <w:color w:val="000000"/>
          <w:sz w:val="30"/>
          <w:szCs w:val="30"/>
          <w:lang w:val="en-US" w:eastAsia="zh-CN"/>
        </w:rPr>
        <w:t>30.30</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13.77</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w:t>
      </w:r>
    </w:p>
    <w:p>
      <w:pPr>
        <w:pStyle w:val="28"/>
        <w:numPr>
          <w:ilvl w:val="0"/>
          <w:numId w:val="1"/>
        </w:numPr>
        <w:spacing w:line="500" w:lineRule="exact"/>
        <w:ind w:firstLineChars="0"/>
        <w:outlineLvl w:val="1"/>
        <w:rPr>
          <w:rStyle w:val="18"/>
          <w:rFonts w:ascii="黑体" w:hAnsi="黑体" w:eastAsia="黑体" w:cs="Times New Roman"/>
          <w:b w:val="0"/>
          <w:bCs w:val="0"/>
          <w:sz w:val="30"/>
          <w:szCs w:val="30"/>
        </w:rPr>
      </w:pPr>
      <w:bookmarkStart w:id="28" w:name="_Toc15377207"/>
      <w:bookmarkStart w:id="29" w:name="_Toc15396605"/>
      <w:r>
        <w:rPr>
          <w:rFonts w:hint="eastAsia" w:ascii="黑体" w:hAnsi="黑体" w:eastAsia="黑体" w:cs="黑体"/>
          <w:color w:val="000000"/>
          <w:sz w:val="30"/>
          <w:szCs w:val="30"/>
        </w:rPr>
        <w:t>支</w:t>
      </w:r>
      <w:r>
        <w:rPr>
          <w:rStyle w:val="18"/>
          <w:rFonts w:hint="eastAsia" w:ascii="黑体" w:hAnsi="黑体" w:eastAsia="黑体" w:cs="黑体"/>
          <w:b w:val="0"/>
          <w:bCs w:val="0"/>
          <w:sz w:val="30"/>
          <w:szCs w:val="30"/>
        </w:rPr>
        <w:t>出决算情况说明</w:t>
      </w:r>
      <w:bookmarkEnd w:id="28"/>
      <w:bookmarkEnd w:id="29"/>
    </w:p>
    <w:p>
      <w:pPr>
        <w:spacing w:line="500" w:lineRule="exact"/>
        <w:ind w:firstLine="600" w:firstLineChars="200"/>
        <w:outlineLvl w:val="1"/>
        <w:rPr>
          <w:rFonts w:ascii="仿宋_GB2312" w:hAnsi="仿宋" w:eastAsia="仿宋_GB2312"/>
          <w:color w:val="000000"/>
          <w:sz w:val="30"/>
          <w:szCs w:val="30"/>
        </w:rPr>
      </w:pPr>
      <w:r>
        <w:rPr>
          <w:rFonts w:ascii="仿宋_GB2312" w:hAnsi="仿宋" w:eastAsia="仿宋_GB2312" w:cs="仿宋_GB2312"/>
          <w:color w:val="000000"/>
          <w:sz w:val="30"/>
          <w:szCs w:val="30"/>
        </w:rPr>
        <w:t>2</w:t>
      </w:r>
      <w:r>
        <w:rPr>
          <w:rFonts w:hint="eastAsia" w:ascii="仿宋_GB2312" w:hAnsi="仿宋" w:eastAsia="仿宋_GB2312" w:cs="仿宋_GB2312"/>
          <w:color w:val="000000"/>
          <w:sz w:val="30"/>
          <w:szCs w:val="30"/>
          <w:lang w:val="en-US" w:eastAsia="zh-CN"/>
        </w:rPr>
        <w:t>020</w:t>
      </w:r>
      <w:r>
        <w:rPr>
          <w:rFonts w:hint="eastAsia" w:ascii="仿宋_GB2312" w:hAnsi="仿宋" w:eastAsia="仿宋_GB2312" w:cs="仿宋_GB2312"/>
          <w:color w:val="000000"/>
          <w:sz w:val="30"/>
          <w:szCs w:val="30"/>
        </w:rPr>
        <w:t>年本年支出合计</w:t>
      </w:r>
      <w:r>
        <w:rPr>
          <w:rFonts w:hint="eastAsia" w:ascii="仿宋_GB2312" w:hAnsi="仿宋" w:eastAsia="仿宋_GB2312" w:cs="仿宋_GB2312"/>
          <w:color w:val="000000"/>
          <w:sz w:val="30"/>
          <w:szCs w:val="30"/>
          <w:lang w:val="en-US" w:eastAsia="zh-CN"/>
        </w:rPr>
        <w:t>337.4</w:t>
      </w:r>
      <w:r>
        <w:rPr>
          <w:rFonts w:hint="eastAsia" w:ascii="仿宋_GB2312" w:hAnsi="仿宋" w:eastAsia="仿宋_GB2312" w:cs="仿宋_GB2312"/>
          <w:color w:val="000000"/>
          <w:sz w:val="30"/>
          <w:szCs w:val="30"/>
        </w:rPr>
        <w:t>万元，其中：基本支出</w:t>
      </w:r>
      <w:r>
        <w:rPr>
          <w:rFonts w:hint="eastAsia" w:ascii="仿宋_GB2312" w:hAnsi="仿宋" w:eastAsia="仿宋_GB2312" w:cs="仿宋_GB2312"/>
          <w:color w:val="000000"/>
          <w:sz w:val="30"/>
          <w:szCs w:val="30"/>
          <w:lang w:val="en-US" w:eastAsia="zh-CN"/>
        </w:rPr>
        <w:t>189.83</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56.26</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；项目支出</w:t>
      </w:r>
      <w:r>
        <w:rPr>
          <w:rFonts w:hint="eastAsia" w:ascii="仿宋_GB2312" w:hAnsi="仿宋" w:eastAsia="仿宋_GB2312" w:cs="仿宋_GB2312"/>
          <w:color w:val="000000"/>
          <w:sz w:val="30"/>
          <w:szCs w:val="30"/>
          <w:lang w:val="en-US" w:eastAsia="zh-CN"/>
        </w:rPr>
        <w:t>147.57</w:t>
      </w:r>
      <w:r>
        <w:rPr>
          <w:rFonts w:hint="eastAsia" w:ascii="仿宋_GB2312" w:hAnsi="仿宋" w:eastAsia="仿宋_GB2312" w:cs="仿宋_GB2312"/>
          <w:color w:val="000000"/>
          <w:sz w:val="30"/>
          <w:szCs w:val="30"/>
        </w:rPr>
        <w:t>万元，占</w:t>
      </w:r>
      <w:r>
        <w:rPr>
          <w:rFonts w:hint="eastAsia" w:ascii="仿宋_GB2312" w:hAnsi="仿宋" w:eastAsia="仿宋_GB2312" w:cs="仿宋_GB2312"/>
          <w:color w:val="000000"/>
          <w:sz w:val="30"/>
          <w:szCs w:val="30"/>
          <w:lang w:val="en-US" w:eastAsia="zh-CN"/>
        </w:rPr>
        <w:t>43.74</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w:t>
      </w:r>
    </w:p>
    <w:p>
      <w:pPr>
        <w:spacing w:line="500" w:lineRule="exact"/>
        <w:ind w:firstLine="600" w:firstLineChars="200"/>
        <w:outlineLvl w:val="1"/>
        <w:rPr>
          <w:rStyle w:val="18"/>
          <w:rFonts w:ascii="黑体" w:hAnsi="黑体" w:eastAsia="黑体" w:cs="Times New Roman"/>
          <w:b w:val="0"/>
          <w:bCs w:val="0"/>
          <w:sz w:val="30"/>
          <w:szCs w:val="30"/>
        </w:rPr>
      </w:pPr>
      <w:bookmarkStart w:id="30" w:name="_Toc15396606"/>
      <w:bookmarkStart w:id="31" w:name="_Toc15377208"/>
      <w:r>
        <w:rPr>
          <w:rFonts w:hint="eastAsia" w:ascii="黑体" w:hAnsi="黑体" w:eastAsia="黑体" w:cs="黑体"/>
          <w:color w:val="000000"/>
          <w:sz w:val="30"/>
          <w:szCs w:val="30"/>
        </w:rPr>
        <w:t>四、财</w:t>
      </w:r>
      <w:r>
        <w:rPr>
          <w:rStyle w:val="18"/>
          <w:rFonts w:hint="eastAsia" w:ascii="黑体" w:hAnsi="黑体" w:eastAsia="黑体" w:cs="黑体"/>
          <w:b w:val="0"/>
          <w:bCs w:val="0"/>
          <w:sz w:val="30"/>
          <w:szCs w:val="30"/>
        </w:rPr>
        <w:t>政拨款收入支出决算总体情况说明</w:t>
      </w:r>
      <w:bookmarkEnd w:id="30"/>
      <w:bookmarkEnd w:id="31"/>
    </w:p>
    <w:p>
      <w:pPr>
        <w:widowControl/>
        <w:spacing w:line="546" w:lineRule="exact"/>
        <w:ind w:firstLine="600" w:firstLineChars="200"/>
        <w:jc w:val="left"/>
        <w:rPr>
          <w:rFonts w:hint="eastAsia" w:ascii="仿宋_GB2312" w:hAnsi="仿宋" w:eastAsia="仿宋_GB2312"/>
          <w:color w:val="000000"/>
          <w:sz w:val="30"/>
          <w:szCs w:val="30"/>
          <w:lang w:eastAsia="zh-CN"/>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年财政拨款收、支总计</w:t>
      </w:r>
      <w:r>
        <w:rPr>
          <w:rFonts w:hint="eastAsia" w:ascii="仿宋_GB2312" w:hAnsi="仿宋" w:eastAsia="仿宋_GB2312" w:cs="仿宋_GB2312"/>
          <w:color w:val="000000"/>
          <w:sz w:val="30"/>
          <w:szCs w:val="30"/>
          <w:lang w:val="en-US" w:eastAsia="zh-CN"/>
        </w:rPr>
        <w:t>222.81</w:t>
      </w:r>
      <w:r>
        <w:rPr>
          <w:rFonts w:hint="eastAsia" w:ascii="仿宋_GB2312" w:hAnsi="仿宋" w:eastAsia="仿宋_GB2312" w:cs="仿宋_GB2312"/>
          <w:color w:val="000000"/>
          <w:sz w:val="30"/>
          <w:szCs w:val="30"/>
        </w:rPr>
        <w:t>万元。与</w:t>
      </w:r>
      <w:r>
        <w:rPr>
          <w:rFonts w:ascii="仿宋_GB2312" w:hAnsi="仿宋" w:eastAsia="仿宋_GB2312" w:cs="仿宋_GB2312"/>
          <w:color w:val="000000"/>
          <w:sz w:val="30"/>
          <w:szCs w:val="30"/>
        </w:rPr>
        <w:t>201</w:t>
      </w:r>
      <w:r>
        <w:rPr>
          <w:rFonts w:hint="eastAsia" w:ascii="仿宋_GB2312" w:hAnsi="仿宋" w:eastAsia="仿宋_GB2312" w:cs="仿宋_GB2312"/>
          <w:color w:val="000000"/>
          <w:sz w:val="30"/>
          <w:szCs w:val="30"/>
          <w:lang w:val="en-US" w:eastAsia="zh-CN"/>
        </w:rPr>
        <w:t>9</w:t>
      </w:r>
      <w:r>
        <w:rPr>
          <w:rFonts w:hint="eastAsia" w:ascii="仿宋_GB2312" w:hAnsi="仿宋" w:eastAsia="仿宋_GB2312" w:cs="仿宋_GB2312"/>
          <w:color w:val="000000"/>
          <w:sz w:val="30"/>
          <w:szCs w:val="30"/>
        </w:rPr>
        <w:t>年相比，财政拨款收、支总计各</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237.65</w:t>
      </w:r>
      <w:r>
        <w:rPr>
          <w:rFonts w:hint="eastAsia" w:ascii="仿宋_GB2312" w:hAnsi="仿宋" w:eastAsia="仿宋_GB2312" w:cs="仿宋_GB2312"/>
          <w:color w:val="000000"/>
          <w:sz w:val="30"/>
          <w:szCs w:val="30"/>
        </w:rPr>
        <w:t>万元，</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51.61</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。主要变动原因</w:t>
      </w:r>
      <w:r>
        <w:rPr>
          <w:rFonts w:hint="eastAsia" w:ascii="仿宋_GB2312" w:hAnsi="仿宋" w:eastAsia="仿宋_GB2312" w:cs="仿宋_GB2312"/>
          <w:color w:val="000000"/>
          <w:sz w:val="30"/>
          <w:szCs w:val="30"/>
          <w:lang w:eastAsia="zh-CN"/>
        </w:rPr>
        <w:t>一是人员变动；二是</w:t>
      </w:r>
      <w:r>
        <w:rPr>
          <w:rFonts w:hint="eastAsia" w:ascii="仿宋_GB2312" w:hAnsi="仿宋_GB2312" w:eastAsia="仿宋_GB2312" w:cs="仿宋_GB2312"/>
          <w:color w:val="000000"/>
          <w:sz w:val="32"/>
          <w:szCs w:val="32"/>
          <w:lang w:eastAsia="zh-CN"/>
        </w:rPr>
        <w:t>项目支出减少</w:t>
      </w:r>
      <w:r>
        <w:rPr>
          <w:rFonts w:hint="eastAsia" w:ascii="仿宋_GB2312" w:hAnsi="仿宋_GB2312" w:eastAsia="仿宋_GB2312" w:cs="仿宋_GB2312"/>
          <w:color w:val="000000"/>
          <w:sz w:val="32"/>
          <w:szCs w:val="32"/>
        </w:rPr>
        <w:t>。</w:t>
      </w:r>
    </w:p>
    <w:p>
      <w:pPr>
        <w:spacing w:line="500" w:lineRule="exact"/>
        <w:ind w:firstLine="600" w:firstLineChars="200"/>
        <w:outlineLvl w:val="1"/>
        <w:rPr>
          <w:rStyle w:val="18"/>
          <w:rFonts w:ascii="黑体" w:hAnsi="黑体" w:eastAsia="黑体" w:cs="Times New Roman"/>
          <w:b w:val="0"/>
          <w:bCs w:val="0"/>
          <w:sz w:val="30"/>
          <w:szCs w:val="30"/>
        </w:rPr>
      </w:pPr>
      <w:bookmarkStart w:id="32" w:name="_Toc15396607"/>
      <w:bookmarkStart w:id="33" w:name="_Toc15377209"/>
      <w:r>
        <w:rPr>
          <w:rFonts w:hint="eastAsia" w:ascii="黑体" w:hAnsi="黑体" w:eastAsia="黑体" w:cs="黑体"/>
          <w:color w:val="000000"/>
          <w:sz w:val="30"/>
          <w:szCs w:val="30"/>
        </w:rPr>
        <w:t>五、</w:t>
      </w:r>
      <w:r>
        <w:rPr>
          <w:rFonts w:hint="eastAsia" w:ascii="黑体" w:hAnsi="黑体" w:eastAsia="黑体" w:cs="黑体"/>
          <w:b/>
          <w:bCs/>
          <w:color w:val="000000"/>
          <w:sz w:val="30"/>
          <w:szCs w:val="30"/>
        </w:rPr>
        <w:t>一</w:t>
      </w:r>
      <w:r>
        <w:rPr>
          <w:rStyle w:val="18"/>
          <w:rFonts w:hint="eastAsia" w:ascii="黑体" w:hAnsi="黑体" w:eastAsia="黑体" w:cs="黑体"/>
          <w:b w:val="0"/>
          <w:bCs w:val="0"/>
          <w:sz w:val="30"/>
          <w:szCs w:val="30"/>
        </w:rPr>
        <w:t>般公共预算财政拨款支出决算情况说明</w:t>
      </w:r>
      <w:bookmarkEnd w:id="32"/>
      <w:bookmarkEnd w:id="33"/>
    </w:p>
    <w:p>
      <w:pPr>
        <w:spacing w:line="500" w:lineRule="exact"/>
        <w:ind w:firstLine="602" w:firstLineChars="200"/>
        <w:outlineLvl w:val="2"/>
        <w:rPr>
          <w:rFonts w:ascii="仿宋" w:hAnsi="仿宋" w:eastAsia="仿宋"/>
          <w:b/>
          <w:bCs/>
          <w:color w:val="000000"/>
          <w:sz w:val="30"/>
          <w:szCs w:val="30"/>
        </w:rPr>
      </w:pPr>
      <w:bookmarkStart w:id="34" w:name="_Toc15377210"/>
      <w:r>
        <w:rPr>
          <w:rFonts w:hint="eastAsia" w:ascii="仿宋" w:hAnsi="仿宋" w:eastAsia="仿宋" w:cs="仿宋"/>
          <w:b/>
          <w:bCs/>
          <w:color w:val="000000"/>
          <w:sz w:val="30"/>
          <w:szCs w:val="30"/>
        </w:rPr>
        <w:t>（一）一般公共预算财政拨款支出决算总体情况</w:t>
      </w:r>
      <w:bookmarkEnd w:id="34"/>
    </w:p>
    <w:p>
      <w:pPr>
        <w:spacing w:line="500" w:lineRule="exact"/>
        <w:ind w:firstLine="640"/>
        <w:rPr>
          <w:rFonts w:hint="eastAsia" w:ascii="仿宋_GB2312" w:hAnsi="仿宋" w:eastAsia="仿宋_GB2312"/>
          <w:color w:val="000000"/>
          <w:sz w:val="30"/>
          <w:szCs w:val="30"/>
          <w:lang w:eastAsia="zh-CN"/>
        </w:rPr>
      </w:pPr>
      <w:r>
        <w:rPr>
          <w:rFonts w:ascii="仿宋_GB2312" w:hAnsi="仿宋" w:eastAsia="仿宋_GB2312" w:cs="仿宋_GB2312"/>
          <w:color w:val="000000"/>
          <w:sz w:val="30"/>
          <w:szCs w:val="30"/>
        </w:rPr>
        <w:t>20</w:t>
      </w:r>
      <w:r>
        <w:rPr>
          <w:rFonts w:hint="eastAsia" w:ascii="仿宋_GB2312" w:hAnsi="仿宋" w:eastAsia="仿宋_GB2312" w:cs="仿宋_GB2312"/>
          <w:color w:val="000000"/>
          <w:sz w:val="30"/>
          <w:szCs w:val="30"/>
          <w:lang w:val="en-US" w:eastAsia="zh-CN"/>
        </w:rPr>
        <w:t>20</w:t>
      </w:r>
      <w:r>
        <w:rPr>
          <w:rFonts w:hint="eastAsia" w:ascii="仿宋_GB2312" w:hAnsi="仿宋" w:eastAsia="仿宋_GB2312" w:cs="仿宋_GB2312"/>
          <w:color w:val="000000"/>
          <w:sz w:val="30"/>
          <w:szCs w:val="30"/>
        </w:rPr>
        <w:t>年一般公共预算财政拨款支出</w:t>
      </w:r>
      <w:r>
        <w:rPr>
          <w:rFonts w:hint="eastAsia" w:ascii="仿宋_GB2312" w:hAnsi="仿宋" w:eastAsia="仿宋_GB2312" w:cs="仿宋_GB2312"/>
          <w:color w:val="000000"/>
          <w:sz w:val="30"/>
          <w:szCs w:val="30"/>
          <w:lang w:val="en-US" w:eastAsia="zh-CN"/>
        </w:rPr>
        <w:t>222.26</w:t>
      </w:r>
      <w:r>
        <w:rPr>
          <w:rFonts w:hint="eastAsia" w:ascii="仿宋_GB2312" w:hAnsi="仿宋" w:eastAsia="仿宋_GB2312" w:cs="仿宋_GB2312"/>
          <w:color w:val="000000"/>
          <w:sz w:val="30"/>
          <w:szCs w:val="30"/>
        </w:rPr>
        <w:t>万元，占本年支出合计的</w:t>
      </w:r>
      <w:r>
        <w:rPr>
          <w:rFonts w:hint="eastAsia" w:ascii="仿宋_GB2312" w:hAnsi="仿宋" w:eastAsia="仿宋_GB2312" w:cs="仿宋_GB2312"/>
          <w:color w:val="000000"/>
          <w:sz w:val="30"/>
          <w:szCs w:val="30"/>
          <w:lang w:val="en-US" w:eastAsia="zh-CN"/>
        </w:rPr>
        <w:t>99.75</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。与</w:t>
      </w:r>
      <w:r>
        <w:rPr>
          <w:rFonts w:ascii="仿宋_GB2312" w:hAnsi="仿宋" w:eastAsia="仿宋_GB2312" w:cs="仿宋_GB2312"/>
          <w:color w:val="000000"/>
          <w:sz w:val="30"/>
          <w:szCs w:val="30"/>
        </w:rPr>
        <w:t>201</w:t>
      </w:r>
      <w:r>
        <w:rPr>
          <w:rFonts w:hint="eastAsia" w:ascii="仿宋_GB2312" w:hAnsi="仿宋" w:eastAsia="仿宋_GB2312" w:cs="仿宋_GB2312"/>
          <w:color w:val="000000"/>
          <w:sz w:val="30"/>
          <w:szCs w:val="30"/>
          <w:lang w:val="en-US" w:eastAsia="zh-CN"/>
        </w:rPr>
        <w:t>9</w:t>
      </w:r>
      <w:r>
        <w:rPr>
          <w:rFonts w:hint="eastAsia" w:ascii="仿宋_GB2312" w:hAnsi="仿宋" w:eastAsia="仿宋_GB2312" w:cs="仿宋_GB2312"/>
          <w:color w:val="000000"/>
          <w:sz w:val="30"/>
          <w:szCs w:val="30"/>
        </w:rPr>
        <w:t>年相比，一般公共预算财政拨款</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90.16</w:t>
      </w:r>
      <w:r>
        <w:rPr>
          <w:rFonts w:hint="eastAsia" w:ascii="仿宋_GB2312" w:hAnsi="仿宋" w:eastAsia="仿宋_GB2312" w:cs="仿宋_GB2312"/>
          <w:color w:val="000000"/>
          <w:sz w:val="30"/>
          <w:szCs w:val="30"/>
        </w:rPr>
        <w:t>万元，</w:t>
      </w:r>
      <w:r>
        <w:rPr>
          <w:rFonts w:hint="eastAsia" w:ascii="仿宋_GB2312" w:hAnsi="仿宋" w:eastAsia="仿宋_GB2312" w:cs="仿宋_GB2312"/>
          <w:color w:val="000000"/>
          <w:sz w:val="30"/>
          <w:szCs w:val="30"/>
          <w:lang w:eastAsia="zh-CN"/>
        </w:rPr>
        <w:t>减少</w:t>
      </w:r>
      <w:r>
        <w:rPr>
          <w:rFonts w:hint="eastAsia" w:ascii="仿宋_GB2312" w:hAnsi="仿宋" w:eastAsia="仿宋_GB2312" w:cs="仿宋_GB2312"/>
          <w:color w:val="000000"/>
          <w:sz w:val="30"/>
          <w:szCs w:val="30"/>
          <w:lang w:val="en-US" w:eastAsia="zh-CN"/>
        </w:rPr>
        <w:t>28.86</w:t>
      </w:r>
      <w:r>
        <w:rPr>
          <w:rFonts w:ascii="仿宋_GB2312" w:hAnsi="仿宋" w:eastAsia="仿宋_GB2312" w:cs="仿宋_GB2312"/>
          <w:color w:val="000000"/>
          <w:sz w:val="30"/>
          <w:szCs w:val="30"/>
        </w:rPr>
        <w:t>%</w:t>
      </w:r>
      <w:r>
        <w:rPr>
          <w:rFonts w:hint="eastAsia" w:ascii="仿宋_GB2312" w:hAnsi="仿宋" w:eastAsia="仿宋_GB2312" w:cs="仿宋_GB2312"/>
          <w:color w:val="000000"/>
          <w:sz w:val="30"/>
          <w:szCs w:val="30"/>
        </w:rPr>
        <w:t>。主要变动原因是</w:t>
      </w:r>
      <w:r>
        <w:rPr>
          <w:rFonts w:hint="eastAsia" w:ascii="仿宋_GB2312" w:hAnsi="仿宋" w:eastAsia="仿宋_GB2312" w:cs="仿宋_GB2312"/>
          <w:color w:val="000000"/>
          <w:sz w:val="30"/>
          <w:szCs w:val="30"/>
          <w:lang w:eastAsia="zh-CN"/>
        </w:rPr>
        <w:t>人员减少、项目支出减少。</w:t>
      </w:r>
    </w:p>
    <w:p>
      <w:pPr>
        <w:spacing w:line="500" w:lineRule="exact"/>
        <w:ind w:firstLine="602" w:firstLineChars="200"/>
        <w:outlineLvl w:val="2"/>
        <w:rPr>
          <w:rFonts w:ascii="仿宋" w:hAnsi="仿宋" w:eastAsia="仿宋"/>
          <w:b/>
          <w:bCs/>
          <w:color w:val="000000"/>
          <w:sz w:val="30"/>
          <w:szCs w:val="30"/>
        </w:rPr>
      </w:pPr>
      <w:bookmarkStart w:id="35" w:name="_Toc15377211"/>
      <w:r>
        <w:rPr>
          <w:rFonts w:hint="eastAsia" w:ascii="仿宋" w:hAnsi="仿宋" w:eastAsia="仿宋" w:cs="仿宋"/>
          <w:b/>
          <w:bCs/>
          <w:color w:val="000000"/>
          <w:sz w:val="30"/>
          <w:szCs w:val="30"/>
        </w:rPr>
        <w:t>（二）一般公共预算财政拨款支出决算结构情况</w:t>
      </w:r>
      <w:bookmarkEnd w:id="35"/>
    </w:p>
    <w:p>
      <w:pPr>
        <w:widowControl/>
        <w:spacing w:line="546" w:lineRule="exact"/>
        <w:ind w:firstLine="640" w:firstLineChars="200"/>
        <w:jc w:val="left"/>
        <w:rPr>
          <w:rFonts w:hint="eastAsia" w:ascii="仿宋_GB2312" w:hAnsi="仿宋_GB2312" w:eastAsia="仿宋_GB2312" w:cs="仿宋_GB2312"/>
          <w:color w:val="000000"/>
          <w:sz w:val="32"/>
          <w:szCs w:val="32"/>
        </w:rPr>
      </w:pPr>
      <w:bookmarkStart w:id="36" w:name="_Toc15377212"/>
      <w:r>
        <w:rPr>
          <w:rFonts w:hint="eastAsia" w:ascii="仿宋_GB2312" w:hAnsi="仿宋_GB2312" w:eastAsia="仿宋_GB2312" w:cs="仿宋_GB2312"/>
          <w:color w:val="000000"/>
          <w:sz w:val="32"/>
          <w:szCs w:val="32"/>
        </w:rPr>
        <w:t>2020年一般公共预算财政拨款支出</w:t>
      </w:r>
      <w:r>
        <w:rPr>
          <w:rFonts w:hint="eastAsia" w:ascii="仿宋_GB2312" w:hAnsi="仿宋_GB2312" w:eastAsia="仿宋_GB2312" w:cs="仿宋_GB2312"/>
          <w:color w:val="000000"/>
          <w:sz w:val="32"/>
          <w:szCs w:val="32"/>
          <w:lang w:val="en-US" w:eastAsia="zh-CN"/>
        </w:rPr>
        <w:t>222.26</w:t>
      </w:r>
      <w:r>
        <w:rPr>
          <w:rFonts w:hint="eastAsia" w:ascii="仿宋_GB2312" w:hAnsi="仿宋_GB2312" w:eastAsia="仿宋_GB2312" w:cs="仿宋_GB2312"/>
          <w:color w:val="000000"/>
          <w:sz w:val="32"/>
          <w:szCs w:val="32"/>
        </w:rPr>
        <w:t>万元，主要用于以下方面:社会保障和就业（类）支出</w:t>
      </w:r>
      <w:r>
        <w:rPr>
          <w:rFonts w:hint="eastAsia" w:ascii="仿宋_GB2312" w:hAnsi="仿宋_GB2312" w:eastAsia="仿宋_GB2312" w:cs="仿宋_GB2312"/>
          <w:color w:val="000000"/>
          <w:sz w:val="32"/>
          <w:szCs w:val="32"/>
          <w:lang w:val="en-US" w:eastAsia="zh-CN"/>
        </w:rPr>
        <w:t>15.52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6.98</w:t>
      </w:r>
      <w:r>
        <w:rPr>
          <w:rFonts w:hint="eastAsia" w:ascii="仿宋_GB2312" w:hAnsi="仿宋_GB2312" w:eastAsia="仿宋_GB2312" w:cs="仿宋_GB2312"/>
          <w:color w:val="000000"/>
          <w:sz w:val="32"/>
          <w:szCs w:val="32"/>
        </w:rPr>
        <w:t>%；卫生健康支出</w:t>
      </w:r>
      <w:r>
        <w:rPr>
          <w:rFonts w:hint="eastAsia" w:ascii="仿宋_GB2312" w:hAnsi="仿宋_GB2312" w:eastAsia="仿宋_GB2312" w:cs="仿宋_GB2312"/>
          <w:color w:val="000000"/>
          <w:sz w:val="32"/>
          <w:szCs w:val="32"/>
          <w:lang w:val="en-US" w:eastAsia="zh-CN"/>
        </w:rPr>
        <w:t>7.28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3.28</w:t>
      </w:r>
      <w:r>
        <w:rPr>
          <w:rFonts w:hint="eastAsia" w:ascii="仿宋_GB2312" w:hAnsi="仿宋_GB2312" w:eastAsia="仿宋_GB2312" w:cs="仿宋_GB2312"/>
          <w:color w:val="000000"/>
          <w:sz w:val="32"/>
          <w:szCs w:val="32"/>
        </w:rPr>
        <w:t>%；自然资源海洋气象等支出</w:t>
      </w:r>
      <w:r>
        <w:rPr>
          <w:rFonts w:hint="eastAsia" w:ascii="仿宋_GB2312" w:hAnsi="仿宋_GB2312" w:eastAsia="仿宋_GB2312" w:cs="仿宋_GB2312"/>
          <w:color w:val="000000"/>
          <w:sz w:val="32"/>
          <w:szCs w:val="32"/>
          <w:lang w:val="en-US" w:eastAsia="zh-CN"/>
        </w:rPr>
        <w:t>183.93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82.75</w:t>
      </w:r>
      <w:r>
        <w:rPr>
          <w:rFonts w:hint="eastAsia" w:ascii="仿宋_GB2312" w:hAnsi="仿宋_GB2312" w:eastAsia="仿宋_GB2312" w:cs="仿宋_GB2312"/>
          <w:color w:val="000000"/>
          <w:sz w:val="32"/>
          <w:szCs w:val="32"/>
        </w:rPr>
        <w:t>%，住房保障支出</w:t>
      </w:r>
      <w:r>
        <w:rPr>
          <w:rFonts w:hint="eastAsia" w:ascii="仿宋_GB2312" w:hAnsi="仿宋_GB2312" w:eastAsia="仿宋_GB2312" w:cs="仿宋_GB2312"/>
          <w:color w:val="000000"/>
          <w:sz w:val="32"/>
          <w:szCs w:val="32"/>
          <w:lang w:val="en-US" w:eastAsia="zh-CN"/>
        </w:rPr>
        <w:t>15.53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6.99</w:t>
      </w:r>
      <w:r>
        <w:rPr>
          <w:rFonts w:hint="eastAsia" w:ascii="仿宋_GB2312" w:hAnsi="仿宋_GB2312" w:eastAsia="仿宋_GB2312" w:cs="仿宋_GB2312"/>
          <w:color w:val="000000"/>
          <w:sz w:val="32"/>
          <w:szCs w:val="32"/>
        </w:rPr>
        <w:t>%。</w:t>
      </w:r>
    </w:p>
    <w:bookmarkEnd w:id="36"/>
    <w:p>
      <w:pPr>
        <w:spacing w:line="546" w:lineRule="exact"/>
        <w:ind w:firstLine="643" w:firstLineChars="200"/>
        <w:rPr>
          <w:rFonts w:hint="eastAsia" w:ascii="楷体_GB2312" w:hAnsi="楷体_GB2312" w:eastAsia="楷体_GB2312" w:cs="楷体_GB2312"/>
          <w:b/>
          <w:bCs/>
          <w:sz w:val="32"/>
          <w:szCs w:val="32"/>
        </w:rPr>
      </w:pPr>
      <w:bookmarkStart w:id="37" w:name="_Toc15396631"/>
      <w:r>
        <w:rPr>
          <w:rFonts w:hint="eastAsia" w:ascii="楷体_GB2312" w:hAnsi="楷体_GB2312" w:eastAsia="楷体_GB2312" w:cs="楷体_GB2312"/>
          <w:b/>
          <w:bCs/>
          <w:sz w:val="32"/>
          <w:szCs w:val="32"/>
        </w:rPr>
        <w:t>（三）一般公共预算财政拨款支出决算具体情况</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2020年一般公共预算支出决算数为</w:t>
      </w:r>
      <w:r>
        <w:rPr>
          <w:rFonts w:hint="eastAsia" w:ascii="仿宋_GB2312" w:hAnsi="仿宋_GB2312" w:eastAsia="仿宋_GB2312" w:cs="仿宋_GB2312"/>
          <w:color w:val="000000"/>
          <w:sz w:val="32"/>
          <w:szCs w:val="32"/>
          <w:lang w:val="en-US" w:eastAsia="zh-CN"/>
        </w:rPr>
        <w:t>222.26</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99.75</w:t>
      </w:r>
      <w:r>
        <w:rPr>
          <w:rFonts w:hint="eastAsia" w:ascii="仿宋_GB2312" w:hAnsi="仿宋_GB2312" w:eastAsia="仿宋_GB2312" w:cs="仿宋_GB2312"/>
          <w:color w:val="000000"/>
          <w:sz w:val="32"/>
          <w:szCs w:val="32"/>
        </w:rPr>
        <w:t>%。其中：</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highlight w:val="none"/>
        </w:rPr>
        <w:t>1.社会保障</w:t>
      </w:r>
      <w:r>
        <w:rPr>
          <w:rFonts w:hint="eastAsia" w:ascii="仿宋_GB2312" w:hAnsi="仿宋_GB2312" w:eastAsia="仿宋_GB2312" w:cs="仿宋_GB2312"/>
          <w:b w:val="0"/>
          <w:bCs w:val="0"/>
          <w:color w:val="000000"/>
          <w:sz w:val="32"/>
          <w:szCs w:val="32"/>
        </w:rPr>
        <w:t>和就业（类）行政事业单位离退休（款）机关事业单位基本养老保险缴费支出（项）</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15.52</w:t>
      </w:r>
      <w:r>
        <w:rPr>
          <w:rFonts w:hint="eastAsia" w:ascii="仿宋_GB2312" w:hAnsi="仿宋_GB2312" w:eastAsia="仿宋_GB2312" w:cs="仿宋_GB2312"/>
          <w:color w:val="000000"/>
          <w:sz w:val="32"/>
          <w:szCs w:val="32"/>
        </w:rPr>
        <w:t>万元，完成预算100%，</w:t>
      </w:r>
      <w:r>
        <w:rPr>
          <w:rFonts w:hint="eastAsia" w:ascii="仿宋_GB2312" w:hAnsi="仿宋_GB2312" w:eastAsia="仿宋_GB2312" w:cs="仿宋_GB2312"/>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.卫生健康（类）行政事业单位医疗（款）事业单位医疗（项）:</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7.28</w:t>
      </w:r>
      <w:r>
        <w:rPr>
          <w:rFonts w:hint="eastAsia" w:ascii="仿宋_GB2312" w:hAnsi="仿宋_GB2312" w:eastAsia="仿宋_GB2312" w:cs="仿宋_GB2312"/>
          <w:color w:val="000000"/>
          <w:sz w:val="32"/>
          <w:szCs w:val="32"/>
        </w:rPr>
        <w:t>万元，完成预算100%，</w:t>
      </w:r>
      <w:r>
        <w:rPr>
          <w:rFonts w:hint="eastAsia" w:ascii="仿宋_GB2312" w:hAnsi="仿宋_GB2312" w:eastAsia="仿宋_GB2312" w:cs="仿宋_GB2312"/>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.自然资源海洋气象等支出（类）自然资源事务（款）</w:t>
      </w:r>
      <w:r>
        <w:rPr>
          <w:rFonts w:hint="eastAsia" w:ascii="仿宋_GB2312" w:hAnsi="仿宋_GB2312" w:eastAsia="仿宋_GB2312" w:cs="仿宋_GB2312"/>
          <w:b w:val="0"/>
          <w:bCs w:val="0"/>
          <w:color w:val="000000"/>
          <w:sz w:val="32"/>
          <w:szCs w:val="32"/>
          <w:lang w:eastAsia="zh-CN"/>
        </w:rPr>
        <w:t>自然资源利用与保护</w:t>
      </w:r>
      <w:r>
        <w:rPr>
          <w:rFonts w:hint="eastAsia" w:ascii="仿宋_GB2312" w:hAnsi="仿宋_GB2312" w:eastAsia="仿宋_GB2312" w:cs="仿宋_GB2312"/>
          <w:b w:val="0"/>
          <w:bCs w:val="0"/>
          <w:color w:val="000000"/>
          <w:sz w:val="32"/>
          <w:szCs w:val="32"/>
        </w:rPr>
        <w:t>(项）：</w:t>
      </w:r>
      <w:r>
        <w:rPr>
          <w:rFonts w:hint="eastAsia" w:ascii="仿宋_GB2312" w:hAnsi="仿宋_GB2312" w:eastAsia="仿宋_GB2312" w:cs="仿宋_GB2312"/>
          <w:color w:val="000000"/>
          <w:sz w:val="32"/>
          <w:szCs w:val="32"/>
        </w:rPr>
        <w:t>支出决算</w:t>
      </w:r>
      <w:r>
        <w:rPr>
          <w:rFonts w:hint="eastAsia" w:ascii="仿宋_GB2312" w:hAnsi="仿宋_GB2312" w:eastAsia="仿宋_GB2312" w:cs="仿宋_GB2312"/>
          <w:color w:val="000000"/>
          <w:sz w:val="32"/>
          <w:szCs w:val="32"/>
          <w:lang w:eastAsia="zh-CN"/>
        </w:rPr>
        <w:t>为</w:t>
      </w:r>
      <w:r>
        <w:rPr>
          <w:rFonts w:hint="eastAsia" w:ascii="仿宋_GB2312" w:hAnsi="仿宋_GB2312" w:eastAsia="仿宋_GB2312" w:cs="仿宋_GB2312"/>
          <w:color w:val="000000"/>
          <w:sz w:val="32"/>
          <w:szCs w:val="32"/>
          <w:lang w:val="en-US" w:eastAsia="zh-CN"/>
        </w:rPr>
        <w:t>183.93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sz w:val="32"/>
          <w:szCs w:val="32"/>
        </w:rPr>
        <w:t>完成预算</w:t>
      </w:r>
      <w:r>
        <w:rPr>
          <w:rFonts w:hint="eastAsia" w:ascii="仿宋_GB2312" w:hAnsi="仿宋_GB2312" w:eastAsia="仿宋_GB2312" w:cs="仿宋_GB2312"/>
          <w:sz w:val="32"/>
          <w:szCs w:val="32"/>
          <w:lang w:val="en-US" w:eastAsia="zh-CN"/>
        </w:rPr>
        <w:t>99.70</w:t>
      </w:r>
      <w:r>
        <w:rPr>
          <w:rFonts w:hint="eastAsia" w:ascii="仿宋_GB2312" w:hAnsi="仿宋_GB2312" w:eastAsia="仿宋_GB2312" w:cs="仿宋_GB2312"/>
          <w:sz w:val="32"/>
          <w:szCs w:val="32"/>
        </w:rPr>
        <w:t>%，决算数与预算数基本持平。</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.住房保障（类）住房改革（款）住房公积金（项）:</w:t>
      </w:r>
      <w:r>
        <w:rPr>
          <w:rFonts w:hint="eastAsia" w:ascii="仿宋_GB2312" w:hAnsi="仿宋_GB2312" w:eastAsia="仿宋_GB2312" w:cs="仿宋_GB2312"/>
          <w:color w:val="000000"/>
          <w:sz w:val="32"/>
          <w:szCs w:val="32"/>
        </w:rPr>
        <w:t>支出决算为</w:t>
      </w:r>
      <w:r>
        <w:rPr>
          <w:rFonts w:hint="eastAsia" w:ascii="仿宋_GB2312" w:hAnsi="仿宋_GB2312" w:eastAsia="仿宋_GB2312" w:cs="仿宋_GB2312"/>
          <w:color w:val="000000"/>
          <w:sz w:val="32"/>
          <w:szCs w:val="32"/>
          <w:lang w:val="en-US" w:eastAsia="zh-CN"/>
        </w:rPr>
        <w:t>15.53</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%，决算数与预算数基本持平。</w:t>
      </w:r>
    </w:p>
    <w:p>
      <w:pPr>
        <w:widowControl/>
        <w:spacing w:line="546" w:lineRule="exact"/>
        <w:ind w:firstLine="643" w:firstLineChars="200"/>
        <w:jc w:val="left"/>
        <w:rPr>
          <w:rFonts w:hint="eastAsia" w:ascii="黑体" w:hAnsi="黑体" w:eastAsia="黑体" w:cs="黑体"/>
          <w:color w:val="000000"/>
          <w:sz w:val="32"/>
          <w:szCs w:val="32"/>
        </w:rPr>
      </w:pPr>
      <w:r>
        <w:rPr>
          <w:rFonts w:hint="eastAsia" w:ascii="黑体" w:hAnsi="黑体" w:eastAsia="黑体" w:cs="黑体"/>
          <w:b/>
          <w:bCs/>
          <w:color w:val="000000"/>
          <w:sz w:val="32"/>
          <w:szCs w:val="32"/>
        </w:rPr>
        <w:t>六、一般公共预算财政拨款基本支出决算情况说明</w:t>
      </w:r>
      <w:r>
        <w:rPr>
          <w:rFonts w:hint="eastAsia" w:ascii="黑体" w:hAnsi="黑体" w:eastAsia="黑体" w:cs="黑体"/>
          <w:color w:val="000000"/>
          <w:sz w:val="32"/>
          <w:szCs w:val="32"/>
        </w:rPr>
        <w:tab/>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w:t>
      </w:r>
      <w:r>
        <w:rPr>
          <w:rFonts w:hint="eastAsia" w:ascii="仿宋_GB2312" w:hAnsi="仿宋_GB2312" w:eastAsia="仿宋_GB2312" w:cs="仿宋_GB2312"/>
          <w:color w:val="000000"/>
          <w:sz w:val="32"/>
          <w:szCs w:val="32"/>
          <w:lang w:val="en-US" w:eastAsia="zh-CN"/>
        </w:rPr>
        <w:t>189.83</w:t>
      </w:r>
      <w:r>
        <w:rPr>
          <w:rFonts w:hint="eastAsia" w:ascii="仿宋_GB2312" w:hAnsi="仿宋_GB2312" w:eastAsia="仿宋_GB2312" w:cs="仿宋_GB2312"/>
          <w:color w:val="000000"/>
          <w:sz w:val="32"/>
          <w:szCs w:val="32"/>
        </w:rPr>
        <w:t>万元，其中：</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170.72</w:t>
      </w:r>
      <w:r>
        <w:rPr>
          <w:rFonts w:hint="eastAsia" w:ascii="仿宋_GB2312" w:hAnsi="仿宋_GB2312" w:eastAsia="仿宋_GB2312" w:cs="仿宋_GB2312"/>
          <w:color w:val="000000"/>
          <w:sz w:val="32"/>
          <w:szCs w:val="32"/>
        </w:rPr>
        <w:t>万元，主要包括：基本工资、津贴补贴、奖金、绩效工资、机关事业单位基本养老保险缴费、职业年金缴费、其他社会保障缴费、其他工资福利支出、生活补助、奖励金、住房公积金、其他对个人和家庭的补助支出。</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日常公用经费</w:t>
      </w:r>
      <w:r>
        <w:rPr>
          <w:rFonts w:hint="eastAsia" w:ascii="仿宋_GB2312" w:hAnsi="仿宋_GB2312" w:eastAsia="仿宋_GB2312" w:cs="仿宋_GB2312"/>
          <w:color w:val="000000"/>
          <w:sz w:val="32"/>
          <w:szCs w:val="32"/>
          <w:lang w:val="en-US" w:eastAsia="zh-CN"/>
        </w:rPr>
        <w:t>19.12</w:t>
      </w:r>
      <w:r>
        <w:rPr>
          <w:rFonts w:hint="eastAsia" w:ascii="仿宋_GB2312" w:hAnsi="仿宋_GB2312" w:eastAsia="仿宋_GB2312" w:cs="仿宋_GB2312"/>
          <w:color w:val="000000"/>
          <w:sz w:val="32"/>
          <w:szCs w:val="32"/>
        </w:rPr>
        <w:t>万元，主要包括：办公费、印刷费、手续费、水费、电费、邮电费、物业管理费、差旅费、维修（护）费、会议费、公务接待费、劳务费、工会经费、公务用车运行维护费、税金及附加费用、其他商品和服务支出。</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七、“三公”经费财政拨款支出决算情况说明</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2020年“三公”经费财政拨款支出决算为</w:t>
      </w:r>
      <w:r>
        <w:rPr>
          <w:rFonts w:hint="eastAsia" w:ascii="仿宋_GB2312" w:hAnsi="仿宋_GB2312" w:eastAsia="仿宋_GB2312" w:cs="仿宋_GB2312"/>
          <w:color w:val="000000"/>
          <w:sz w:val="32"/>
          <w:szCs w:val="32"/>
          <w:lang w:val="en-US" w:eastAsia="zh-CN"/>
        </w:rPr>
        <w:t>10.47</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50.10</w:t>
      </w:r>
      <w:r>
        <w:rPr>
          <w:rFonts w:hint="eastAsia" w:ascii="仿宋_GB2312" w:hAnsi="仿宋_GB2312" w:eastAsia="仿宋_GB2312" w:cs="仿宋_GB2312"/>
          <w:color w:val="000000"/>
          <w:sz w:val="32"/>
          <w:szCs w:val="32"/>
        </w:rPr>
        <w:t>%，决算数小于预算数的主要原因是2020年严格控制经费，压缩各项支出。</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w:t>
      </w:r>
      <w:r>
        <w:rPr>
          <w:rFonts w:hint="eastAsia" w:ascii="仿宋_GB2312" w:hAnsi="仿宋_GB2312" w:eastAsia="仿宋_GB2312" w:cs="仿宋_GB2312"/>
          <w:color w:val="000000"/>
          <w:sz w:val="32"/>
          <w:szCs w:val="32"/>
          <w:lang w:val="en-US" w:eastAsia="zh-CN"/>
        </w:rPr>
        <w:t>年初未安排预算</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9.51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90.83</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9.17</w:t>
      </w:r>
      <w:r>
        <w:rPr>
          <w:rFonts w:hint="eastAsia" w:ascii="仿宋_GB2312" w:hAnsi="仿宋_GB2312" w:eastAsia="仿宋_GB2312" w:cs="仿宋_GB2312"/>
          <w:color w:val="000000"/>
          <w:sz w:val="32"/>
          <w:szCs w:val="32"/>
        </w:rPr>
        <w:t>%。具体情况如下：</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1.因公出国（境）经费支出0万元，</w:t>
      </w:r>
      <w:r>
        <w:rPr>
          <w:rFonts w:hint="eastAsia" w:ascii="仿宋_GB2312" w:hAnsi="仿宋_GB2312" w:eastAsia="仿宋_GB2312" w:cs="仿宋_GB2312"/>
          <w:color w:val="000000"/>
          <w:sz w:val="32"/>
          <w:szCs w:val="32"/>
          <w:lang w:val="en-US" w:eastAsia="zh-CN"/>
        </w:rPr>
        <w:t>年初未安排预算</w:t>
      </w:r>
      <w:r>
        <w:rPr>
          <w:rFonts w:hint="eastAsia" w:ascii="仿宋_GB2312" w:hAnsi="仿宋_GB2312" w:eastAsia="仿宋_GB2312" w:cs="仿宋_GB2312"/>
          <w:color w:val="000000"/>
          <w:sz w:val="32"/>
          <w:szCs w:val="32"/>
        </w:rPr>
        <w:t>，较2019年度</w:t>
      </w:r>
      <w:r>
        <w:rPr>
          <w:rFonts w:hint="eastAsia" w:ascii="仿宋_GB2312" w:hAnsi="仿宋_GB2312" w:eastAsia="仿宋_GB2312" w:cs="仿宋_GB2312"/>
          <w:color w:val="000000"/>
          <w:sz w:val="32"/>
          <w:szCs w:val="32"/>
          <w:lang w:val="en-US" w:eastAsia="zh-CN"/>
        </w:rPr>
        <w:t>无变化</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我</w:t>
      </w:r>
      <w:r>
        <w:rPr>
          <w:rFonts w:hint="eastAsia" w:ascii="仿宋_GB2312" w:hAnsi="仿宋_GB2312" w:eastAsia="仿宋_GB2312" w:cs="仿宋_GB2312"/>
          <w:sz w:val="32"/>
          <w:szCs w:val="32"/>
        </w:rPr>
        <w:t>单位无因公出国（境）事宜</w:t>
      </w:r>
      <w:r>
        <w:rPr>
          <w:rFonts w:hint="eastAsia" w:ascii="仿宋_GB2312" w:hAnsi="仿宋_GB2312" w:eastAsia="仿宋_GB2312" w:cs="仿宋_GB2312"/>
          <w:color w:val="000000"/>
          <w:sz w:val="32"/>
          <w:szCs w:val="32"/>
        </w:rPr>
        <w:t>。</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2.公务用车购置及运行维护费支出</w:t>
      </w:r>
      <w:r>
        <w:rPr>
          <w:rFonts w:hint="eastAsia" w:ascii="仿宋_GB2312" w:hAnsi="仿宋_GB2312" w:eastAsia="仿宋_GB2312" w:cs="仿宋_GB2312"/>
          <w:color w:val="000000"/>
          <w:sz w:val="32"/>
          <w:szCs w:val="32"/>
          <w:lang w:val="en-US" w:eastAsia="zh-CN"/>
        </w:rPr>
        <w:t>9.51</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rPr>
        <w:t>%。公务用车购置及运行维护费支出决算比2019年</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9.89</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，减少</w:t>
      </w:r>
      <w:r>
        <w:rPr>
          <w:rFonts w:hint="eastAsia" w:ascii="仿宋_GB2312" w:hAnsi="仿宋_GB2312" w:eastAsia="仿宋_GB2312" w:cs="仿宋_GB2312"/>
          <w:color w:val="000000"/>
          <w:sz w:val="32"/>
          <w:szCs w:val="32"/>
          <w:lang w:val="en-US" w:eastAsia="zh-CN"/>
        </w:rPr>
        <w:t>49.92</w:t>
      </w:r>
      <w:r>
        <w:rPr>
          <w:rFonts w:hint="eastAsia" w:ascii="仿宋_GB2312" w:hAnsi="仿宋_GB2312" w:eastAsia="仿宋_GB2312" w:cs="仿宋_GB2312"/>
          <w:color w:val="000000"/>
          <w:sz w:val="32"/>
          <w:szCs w:val="32"/>
        </w:rPr>
        <w:t>%。主要原因是</w:t>
      </w:r>
      <w:r>
        <w:rPr>
          <w:rFonts w:hint="eastAsia" w:ascii="仿宋_GB2312" w:hAnsi="仿宋_GB2312" w:eastAsia="仿宋_GB2312" w:cs="仿宋_GB2312"/>
          <w:color w:val="000000"/>
          <w:sz w:val="32"/>
          <w:szCs w:val="32"/>
          <w:lang w:eastAsia="zh-CN"/>
        </w:rPr>
        <w:t>因车改收回车辆</w:t>
      </w:r>
      <w:r>
        <w:rPr>
          <w:rFonts w:hint="eastAsia" w:ascii="仿宋_GB2312" w:hAnsi="仿宋_GB2312" w:eastAsia="仿宋_GB2312" w:cs="仿宋_GB2312"/>
          <w:color w:val="000000"/>
          <w:sz w:val="32"/>
          <w:szCs w:val="32"/>
        </w:rPr>
        <w:t>。</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其中：公务用车购置支出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年初未安排预算</w:t>
      </w:r>
      <w:r>
        <w:rPr>
          <w:rFonts w:hint="eastAsia" w:ascii="仿宋_GB2312" w:hAnsi="仿宋_GB2312" w:eastAsia="仿宋_GB2312" w:cs="仿宋_GB2312"/>
          <w:color w:val="000000"/>
          <w:sz w:val="32"/>
          <w:szCs w:val="32"/>
        </w:rPr>
        <w:t>。截至2020年12月底，单位共有公务用车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辆，其中：特种专业用</w:t>
      </w:r>
      <w:r>
        <w:rPr>
          <w:rFonts w:hint="eastAsia" w:ascii="仿宋_GB2312" w:hAnsi="仿宋_GB2312" w:eastAsia="仿宋_GB2312" w:cs="仿宋_GB2312"/>
          <w:color w:val="000000"/>
          <w:sz w:val="32"/>
          <w:szCs w:val="32"/>
          <w:lang w:eastAsia="zh-CN"/>
        </w:rPr>
        <w:t>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公务用车运行维护费支出</w:t>
      </w:r>
      <w:r>
        <w:rPr>
          <w:rFonts w:hint="eastAsia" w:ascii="仿宋_GB2312" w:hAnsi="仿宋_GB2312" w:eastAsia="仿宋_GB2312" w:cs="仿宋_GB2312"/>
          <w:color w:val="000000"/>
          <w:sz w:val="32"/>
          <w:szCs w:val="32"/>
          <w:lang w:val="en-US" w:eastAsia="zh-CN"/>
        </w:rPr>
        <w:t>9.51</w:t>
      </w:r>
      <w:r>
        <w:rPr>
          <w:rFonts w:hint="eastAsia" w:ascii="仿宋_GB2312" w:hAnsi="仿宋_GB2312" w:eastAsia="仿宋_GB2312" w:cs="仿宋_GB2312"/>
          <w:color w:val="000000"/>
          <w:sz w:val="32"/>
          <w:szCs w:val="32"/>
        </w:rPr>
        <w:t>万元。主要用于开展</w:t>
      </w:r>
      <w:r>
        <w:rPr>
          <w:rFonts w:hint="eastAsia" w:ascii="仿宋_GB2312" w:hAnsi="仿宋_GB2312" w:eastAsia="仿宋_GB2312" w:cs="仿宋_GB2312"/>
          <w:color w:val="000000"/>
          <w:sz w:val="32"/>
          <w:szCs w:val="32"/>
          <w:lang w:eastAsia="zh-CN"/>
        </w:rPr>
        <w:t>国土整治相关工作业务用车</w:t>
      </w:r>
      <w:r>
        <w:rPr>
          <w:rFonts w:hint="eastAsia" w:ascii="仿宋_GB2312" w:hAnsi="仿宋_GB2312" w:eastAsia="仿宋_GB2312" w:cs="仿宋_GB2312"/>
          <w:color w:val="000000"/>
          <w:sz w:val="32"/>
          <w:szCs w:val="32"/>
        </w:rPr>
        <w:t>。</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3.公务接待费支出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万元，完成预算</w:t>
      </w:r>
      <w:r>
        <w:rPr>
          <w:rFonts w:hint="eastAsia" w:ascii="仿宋_GB2312" w:hAnsi="仿宋_GB2312" w:eastAsia="仿宋_GB2312" w:cs="仿宋_GB2312"/>
          <w:color w:val="000000"/>
          <w:sz w:val="32"/>
          <w:szCs w:val="32"/>
          <w:lang w:val="en-US" w:eastAsia="zh-CN"/>
        </w:rPr>
        <w:t>50.53</w:t>
      </w:r>
      <w:r>
        <w:rPr>
          <w:rFonts w:hint="eastAsia" w:ascii="仿宋_GB2312" w:hAnsi="仿宋_GB2312" w:eastAsia="仿宋_GB2312" w:cs="仿宋_GB2312"/>
          <w:color w:val="000000"/>
          <w:sz w:val="32"/>
          <w:szCs w:val="32"/>
        </w:rPr>
        <w:t>%。公务接待费支出决算比2019年减少</w:t>
      </w:r>
      <w:r>
        <w:rPr>
          <w:rFonts w:hint="eastAsia" w:ascii="仿宋_GB2312" w:hAnsi="仿宋_GB2312" w:eastAsia="仿宋_GB2312" w:cs="仿宋_GB2312"/>
          <w:color w:val="000000"/>
          <w:sz w:val="32"/>
          <w:szCs w:val="32"/>
          <w:lang w:val="en-US" w:eastAsia="zh-CN"/>
        </w:rPr>
        <w:t>0.98</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50.52</w:t>
      </w:r>
      <w:r>
        <w:rPr>
          <w:rFonts w:hint="eastAsia" w:ascii="仿宋_GB2312" w:hAnsi="仿宋_GB2312" w:eastAsia="仿宋_GB2312" w:cs="仿宋_GB2312"/>
          <w:color w:val="000000"/>
          <w:sz w:val="32"/>
          <w:szCs w:val="32"/>
        </w:rPr>
        <w:t>%。主要原因是接待过程中严格执行中央八项规定、省委省政府十项规定、市委“六个带头”及其实施细则精神，控制接待标准，限制陪同人数，所以接待费开支有所下降。其中：</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国内公务接待支出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万元，主要用于执行公务、开展业务活动开支的用餐费等。国内公务接待</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130</w:t>
      </w:r>
      <w:r>
        <w:rPr>
          <w:rFonts w:hint="eastAsia" w:ascii="仿宋_GB2312" w:hAnsi="仿宋_GB2312" w:eastAsia="仿宋_GB2312" w:cs="仿宋_GB2312"/>
          <w:color w:val="000000"/>
          <w:sz w:val="32"/>
          <w:szCs w:val="32"/>
        </w:rPr>
        <w:t>人次（不包括陪同人员），共计支出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万元，具体内容包括：省自然资源厅、上级部门及县区自然资源局来我</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交流汇报等公务工作用餐。</w:t>
      </w:r>
    </w:p>
    <w:p>
      <w:pPr>
        <w:widowControl/>
        <w:spacing w:line="546"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外事接待支出0万元，</w:t>
      </w:r>
      <w:r>
        <w:rPr>
          <w:rFonts w:hint="eastAsia" w:ascii="仿宋_GB2312" w:hAnsi="仿宋_GB2312" w:eastAsia="仿宋_GB2312" w:cs="仿宋_GB2312"/>
          <w:color w:val="000000"/>
          <w:sz w:val="32"/>
          <w:szCs w:val="32"/>
          <w:lang w:val="en-US" w:eastAsia="zh-CN"/>
        </w:rPr>
        <w:t>本单位无外事接待。</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八、政府性基金预算支出决算情况说明</w:t>
      </w:r>
    </w:p>
    <w:p>
      <w:p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color w:val="000000"/>
          <w:sz w:val="32"/>
          <w:szCs w:val="32"/>
        </w:rPr>
        <w:t>2020年政府性基金预算拨款支出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w:t>
      </w:r>
      <w:r>
        <w:rPr>
          <w:rFonts w:hint="eastAsia" w:ascii="仿宋" w:hAnsi="仿宋" w:eastAsia="仿宋" w:cs="仿宋"/>
          <w:sz w:val="32"/>
          <w:szCs w:val="32"/>
          <w:lang w:val="en-US" w:eastAsia="zh-CN"/>
        </w:rPr>
        <w:t>2020年本单位未在政府性基金预算拨款安排“三公经费”支出。</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九、国有资本经营预算支出决算情况说明</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2020年国有资本经营预算拨款支出0万元。</w:t>
      </w:r>
    </w:p>
    <w:p>
      <w:pPr>
        <w:widowControl/>
        <w:spacing w:line="546"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十、其他重要事项的情况说明</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sz w:val="32"/>
          <w:szCs w:val="32"/>
        </w:rPr>
        <w:t>机关运行经费支出0万元，</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无变化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年初未安排预算</w:t>
      </w:r>
      <w:r>
        <w:rPr>
          <w:rFonts w:hint="eastAsia" w:ascii="仿宋_GB2312" w:hAnsi="仿宋_GB2312" w:eastAsia="仿宋_GB2312" w:cs="仿宋_GB2312"/>
          <w:sz w:val="32"/>
          <w:szCs w:val="32"/>
        </w:rPr>
        <w:t>。</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（二）政府采购支出情况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sz w:val="32"/>
          <w:szCs w:val="32"/>
        </w:rPr>
        <w:t>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万元、政府采购工程支出0万元、政府采购服务支出0万元。授予中小企业合同金额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截至2020年12月31日，</w:t>
      </w:r>
      <w:r>
        <w:rPr>
          <w:rFonts w:hint="eastAsia" w:ascii="仿宋_GB2312" w:hAnsi="仿宋_GB2312" w:eastAsia="仿宋_GB2312" w:cs="仿宋_GB2312"/>
          <w:sz w:val="32"/>
          <w:szCs w:val="32"/>
        </w:rPr>
        <w:t>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color w:val="000000"/>
          <w:sz w:val="32"/>
          <w:szCs w:val="32"/>
        </w:rPr>
        <w:t>共有车辆</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辆，其中：主要领导干部用车0辆、机要通信用车0辆、应急保障用车0辆、特种专用车</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辆，其他用车</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辆。其他用车主要是用于一般公务、业务用车。单价50万元以上通用设备</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台（套），单价100万元以上专用设备0台（套）。</w:t>
      </w:r>
    </w:p>
    <w:p>
      <w:pPr>
        <w:spacing w:line="546"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（四）预算绩效管理情况。</w:t>
      </w:r>
    </w:p>
    <w:p>
      <w:pPr>
        <w:widowControl/>
        <w:spacing w:line="546"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根据预算绩效管理要求，本部门在年初预算编制阶段，组织对</w:t>
      </w:r>
      <w:r>
        <w:rPr>
          <w:rFonts w:hint="eastAsia" w:ascii="仿宋_GB2312" w:hAnsi="仿宋_GB2312" w:eastAsia="仿宋_GB2312" w:cs="仿宋_GB2312"/>
          <w:sz w:val="32"/>
          <w:szCs w:val="32"/>
        </w:rPr>
        <w:t>0个</w:t>
      </w:r>
      <w:r>
        <w:rPr>
          <w:rFonts w:hint="eastAsia" w:ascii="仿宋_GB2312" w:hAnsi="仿宋_GB2312" w:eastAsia="仿宋_GB2312" w:cs="仿宋_GB2312"/>
          <w:color w:val="000000"/>
          <w:sz w:val="32"/>
          <w:szCs w:val="32"/>
        </w:rPr>
        <w:t>项目（项目名称）开展了预算事前绩效评估，对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个项目编制了绩效目标，预算执行过程中，选取</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个项目开展绩效监控，年终执行完毕后，对</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个项目开展了绩效目标完成情况自评。</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color w:val="000000"/>
          <w:sz w:val="32"/>
          <w:szCs w:val="32"/>
        </w:rPr>
        <w:t>按要求对2020年部门整体支出绩效评价情况开展了自评，《</w:t>
      </w:r>
      <w:r>
        <w:rPr>
          <w:rFonts w:hint="eastAsia" w:ascii="仿宋_GB2312" w:hAnsi="仿宋_GB2312" w:eastAsia="仿宋_GB2312" w:cs="仿宋_GB2312"/>
          <w:sz w:val="32"/>
          <w:szCs w:val="32"/>
        </w:rPr>
        <w:t>广元市</w:t>
      </w:r>
      <w:r>
        <w:rPr>
          <w:rFonts w:hint="eastAsia" w:ascii="仿宋_GB2312" w:hAnsi="仿宋_GB2312" w:eastAsia="仿宋_GB2312" w:cs="仿宋_GB2312"/>
          <w:sz w:val="32"/>
          <w:szCs w:val="32"/>
          <w:lang w:eastAsia="zh-CN"/>
        </w:rPr>
        <w:t>国土整治中心</w:t>
      </w:r>
      <w:r>
        <w:rPr>
          <w:rFonts w:hint="eastAsia" w:ascii="仿宋_GB2312" w:hAnsi="仿宋_GB2312" w:eastAsia="仿宋_GB2312" w:cs="仿宋_GB2312"/>
          <w:color w:val="000000"/>
          <w:sz w:val="32"/>
          <w:szCs w:val="32"/>
        </w:rPr>
        <w:t>2020年部门整体支出绩效评价报告》见附件（附件1）。</w:t>
      </w:r>
    </w:p>
    <w:p>
      <w:pPr>
        <w:widowControl/>
        <w:spacing w:line="546" w:lineRule="exact"/>
        <w:ind w:firstLine="640" w:firstLineChars="200"/>
        <w:jc w:val="left"/>
        <w:rPr>
          <w:rFonts w:hint="eastAsia" w:ascii="仿宋_GB2312" w:hAnsi="仿宋_GB2312" w:eastAsia="仿宋_GB2312" w:cs="仿宋_GB2312"/>
          <w:color w:val="000000"/>
          <w:sz w:val="32"/>
          <w:szCs w:val="32"/>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tabs>
          <w:tab w:val="left" w:pos="312"/>
        </w:tabs>
        <w:spacing w:line="500" w:lineRule="exact"/>
        <w:jc w:val="center"/>
        <w:rPr>
          <w:rFonts w:hint="eastAsia" w:ascii="方正小标宋_GBK" w:hAnsi="方正小标宋_GBK" w:eastAsia="方正小标宋_GBK" w:cs="方正小标宋_GBK"/>
          <w:color w:val="000000"/>
          <w:kern w:val="0"/>
          <w:sz w:val="44"/>
          <w:szCs w:val="44"/>
          <w:lang w:bidi="ar"/>
        </w:rPr>
      </w:pPr>
    </w:p>
    <w:p>
      <w:pPr>
        <w:spacing w:line="580" w:lineRule="exact"/>
        <w:jc w:val="center"/>
        <w:rPr>
          <w:rStyle w:val="37"/>
          <w:rFonts w:hint="eastAsia" w:ascii="方正小标宋_GBK" w:hAnsi="方正小标宋_GBK" w:eastAsia="方正小标宋_GBK" w:cs="方正小标宋_GBK"/>
          <w:b w:val="0"/>
          <w:bCs w:val="0"/>
        </w:rPr>
      </w:pPr>
      <w:r>
        <w:rPr>
          <w:rFonts w:hint="eastAsia" w:ascii="仿宋_GB2312" w:hAnsi="仿宋_GB2312" w:eastAsia="仿宋_GB2312" w:cs="仿宋_GB2312"/>
          <w:color w:val="000000"/>
          <w:sz w:val="32"/>
          <w:szCs w:val="32"/>
        </w:rPr>
        <w:br w:type="page"/>
      </w:r>
      <w:bookmarkStart w:id="38" w:name="_Toc15396613"/>
      <w:bookmarkStart w:id="39" w:name="_Toc15377225"/>
      <w:r>
        <w:rPr>
          <w:rStyle w:val="37"/>
          <w:rFonts w:hint="eastAsia" w:ascii="方正小标宋_GBK" w:hAnsi="方正小标宋_GBK" w:eastAsia="方正小标宋_GBK" w:cs="方正小标宋_GBK"/>
          <w:b w:val="0"/>
          <w:bCs w:val="0"/>
        </w:rPr>
        <w:t>第三部分  名词解释</w:t>
      </w:r>
      <w:bookmarkEnd w:id="38"/>
      <w:bookmarkEnd w:id="39"/>
    </w:p>
    <w:p>
      <w:pPr>
        <w:spacing w:line="580" w:lineRule="exact"/>
        <w:jc w:val="left"/>
        <w:rPr>
          <w:rFonts w:ascii="宋体"/>
          <w:b/>
          <w:color w:val="000000"/>
          <w:sz w:val="44"/>
          <w:szCs w:val="44"/>
        </w:rPr>
      </w:pP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2.其他收入：指单位取得的除上述收入以外的各项收入。主要是单位银行存款利息和财政未通过大平台拨付的项目资金。</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3.年初结转和结余：指以前年度尚未完成、结转到本年按有关规定继续使用的资金。</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4.年末结转和结余：指单位按有关规定结转到下年或以后年度继续使用的资金。</w:t>
      </w:r>
    </w:p>
    <w:p>
      <w:pPr>
        <w:spacing w:line="58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5.社会保障和就业（类）行政事业单位离退休（款）机关事业单位基本养老保险缴费支出（项）:</w:t>
      </w:r>
      <w:r>
        <w:rPr>
          <w:rStyle w:val="14"/>
          <w:rFonts w:hint="eastAsia" w:ascii="仿宋_GB2312" w:hAnsi="仿宋_GB2312" w:eastAsia="仿宋_GB2312" w:cs="仿宋_GB2312"/>
          <w:b w:val="0"/>
          <w:sz w:val="32"/>
          <w:szCs w:val="32"/>
        </w:rPr>
        <w:t>指机关事业单位</w:t>
      </w:r>
      <w:r>
        <w:rPr>
          <w:rStyle w:val="14"/>
          <w:rFonts w:hint="eastAsia" w:ascii="仿宋_GB2312" w:hAnsi="仿宋_GB2312" w:eastAsia="仿宋_GB2312" w:cs="仿宋_GB2312"/>
          <w:b w:val="0"/>
          <w:color w:val="000000"/>
          <w:sz w:val="32"/>
          <w:szCs w:val="32"/>
        </w:rPr>
        <w:t>实施养老保险制度由单位缴纳的基本养老保险费支出。</w:t>
      </w:r>
    </w:p>
    <w:p>
      <w:pPr>
        <w:spacing w:line="580" w:lineRule="exact"/>
        <w:ind w:firstLine="643" w:firstLineChars="200"/>
        <w:rPr>
          <w:rStyle w:val="14"/>
          <w:rFonts w:hint="eastAsia" w:ascii="仿宋_GB2312" w:hAnsi="仿宋_GB2312" w:eastAsia="仿宋_GB2312" w:cs="仿宋_GB2312"/>
          <w:bCs/>
          <w:color w:val="000000"/>
          <w:sz w:val="32"/>
          <w:szCs w:val="32"/>
        </w:rPr>
      </w:pPr>
      <w:r>
        <w:rPr>
          <w:rStyle w:val="14"/>
          <w:rFonts w:hint="eastAsia" w:ascii="仿宋_GB2312" w:hAnsi="仿宋_GB2312" w:eastAsia="仿宋_GB2312" w:cs="仿宋_GB2312"/>
          <w:bCs/>
          <w:color w:val="000000"/>
          <w:sz w:val="32"/>
          <w:szCs w:val="32"/>
        </w:rPr>
        <w:t>6.社会保障和就业（类）行政事业单位离退休（款）机关事业单位职业年金缴费支出（项）:</w:t>
      </w:r>
      <w:r>
        <w:rPr>
          <w:rStyle w:val="14"/>
          <w:rFonts w:hint="eastAsia" w:ascii="仿宋_GB2312" w:hAnsi="仿宋_GB2312" w:eastAsia="仿宋_GB2312" w:cs="仿宋_GB2312"/>
          <w:b w:val="0"/>
          <w:sz w:val="32"/>
          <w:szCs w:val="32"/>
        </w:rPr>
        <w:t>指机关事业单位实施养老保险制度由单位实际缴纳的职业年金支出。</w:t>
      </w:r>
    </w:p>
    <w:p>
      <w:pPr>
        <w:spacing w:line="580" w:lineRule="exact"/>
        <w:ind w:firstLine="643" w:firstLineChars="200"/>
        <w:rPr>
          <w:rStyle w:val="14"/>
          <w:rFonts w:hint="eastAsia" w:ascii="仿宋_GB2312" w:hAnsi="仿宋_GB2312" w:eastAsia="仿宋_GB2312" w:cs="仿宋_GB2312"/>
          <w:b w:val="0"/>
          <w:sz w:val="32"/>
          <w:szCs w:val="32"/>
        </w:rPr>
      </w:pPr>
      <w:r>
        <w:rPr>
          <w:rStyle w:val="14"/>
          <w:rFonts w:hint="eastAsia" w:ascii="仿宋_GB2312" w:hAnsi="仿宋_GB2312" w:eastAsia="仿宋_GB2312" w:cs="仿宋_GB2312"/>
          <w:bCs/>
          <w:color w:val="000000"/>
          <w:sz w:val="32"/>
          <w:szCs w:val="32"/>
        </w:rPr>
        <w:t>7.社会保障和就业（类）抚恤（款）死亡抚恤（项）：指</w:t>
      </w:r>
      <w:r>
        <w:rPr>
          <w:rStyle w:val="14"/>
          <w:rFonts w:hint="eastAsia" w:ascii="仿宋_GB2312" w:hAnsi="仿宋_GB2312" w:eastAsia="仿宋_GB2312" w:cs="仿宋_GB2312"/>
          <w:b w:val="0"/>
          <w:color w:val="000000"/>
          <w:sz w:val="32"/>
          <w:szCs w:val="32"/>
        </w:rPr>
        <w:t>反映按规定用于烈士牺牲、病故人员家属的一次性和定期抚恤金以及丧葬补助费。</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hAnsi="仿宋_GB2312" w:eastAsia="仿宋_GB2312" w:cs="仿宋_GB2312"/>
          <w:b/>
          <w:bCs/>
          <w:color w:val="000000"/>
          <w:sz w:val="32"/>
          <w:szCs w:val="32"/>
        </w:rPr>
        <w:t>卫生健康</w:t>
      </w:r>
      <w:r>
        <w:rPr>
          <w:rStyle w:val="14"/>
          <w:rFonts w:hint="eastAsia" w:ascii="仿宋_GB2312" w:hAnsi="仿宋_GB2312" w:eastAsia="仿宋_GB2312" w:cs="仿宋_GB2312"/>
          <w:bCs/>
          <w:color w:val="000000"/>
          <w:sz w:val="32"/>
          <w:szCs w:val="32"/>
        </w:rPr>
        <w:t>（类）行政事业单位医疗（款）行政单位医疗（项）</w:t>
      </w:r>
      <w:r>
        <w:rPr>
          <w:rFonts w:hint="eastAsia" w:ascii="仿宋_GB2312" w:hAnsi="仿宋_GB2312" w:eastAsia="仿宋_GB2312" w:cs="仿宋_GB2312"/>
          <w:color w:val="000000"/>
          <w:sz w:val="32"/>
          <w:szCs w:val="32"/>
        </w:rPr>
        <w:t>：指</w:t>
      </w:r>
      <w:r>
        <w:rPr>
          <w:rStyle w:val="14"/>
          <w:rFonts w:hint="eastAsia" w:ascii="仿宋_GB2312" w:hAnsi="仿宋_GB2312" w:eastAsia="仿宋_GB2312" w:cs="仿宋_GB2312"/>
          <w:b w:val="0"/>
          <w:sz w:val="32"/>
          <w:szCs w:val="32"/>
        </w:rPr>
        <w:t>局机关</w:t>
      </w:r>
      <w:r>
        <w:rPr>
          <w:rFonts w:hint="eastAsia" w:ascii="仿宋_GB2312" w:hAnsi="仿宋_GB2312" w:eastAsia="仿宋_GB2312" w:cs="仿宋_GB2312"/>
          <w:sz w:val="32"/>
          <w:szCs w:val="32"/>
          <w:shd w:val="clear" w:color="auto" w:fill="FFFFFF"/>
        </w:rPr>
        <w:t>用于缴纳单位基本医疗保险支出。</w:t>
      </w:r>
    </w:p>
    <w:p>
      <w:pPr>
        <w:spacing w:line="580" w:lineRule="exact"/>
        <w:ind w:firstLine="640" w:firstLineChars="200"/>
        <w:rPr>
          <w:rStyle w:val="14"/>
          <w:rFonts w:hint="eastAsia" w:ascii="仿宋_GB2312" w:hAnsi="仿宋_GB2312" w:eastAsia="仿宋_GB2312" w:cs="仿宋_GB2312"/>
          <w:b w:val="0"/>
          <w:sz w:val="32"/>
          <w:szCs w:val="32"/>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b/>
          <w:bCs/>
          <w:color w:val="000000"/>
          <w:sz w:val="32"/>
          <w:szCs w:val="32"/>
        </w:rPr>
        <w:t>卫生健康</w:t>
      </w:r>
      <w:r>
        <w:rPr>
          <w:rStyle w:val="14"/>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4"/>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b/>
          <w:bCs/>
          <w:color w:val="000000"/>
          <w:sz w:val="32"/>
          <w:szCs w:val="32"/>
        </w:rPr>
        <w:t>城区社区（类）其他城区社区支出（款）土地开发及出让支出（项）</w:t>
      </w:r>
      <w:r>
        <w:rPr>
          <w:rFonts w:hint="eastAsia" w:ascii="仿宋_GB2312" w:hAnsi="仿宋_GB2312" w:eastAsia="仿宋_GB2312" w:cs="仿宋_GB2312"/>
          <w:color w:val="000000"/>
          <w:sz w:val="32"/>
          <w:szCs w:val="32"/>
        </w:rPr>
        <w:t>：指土地开发及出让项目发生的业务支出、土地拆迁补偿支出、土地出让业务支出。</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b/>
          <w:bCs/>
          <w:color w:val="000000"/>
          <w:sz w:val="32"/>
          <w:szCs w:val="32"/>
        </w:rPr>
        <w:t>自然资源海洋气象等（类）自然资源事务（款）行政运行（项）：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局行政机关用于保障机构正常运行、开展日常工作的基本支出。</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b/>
          <w:bCs/>
          <w:color w:val="000000"/>
          <w:sz w:val="32"/>
          <w:szCs w:val="32"/>
        </w:rPr>
        <w:t>自然资源海洋气象等（类）自然资源事务（款)、事业运行（项）：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pPr>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13.</w:t>
      </w:r>
      <w:r>
        <w:rPr>
          <w:rFonts w:hint="eastAsia" w:ascii="仿宋_GB2312" w:hAnsi="仿宋_GB2312" w:eastAsia="仿宋_GB2312" w:cs="仿宋_GB2312"/>
          <w:b/>
          <w:bCs/>
          <w:color w:val="000000"/>
          <w:sz w:val="32"/>
          <w:szCs w:val="32"/>
        </w:rPr>
        <w:t>自然资源海洋气象等（类）自然资源事务（款)一般行政管理事务行（项）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局机关及事业单位开展自然资源综合业务专门性自然资源管理工作的项目支出。</w:t>
      </w:r>
    </w:p>
    <w:p>
      <w:pPr>
        <w:spacing w:line="580" w:lineRule="exact"/>
        <w:ind w:firstLine="640" w:firstLineChars="200"/>
        <w:rPr>
          <w:rStyle w:val="14"/>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shd w:val="clear" w:color="auto" w:fill="FFFFFF"/>
        </w:rPr>
        <w:t>14.</w:t>
      </w:r>
      <w:r>
        <w:rPr>
          <w:rStyle w:val="14"/>
          <w:rFonts w:hint="eastAsia" w:ascii="仿宋_GB2312" w:hAnsi="仿宋_GB2312" w:eastAsia="仿宋_GB2312" w:cs="仿宋_GB2312"/>
          <w:b w:val="0"/>
          <w:bCs/>
          <w:color w:val="000000"/>
          <w:sz w:val="32"/>
          <w:szCs w:val="32"/>
        </w:rPr>
        <w:t>自然资源海洋气象等支出（类）自然资源事务（款）自然资源利用与保护（项）：指地质环境治理和土地整治方面的支出。</w:t>
      </w:r>
    </w:p>
    <w:p>
      <w:pPr>
        <w:spacing w:line="580" w:lineRule="exact"/>
        <w:ind w:firstLine="640"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 w:val="0"/>
          <w:bCs/>
          <w:color w:val="000000"/>
          <w:sz w:val="32"/>
          <w:szCs w:val="32"/>
        </w:rPr>
        <w:t>15.</w:t>
      </w:r>
      <w:r>
        <w:rPr>
          <w:rStyle w:val="14"/>
          <w:rFonts w:hint="eastAsia" w:ascii="仿宋_GB2312" w:hAnsi="仿宋_GB2312" w:eastAsia="仿宋_GB2312" w:cs="仿宋_GB2312"/>
          <w:color w:val="000000"/>
          <w:sz w:val="32"/>
          <w:szCs w:val="32"/>
        </w:rPr>
        <w:t>自然资源海洋气象等支出（类）自然资源事务（款）地质勘察与矿产资源管理（项）</w:t>
      </w:r>
      <w:r>
        <w:rPr>
          <w:rStyle w:val="14"/>
          <w:rFonts w:hint="eastAsia" w:ascii="仿宋_GB2312" w:hAnsi="仿宋_GB2312" w:eastAsia="仿宋_GB2312" w:cs="仿宋_GB2312"/>
          <w:b w:val="0"/>
          <w:bCs/>
          <w:color w:val="000000"/>
          <w:sz w:val="32"/>
          <w:szCs w:val="32"/>
        </w:rPr>
        <w:t>：指矿业权管理、矿产资源合理利用和保护方面的支出。</w:t>
      </w:r>
    </w:p>
    <w:p>
      <w:pPr>
        <w:spacing w:line="580" w:lineRule="exact"/>
        <w:ind w:firstLine="640" w:firstLineChars="200"/>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 w:val="0"/>
          <w:bCs/>
          <w:color w:val="000000"/>
          <w:sz w:val="32"/>
          <w:szCs w:val="32"/>
        </w:rPr>
        <w:t>16.</w:t>
      </w:r>
      <w:r>
        <w:rPr>
          <w:rStyle w:val="14"/>
          <w:rFonts w:hint="eastAsia" w:ascii="仿宋_GB2312" w:hAnsi="仿宋_GB2312" w:eastAsia="仿宋_GB2312" w:cs="仿宋_GB2312"/>
          <w:color w:val="000000"/>
          <w:sz w:val="32"/>
          <w:szCs w:val="32"/>
        </w:rPr>
        <w:t>自然资源海洋气象等支出（类）自然资源事务（款）其他自然资源事务（项）</w:t>
      </w:r>
      <w:r>
        <w:rPr>
          <w:rStyle w:val="14"/>
          <w:rFonts w:hint="eastAsia" w:ascii="仿宋_GB2312" w:hAnsi="仿宋_GB2312" w:eastAsia="仿宋_GB2312" w:cs="仿宋_GB2312"/>
          <w:b w:val="0"/>
          <w:bCs/>
          <w:color w:val="000000"/>
          <w:sz w:val="32"/>
          <w:szCs w:val="32"/>
        </w:rPr>
        <w:t>：指除财政一般公共预算安排的项目之外的项目支出。</w:t>
      </w:r>
    </w:p>
    <w:p>
      <w:pPr>
        <w:spacing w:line="580" w:lineRule="exact"/>
        <w:ind w:firstLine="640" w:firstLineChars="200"/>
        <w:rPr>
          <w:rFonts w:hint="eastAsia" w:ascii="仿宋_GB2312" w:hAnsi="仿宋_GB2312" w:eastAsia="仿宋_GB2312" w:cs="仿宋_GB2312"/>
          <w:color w:val="000000"/>
          <w:sz w:val="32"/>
          <w:szCs w:val="32"/>
        </w:rPr>
      </w:pPr>
      <w:r>
        <w:rPr>
          <w:rStyle w:val="14"/>
          <w:rFonts w:hint="eastAsia" w:ascii="仿宋_GB2312" w:hAnsi="仿宋_GB2312" w:eastAsia="仿宋_GB2312" w:cs="仿宋_GB2312"/>
          <w:b w:val="0"/>
          <w:bCs/>
          <w:color w:val="000000"/>
          <w:sz w:val="32"/>
          <w:szCs w:val="32"/>
        </w:rPr>
        <w:t>17.</w:t>
      </w:r>
      <w:r>
        <w:rPr>
          <w:rStyle w:val="14"/>
          <w:rFonts w:hint="eastAsia" w:ascii="仿宋_GB2312" w:hAnsi="仿宋_GB2312" w:eastAsia="仿宋_GB2312" w:cs="仿宋_GB2312"/>
          <w:color w:val="000000"/>
          <w:sz w:val="32"/>
          <w:szCs w:val="32"/>
        </w:rPr>
        <w:t>灾害防治及应急管理（类）自然灾害防治（款）地质灾害防治（项）</w:t>
      </w:r>
      <w:r>
        <w:rPr>
          <w:rStyle w:val="14"/>
          <w:rFonts w:hint="eastAsia" w:ascii="仿宋_GB2312" w:hAnsi="仿宋_GB2312" w:eastAsia="仿宋_GB2312" w:cs="仿宋_GB2312"/>
          <w:b w:val="0"/>
          <w:bCs/>
          <w:color w:val="000000"/>
          <w:sz w:val="32"/>
          <w:szCs w:val="32"/>
        </w:rPr>
        <w:t>：指用于地质灾害防治方面的支出。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18.</w:t>
      </w: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pPr>
        <w:spacing w:line="580" w:lineRule="exact"/>
        <w:ind w:left="319" w:leftChars="152"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19.</w:t>
      </w:r>
      <w:r>
        <w:rPr>
          <w:rFonts w:hint="eastAsia" w:ascii="仿宋_GB2312" w:hAnsi="仿宋_GB2312" w:eastAsia="仿宋_GB2312" w:cs="仿宋_GB2312"/>
          <w:b/>
          <w:bCs/>
          <w:color w:val="000000"/>
          <w:sz w:val="32"/>
          <w:szCs w:val="32"/>
        </w:rPr>
        <w:t>住房保障（类）住房改革支出（款）购房补贴（项）：</w:t>
      </w:r>
      <w:r>
        <w:rPr>
          <w:rFonts w:hint="eastAsia" w:ascii="仿宋_GB2312" w:hAnsi="仿宋_GB2312" w:eastAsia="仿宋_GB2312" w:cs="仿宋_GB2312"/>
          <w:color w:val="000000"/>
          <w:sz w:val="32"/>
          <w:szCs w:val="32"/>
        </w:rPr>
        <w:t>印记的研究生和选调生的安家补助费。</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sz w:val="32"/>
          <w:szCs w:val="32"/>
        </w:rPr>
      </w:pPr>
    </w:p>
    <w:p>
      <w:pPr>
        <w:spacing w:line="600" w:lineRule="exact"/>
        <w:jc w:val="center"/>
        <w:outlineLvl w:val="0"/>
        <w:rPr>
          <w:rStyle w:val="37"/>
          <w:rFonts w:ascii="黑体" w:hAnsi="黑体" w:eastAsia="黑体"/>
          <w:b w:val="0"/>
        </w:rPr>
      </w:pPr>
      <w:bookmarkStart w:id="40" w:name="_Toc15377226"/>
      <w:r>
        <w:rPr>
          <w:rFonts w:ascii="宋体"/>
          <w:b/>
          <w:color w:val="000000"/>
          <w:sz w:val="44"/>
          <w:szCs w:val="44"/>
        </w:rPr>
        <w:br w:type="page"/>
      </w:r>
      <w:bookmarkStart w:id="41" w:name="_Toc15396614"/>
      <w:r>
        <w:rPr>
          <w:rFonts w:hint="eastAsia" w:ascii="黑体" w:hAnsi="黑体" w:eastAsia="黑体"/>
          <w:color w:val="000000"/>
          <w:sz w:val="44"/>
          <w:szCs w:val="44"/>
        </w:rPr>
        <w:t>第</w:t>
      </w:r>
      <w:r>
        <w:rPr>
          <w:rStyle w:val="37"/>
          <w:rFonts w:hint="eastAsia" w:ascii="黑体" w:hAnsi="黑体" w:eastAsia="黑体"/>
          <w:b w:val="0"/>
        </w:rPr>
        <w:t>四部分  附件</w:t>
      </w:r>
      <w:bookmarkEnd w:id="41"/>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560" w:lineRule="exact"/>
        <w:jc w:val="center"/>
        <w:outlineLvl w:val="0"/>
        <w:rPr>
          <w:rFonts w:hint="eastAsia" w:asciiTheme="majorEastAsia" w:hAnsiTheme="majorEastAsia" w:eastAsiaTheme="majorEastAsia" w:cstheme="majorEastAsia"/>
          <w:bCs/>
          <w:sz w:val="36"/>
          <w:szCs w:val="36"/>
          <w:lang w:eastAsia="zh-CN"/>
        </w:rPr>
      </w:pPr>
      <w:r>
        <w:rPr>
          <w:rFonts w:hint="eastAsia" w:asciiTheme="majorEastAsia" w:hAnsiTheme="majorEastAsia" w:eastAsiaTheme="majorEastAsia" w:cstheme="majorEastAsia"/>
          <w:bCs/>
          <w:sz w:val="36"/>
          <w:szCs w:val="36"/>
          <w:lang w:eastAsia="zh-CN"/>
        </w:rPr>
        <w:t>广元市国土整治中心</w:t>
      </w:r>
    </w:p>
    <w:p>
      <w:pPr>
        <w:spacing w:line="560" w:lineRule="exact"/>
        <w:jc w:val="center"/>
        <w:outlineLvl w:val="0"/>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lang w:val="en-US" w:eastAsia="zh-CN"/>
        </w:rPr>
        <w:t>2020</w:t>
      </w:r>
      <w:r>
        <w:rPr>
          <w:rFonts w:hint="eastAsia" w:asciiTheme="majorEastAsia" w:hAnsiTheme="majorEastAsia" w:eastAsiaTheme="majorEastAsia" w:cstheme="majorEastAsia"/>
          <w:bCs/>
          <w:sz w:val="36"/>
          <w:szCs w:val="36"/>
        </w:rPr>
        <w:t>年部门支出绩效评价自评报告</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一、部门概况</w:t>
      </w:r>
    </w:p>
    <w:p>
      <w:pPr>
        <w:pStyle w:val="5"/>
        <w:adjustRightInd w:val="0"/>
        <w:snapToGrid w:val="0"/>
        <w:spacing w:before="93" w:line="580" w:lineRule="exact"/>
        <w:ind w:firstLine="672" w:firstLineChars="210"/>
        <w:outlineLvl w:val="2"/>
        <w:rPr>
          <w:rFonts w:hint="eastAsia" w:ascii="楷体_GB2312" w:eastAsia="楷体_GB2312"/>
          <w:bCs/>
          <w:sz w:val="32"/>
          <w:szCs w:val="32"/>
        </w:rPr>
      </w:pPr>
      <w:r>
        <w:rPr>
          <w:rFonts w:hint="eastAsia" w:ascii="楷体_GB2312" w:eastAsia="楷体_GB2312"/>
          <w:sz w:val="32"/>
          <w:szCs w:val="32"/>
        </w:rPr>
        <w:t>(</w:t>
      </w:r>
      <w:r>
        <w:rPr>
          <w:rFonts w:hint="eastAsia" w:ascii="楷体_GB2312" w:eastAsia="楷体_GB2312"/>
          <w:bCs/>
          <w:sz w:val="32"/>
          <w:szCs w:val="32"/>
        </w:rPr>
        <w:t>一）基本职能</w:t>
      </w:r>
    </w:p>
    <w:p>
      <w:pPr>
        <w:widowControl/>
        <w:adjustRightInd w:val="0"/>
        <w:snapToGrid w:val="0"/>
        <w:spacing w:line="500" w:lineRule="exact"/>
        <w:ind w:firstLine="600" w:firstLineChars="200"/>
        <w:jc w:val="left"/>
        <w:rPr>
          <w:rFonts w:hint="default" w:ascii="仿宋_GB2312" w:hAnsi="仿宋_GB2312" w:eastAsia="仿宋_GB2312" w:cs="仿宋_GB2312"/>
          <w:color w:val="000000"/>
          <w:kern w:val="0"/>
          <w:sz w:val="30"/>
          <w:szCs w:val="30"/>
          <w:shd w:val="clear" w:color="auto" w:fill="FFFFFF"/>
          <w:lang w:val="en-US" w:eastAsia="zh-CN"/>
        </w:rPr>
      </w:pPr>
      <w:r>
        <w:rPr>
          <w:rFonts w:hint="eastAsia" w:ascii="仿宋_GB2312" w:hAnsi="仿宋_GB2312" w:eastAsia="仿宋_GB2312" w:cs="仿宋_GB2312"/>
          <w:color w:val="000000"/>
          <w:kern w:val="0"/>
          <w:sz w:val="30"/>
          <w:szCs w:val="30"/>
          <w:shd w:val="clear" w:color="auto" w:fill="FFFFFF"/>
          <w:lang w:val="zh-CN" w:eastAsia="zh-CN"/>
        </w:rPr>
        <w:t>负责全市土地开发项目的规划、设计、论证和立项材料的组织上报工作开展土地开发整理咨询服务和建设项目用地与预审评价工作提供土地开发整理项目面积复核和技术资料收集整理工作实施市本级使用新增建设用地有偿使用费必须完成的土地开发整理项目。</w:t>
      </w:r>
    </w:p>
    <w:p>
      <w:pPr>
        <w:numPr>
          <w:ilvl w:val="0"/>
          <w:numId w:val="2"/>
        </w:numPr>
        <w:spacing w:line="580" w:lineRule="exact"/>
        <w:ind w:firstLine="640" w:firstLineChars="200"/>
        <w:rPr>
          <w:rFonts w:hint="eastAsia" w:ascii="楷体_GB2312" w:eastAsia="楷体_GB2312"/>
          <w:bCs/>
          <w:sz w:val="32"/>
          <w:szCs w:val="32"/>
        </w:rPr>
      </w:pPr>
      <w:r>
        <w:rPr>
          <w:rFonts w:hint="eastAsia" w:ascii="楷体_GB2312" w:eastAsia="楷体_GB2312"/>
          <w:bCs/>
          <w:sz w:val="32"/>
          <w:szCs w:val="32"/>
        </w:rPr>
        <w:t>基本情况</w:t>
      </w:r>
    </w:p>
    <w:p>
      <w:pPr>
        <w:widowControl/>
        <w:adjustRightInd w:val="0"/>
        <w:snapToGrid w:val="0"/>
        <w:spacing w:line="500" w:lineRule="exact"/>
        <w:ind w:firstLine="640" w:firstLineChars="200"/>
        <w:jc w:val="left"/>
        <w:rPr>
          <w:rFonts w:hint="eastAsia" w:ascii="仿宋_GB2312" w:hAnsi="仿宋_GB2312" w:eastAsia="仿宋_GB2312" w:cs="仿宋_GB2312"/>
          <w:color w:val="000000"/>
          <w:kern w:val="0"/>
          <w:sz w:val="30"/>
          <w:szCs w:val="30"/>
          <w:shd w:val="clear" w:color="auto" w:fill="FFFFFF"/>
          <w:lang w:eastAsia="zh-CN"/>
        </w:rPr>
      </w:pPr>
      <w:r>
        <w:rPr>
          <w:rFonts w:hint="eastAsia" w:ascii="楷体_GB2312" w:eastAsia="楷体_GB2312"/>
          <w:bCs/>
          <w:sz w:val="32"/>
          <w:szCs w:val="32"/>
        </w:rPr>
        <w:t xml:space="preserve">1.人员情况  </w:t>
      </w:r>
      <w:r>
        <w:rPr>
          <w:rFonts w:hint="eastAsia" w:ascii="仿宋_GB2312" w:hAnsi="仿宋_GB2312" w:eastAsia="仿宋_GB2312" w:cs="仿宋_GB2312"/>
          <w:color w:val="000000"/>
          <w:kern w:val="0"/>
          <w:sz w:val="30"/>
          <w:szCs w:val="30"/>
          <w:shd w:val="clear" w:color="auto" w:fill="FFFFFF"/>
          <w:lang w:val="zh-CN"/>
        </w:rPr>
        <w:t xml:space="preserve"> </w:t>
      </w:r>
      <w:r>
        <w:rPr>
          <w:rFonts w:hint="eastAsia" w:ascii="仿宋_GB2312" w:hAnsi="仿宋_GB2312" w:eastAsia="仿宋_GB2312" w:cs="仿宋_GB2312"/>
          <w:color w:val="000000"/>
          <w:kern w:val="0"/>
          <w:sz w:val="30"/>
          <w:szCs w:val="30"/>
          <w:shd w:val="clear" w:color="auto" w:fill="FFFFFF"/>
          <w:lang w:val="zh-CN" w:eastAsia="zh-CN"/>
        </w:rPr>
        <w:t>广元市国土整治中心在职编制数</w:t>
      </w:r>
      <w:r>
        <w:rPr>
          <w:rFonts w:hint="eastAsia" w:ascii="仿宋_GB2312" w:hAnsi="仿宋_GB2312" w:eastAsia="仿宋_GB2312" w:cs="仿宋_GB2312"/>
          <w:color w:val="000000"/>
          <w:kern w:val="0"/>
          <w:sz w:val="30"/>
          <w:szCs w:val="30"/>
          <w:shd w:val="clear" w:color="auto" w:fill="FFFFFF"/>
          <w:lang w:val="en-US" w:eastAsia="zh-CN"/>
        </w:rPr>
        <w:t>13</w:t>
      </w:r>
      <w:r>
        <w:rPr>
          <w:rFonts w:hint="eastAsia" w:ascii="仿宋_GB2312" w:hAnsi="仿宋_GB2312" w:eastAsia="仿宋_GB2312" w:cs="仿宋_GB2312"/>
          <w:color w:val="000000"/>
          <w:kern w:val="0"/>
          <w:sz w:val="30"/>
          <w:szCs w:val="30"/>
          <w:shd w:val="clear" w:color="auto" w:fill="FFFFFF"/>
        </w:rPr>
        <w:t>名。年末在职人员</w:t>
      </w:r>
      <w:r>
        <w:rPr>
          <w:rFonts w:hint="eastAsia" w:ascii="仿宋_GB2312" w:hAnsi="仿宋_GB2312" w:eastAsia="仿宋_GB2312" w:cs="仿宋_GB2312"/>
          <w:color w:val="000000"/>
          <w:kern w:val="0"/>
          <w:sz w:val="30"/>
          <w:szCs w:val="30"/>
          <w:shd w:val="clear" w:color="auto" w:fill="FFFFFF"/>
          <w:lang w:val="en-US" w:eastAsia="zh-CN"/>
        </w:rPr>
        <w:t>13</w:t>
      </w:r>
      <w:r>
        <w:rPr>
          <w:rFonts w:hint="eastAsia" w:ascii="仿宋_GB2312" w:hAnsi="仿宋_GB2312" w:eastAsia="仿宋_GB2312" w:cs="仿宋_GB2312"/>
          <w:color w:val="000000"/>
          <w:kern w:val="0"/>
          <w:sz w:val="30"/>
          <w:szCs w:val="30"/>
          <w:shd w:val="clear" w:color="auto" w:fill="FFFFFF"/>
        </w:rPr>
        <w:t>人</w:t>
      </w:r>
      <w:r>
        <w:rPr>
          <w:rFonts w:hint="eastAsia" w:ascii="仿宋_GB2312" w:hAnsi="仿宋_GB2312" w:eastAsia="仿宋_GB2312" w:cs="仿宋_GB2312"/>
          <w:color w:val="000000"/>
          <w:kern w:val="0"/>
          <w:sz w:val="30"/>
          <w:szCs w:val="30"/>
          <w:shd w:val="clear" w:color="auto" w:fill="FFFFFF"/>
          <w:lang w:eastAsia="zh-CN"/>
        </w:rPr>
        <w:t>。</w:t>
      </w:r>
    </w:p>
    <w:p>
      <w:pPr>
        <w:spacing w:line="576" w:lineRule="exact"/>
        <w:ind w:firstLine="600" w:firstLineChars="200"/>
        <w:rPr>
          <w:rFonts w:hint="eastAsia" w:ascii="仿宋" w:hAnsi="仿宋" w:eastAsia="仿宋" w:cs="仿宋_GB2312"/>
          <w:b/>
          <w:bCs/>
          <w:kern w:val="0"/>
          <w:sz w:val="30"/>
          <w:szCs w:val="30"/>
        </w:rPr>
      </w:pPr>
      <w:r>
        <w:rPr>
          <w:rFonts w:hint="eastAsia" w:ascii="仿宋_GB2312" w:hAnsi="仿宋_GB2312" w:eastAsia="仿宋_GB2312" w:cs="仿宋_GB2312"/>
          <w:color w:val="000000"/>
          <w:kern w:val="0"/>
          <w:sz w:val="30"/>
          <w:szCs w:val="30"/>
          <w:shd w:val="clear" w:color="auto" w:fill="FFFFFF"/>
        </w:rPr>
        <w:t>2.</w:t>
      </w:r>
      <w:r>
        <w:rPr>
          <w:rFonts w:hint="eastAsia" w:ascii="楷体_GB2312" w:hAnsi="Times New Roman" w:eastAsia="楷体_GB2312" w:cs="Times New Roman"/>
          <w:bCs/>
          <w:sz w:val="32"/>
          <w:szCs w:val="32"/>
        </w:rPr>
        <w:t>部门自评步骤及方法</w:t>
      </w:r>
    </w:p>
    <w:p>
      <w:pPr>
        <w:spacing w:line="576" w:lineRule="exact"/>
        <w:ind w:firstLine="600" w:firstLineChars="200"/>
        <w:rPr>
          <w:rFonts w:hint="eastAsia" w:ascii="仿宋" w:hAnsi="仿宋" w:eastAsia="仿宋" w:cs="仿宋_GB2312"/>
          <w:kern w:val="0"/>
          <w:sz w:val="30"/>
          <w:szCs w:val="30"/>
        </w:rPr>
      </w:pPr>
      <w:r>
        <w:rPr>
          <w:rFonts w:hint="eastAsia" w:ascii="仿宋" w:hAnsi="仿宋" w:eastAsia="仿宋" w:cs="仿宋_GB2312"/>
          <w:kern w:val="0"/>
          <w:sz w:val="30"/>
          <w:szCs w:val="30"/>
          <w:lang w:val="en-US" w:eastAsia="zh-CN"/>
        </w:rPr>
        <w:t>根据</w:t>
      </w:r>
      <w:r>
        <w:rPr>
          <w:rFonts w:hint="eastAsia" w:ascii="仿宋" w:hAnsi="仿宋" w:eastAsia="仿宋" w:cs="仿宋_GB2312"/>
          <w:kern w:val="0"/>
          <w:sz w:val="30"/>
          <w:szCs w:val="30"/>
        </w:rPr>
        <w:t>《</w:t>
      </w:r>
      <w:r>
        <w:rPr>
          <w:rFonts w:hint="eastAsia" w:ascii="仿宋" w:hAnsi="仿宋" w:eastAsia="仿宋" w:cs="仿宋_GB2312"/>
          <w:kern w:val="0"/>
          <w:sz w:val="30"/>
          <w:szCs w:val="30"/>
          <w:lang w:eastAsia="zh-CN"/>
        </w:rPr>
        <w:t>关于开展</w:t>
      </w:r>
      <w:r>
        <w:rPr>
          <w:rFonts w:hint="eastAsia" w:ascii="仿宋" w:hAnsi="仿宋" w:eastAsia="仿宋" w:cs="仿宋_GB2312"/>
          <w:bCs/>
          <w:kern w:val="0"/>
          <w:sz w:val="30"/>
          <w:szCs w:val="30"/>
        </w:rPr>
        <w:t>20</w:t>
      </w:r>
      <w:r>
        <w:rPr>
          <w:rFonts w:hint="eastAsia" w:ascii="仿宋" w:hAnsi="仿宋" w:eastAsia="仿宋" w:cs="仿宋_GB2312"/>
          <w:bCs/>
          <w:kern w:val="0"/>
          <w:sz w:val="30"/>
          <w:szCs w:val="30"/>
          <w:lang w:val="en-US" w:eastAsia="zh-CN"/>
        </w:rPr>
        <w:t>20</w:t>
      </w:r>
      <w:r>
        <w:rPr>
          <w:rFonts w:hint="eastAsia" w:ascii="仿宋" w:hAnsi="仿宋" w:eastAsia="仿宋" w:cs="仿宋_GB2312"/>
          <w:bCs/>
          <w:kern w:val="0"/>
          <w:sz w:val="30"/>
          <w:szCs w:val="30"/>
        </w:rPr>
        <w:t>年市本级预算部门支出绩效评价工作的通知</w:t>
      </w:r>
      <w:r>
        <w:rPr>
          <w:rFonts w:hint="eastAsia" w:ascii="仿宋" w:hAnsi="仿宋" w:eastAsia="仿宋" w:cs="仿宋_GB2312"/>
          <w:kern w:val="0"/>
          <w:sz w:val="30"/>
          <w:szCs w:val="30"/>
        </w:rPr>
        <w:t>》要求，对照《广元市部门整体支出绩效评价指标体系》，对20</w:t>
      </w:r>
      <w:r>
        <w:rPr>
          <w:rFonts w:hint="eastAsia" w:ascii="仿宋" w:hAnsi="仿宋" w:eastAsia="仿宋" w:cs="仿宋_GB2312"/>
          <w:kern w:val="0"/>
          <w:sz w:val="30"/>
          <w:szCs w:val="30"/>
          <w:lang w:val="en-US" w:eastAsia="zh-CN"/>
        </w:rPr>
        <w:t>20</w:t>
      </w:r>
      <w:r>
        <w:rPr>
          <w:rFonts w:hint="eastAsia" w:ascii="仿宋" w:hAnsi="仿宋" w:eastAsia="仿宋" w:cs="仿宋_GB2312"/>
          <w:kern w:val="0"/>
          <w:sz w:val="30"/>
          <w:szCs w:val="30"/>
        </w:rPr>
        <w:t>年预算编制和执行情况、财政资金收支管理情况以及项目资金管理情况逐一核实、打分。</w:t>
      </w:r>
    </w:p>
    <w:p>
      <w:pPr>
        <w:spacing w:line="576" w:lineRule="exact"/>
        <w:ind w:firstLine="600" w:firstLineChars="200"/>
        <w:rPr>
          <w:rFonts w:hint="eastAsia" w:ascii="仿宋_GB2312" w:hAnsi="仿宋_GB2312" w:eastAsia="仿宋_GB2312" w:cs="仿宋_GB2312"/>
          <w:color w:val="000000"/>
          <w:kern w:val="0"/>
          <w:sz w:val="30"/>
          <w:szCs w:val="30"/>
          <w:shd w:val="clear" w:color="auto" w:fill="FFFFFF"/>
        </w:rPr>
      </w:pPr>
      <w:r>
        <w:rPr>
          <w:rFonts w:hint="eastAsia" w:ascii="仿宋_GB2312" w:hAnsi="仿宋_GB2312" w:eastAsia="仿宋_GB2312" w:cs="仿宋_GB2312"/>
          <w:color w:val="000000"/>
          <w:kern w:val="0"/>
          <w:sz w:val="30"/>
          <w:szCs w:val="30"/>
          <w:shd w:val="clear" w:color="auto" w:fill="FFFFFF"/>
          <w:lang w:val="en-US" w:eastAsia="zh-CN"/>
        </w:rPr>
        <w:t>3.</w:t>
      </w:r>
      <w:r>
        <w:rPr>
          <w:rFonts w:hint="eastAsia" w:ascii="仿宋_GB2312" w:hAnsi="仿宋_GB2312" w:eastAsia="仿宋_GB2312" w:cs="仿宋_GB2312"/>
          <w:color w:val="000000"/>
          <w:kern w:val="0"/>
          <w:sz w:val="30"/>
          <w:szCs w:val="30"/>
          <w:shd w:val="clear" w:color="auto" w:fill="FFFFFF"/>
        </w:rPr>
        <w:t>部分支出绩效评价得分情况</w:t>
      </w:r>
    </w:p>
    <w:tbl>
      <w:tblPr>
        <w:tblStyle w:val="12"/>
        <w:tblW w:w="8607" w:type="dxa"/>
        <w:tblInd w:w="93" w:type="dxa"/>
        <w:tblLayout w:type="fixed"/>
        <w:tblCellMar>
          <w:top w:w="0" w:type="dxa"/>
          <w:left w:w="108" w:type="dxa"/>
          <w:bottom w:w="0" w:type="dxa"/>
          <w:right w:w="108" w:type="dxa"/>
        </w:tblCellMar>
      </w:tblPr>
      <w:tblGrid>
        <w:gridCol w:w="1260"/>
        <w:gridCol w:w="1660"/>
        <w:gridCol w:w="3642"/>
        <w:gridCol w:w="1077"/>
        <w:gridCol w:w="968"/>
      </w:tblGrid>
      <w:tr>
        <w:tblPrEx>
          <w:tblCellMar>
            <w:top w:w="0" w:type="dxa"/>
            <w:left w:w="108" w:type="dxa"/>
            <w:bottom w:w="0" w:type="dxa"/>
            <w:right w:w="108" w:type="dxa"/>
          </w:tblCellMar>
        </w:tblPrEx>
        <w:trPr>
          <w:trHeight w:val="525"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一级指标</w:t>
            </w:r>
          </w:p>
        </w:tc>
        <w:tc>
          <w:tcPr>
            <w:tcW w:w="16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二级指标</w:t>
            </w:r>
          </w:p>
        </w:tc>
        <w:tc>
          <w:tcPr>
            <w:tcW w:w="3642"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三级指标</w:t>
            </w:r>
          </w:p>
        </w:tc>
        <w:tc>
          <w:tcPr>
            <w:tcW w:w="1077"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仿宋" w:hAnsi="仿宋" w:eastAsia="仿宋" w:cs="Arial"/>
                <w:bCs/>
                <w:color w:val="000000"/>
                <w:kern w:val="0"/>
                <w:sz w:val="24"/>
                <w:szCs w:val="24"/>
              </w:rPr>
              <w:t>分值</w:t>
            </w:r>
          </w:p>
        </w:tc>
        <w:tc>
          <w:tcPr>
            <w:tcW w:w="968"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仿宋" w:hAnsi="仿宋" w:eastAsia="仿宋" w:cs="Arial"/>
                <w:bCs/>
                <w:color w:val="000000"/>
                <w:kern w:val="0"/>
                <w:sz w:val="24"/>
                <w:szCs w:val="24"/>
              </w:rPr>
              <w:t>得分</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预算编制（</w:t>
            </w:r>
            <w:r>
              <w:rPr>
                <w:rFonts w:hint="eastAsia" w:ascii="仿宋" w:hAnsi="仿宋" w:eastAsia="仿宋" w:cs="宋体"/>
                <w:bCs/>
                <w:color w:val="000000"/>
                <w:kern w:val="0"/>
                <w:sz w:val="24"/>
                <w:szCs w:val="24"/>
                <w:lang w:val="en-US" w:eastAsia="zh-CN"/>
              </w:rPr>
              <w:t>6</w:t>
            </w:r>
            <w:r>
              <w:rPr>
                <w:rFonts w:hint="eastAsia" w:ascii="仿宋" w:hAnsi="仿宋" w:eastAsia="仿宋" w:cs="宋体"/>
                <w:bCs/>
                <w:color w:val="000000"/>
                <w:kern w:val="0"/>
                <w:sz w:val="24"/>
                <w:szCs w:val="24"/>
              </w:rPr>
              <w:t>分）</w:t>
            </w: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报送时间</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报送时效</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编制质量</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预算编制准确</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预算执行（</w:t>
            </w:r>
            <w:r>
              <w:rPr>
                <w:rFonts w:hint="eastAsia" w:ascii="仿宋" w:hAnsi="仿宋" w:eastAsia="仿宋" w:cs="宋体"/>
                <w:bCs/>
                <w:color w:val="000000"/>
                <w:kern w:val="0"/>
                <w:sz w:val="24"/>
                <w:szCs w:val="24"/>
                <w:lang w:val="en-US" w:eastAsia="zh-CN"/>
              </w:rPr>
              <w:t>12</w:t>
            </w:r>
            <w:r>
              <w:rPr>
                <w:rFonts w:hint="eastAsia" w:ascii="仿宋" w:hAnsi="仿宋" w:eastAsia="仿宋" w:cs="宋体"/>
                <w:bCs/>
                <w:color w:val="000000"/>
                <w:kern w:val="0"/>
                <w:sz w:val="24"/>
                <w:szCs w:val="24"/>
              </w:rPr>
              <w:t>分）</w:t>
            </w: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执行进度</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部门预算执行进度</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预算调整</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预算执行可行性</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行政成本</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“三公”经费</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决算</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部门决算编制和审查</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r>
      <w:tr>
        <w:tblPrEx>
          <w:tblCellMar>
            <w:top w:w="0" w:type="dxa"/>
            <w:left w:w="108" w:type="dxa"/>
            <w:bottom w:w="0" w:type="dxa"/>
            <w:right w:w="108" w:type="dxa"/>
          </w:tblCellMar>
        </w:tblPrEx>
        <w:trPr>
          <w:trHeight w:val="465" w:hRule="atLeast"/>
        </w:trPr>
        <w:tc>
          <w:tcPr>
            <w:tcW w:w="12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绩效管理（19份）</w:t>
            </w:r>
          </w:p>
        </w:tc>
        <w:tc>
          <w:tcPr>
            <w:tcW w:w="16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绩效目标</w:t>
            </w:r>
          </w:p>
        </w:tc>
        <w:tc>
          <w:tcPr>
            <w:tcW w:w="3642" w:type="dxa"/>
            <w:tcBorders>
              <w:top w:val="nil"/>
              <w:left w:val="nil"/>
              <w:bottom w:val="single" w:color="auto" w:sz="4" w:space="0"/>
              <w:right w:val="single" w:color="auto" w:sz="4" w:space="0"/>
            </w:tcBorders>
            <w:noWrap w:val="0"/>
            <w:vAlign w:val="center"/>
          </w:tcPr>
          <w:p>
            <w:pPr>
              <w:widowControl/>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部门整体绩效目标</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项目绩效评价</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绩效监控</w:t>
            </w:r>
          </w:p>
        </w:tc>
        <w:tc>
          <w:tcPr>
            <w:tcW w:w="3642"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跟踪监控开展情况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4</w:t>
            </w:r>
          </w:p>
        </w:tc>
        <w:tc>
          <w:tcPr>
            <w:tcW w:w="968" w:type="dxa"/>
            <w:tcBorders>
              <w:top w:val="nil"/>
              <w:left w:val="nil"/>
              <w:bottom w:val="single" w:color="auto" w:sz="4" w:space="0"/>
              <w:right w:val="single" w:color="auto" w:sz="4" w:space="0"/>
            </w:tcBorders>
            <w:noWrap w:val="0"/>
            <w:vAlign w:val="center"/>
          </w:tcPr>
          <w:p>
            <w:pPr>
              <w:widowControl/>
              <w:jc w:val="center"/>
              <w:rPr>
                <w:rFonts w:hint="default" w:ascii="Arial" w:hAnsi="Arial" w:cs="Arial"/>
                <w:bCs/>
                <w:color w:val="000000"/>
                <w:kern w:val="0"/>
                <w:sz w:val="24"/>
                <w:szCs w:val="24"/>
                <w:lang w:val="en-US"/>
              </w:rPr>
            </w:pPr>
            <w:r>
              <w:rPr>
                <w:rFonts w:hint="eastAsia" w:ascii="Arial" w:hAnsi="Arial" w:cs="Arial"/>
                <w:bCs/>
                <w:color w:val="000000"/>
                <w:kern w:val="0"/>
                <w:sz w:val="24"/>
                <w:szCs w:val="24"/>
                <w:lang w:val="en-US" w:eastAsia="zh-CN"/>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continue"/>
            <w:tcBorders>
              <w:left w:val="single" w:color="auto" w:sz="4" w:space="0"/>
              <w:bottom w:val="single" w:color="000000"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监控结果运用情况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hint="default" w:ascii="Arial" w:hAnsi="Arial" w:cs="Arial"/>
                <w:bCs/>
                <w:color w:val="000000"/>
                <w:kern w:val="0"/>
                <w:sz w:val="24"/>
                <w:szCs w:val="24"/>
                <w:lang w:val="en-US"/>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绩效评价</w:t>
            </w:r>
          </w:p>
        </w:tc>
        <w:tc>
          <w:tcPr>
            <w:tcW w:w="36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评价开展情况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rPr>
              <w:t>4</w:t>
            </w:r>
          </w:p>
        </w:tc>
      </w:tr>
      <w:tr>
        <w:tblPrEx>
          <w:tblCellMar>
            <w:top w:w="0" w:type="dxa"/>
            <w:left w:w="108" w:type="dxa"/>
            <w:bottom w:w="0" w:type="dxa"/>
            <w:right w:w="108" w:type="dxa"/>
          </w:tblCellMar>
        </w:tblPrEx>
        <w:trPr>
          <w:trHeight w:val="465" w:hRule="atLeast"/>
        </w:trPr>
        <w:tc>
          <w:tcPr>
            <w:tcW w:w="126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1660"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bCs/>
                <w:color w:val="000000"/>
                <w:kern w:val="0"/>
                <w:sz w:val="24"/>
                <w:szCs w:val="24"/>
                <w:lang w:val="en-US" w:eastAsia="zh-CN" w:bidi="ar-SA"/>
              </w:rPr>
            </w:pPr>
            <w:r>
              <w:rPr>
                <w:rFonts w:hint="eastAsia" w:ascii="仿宋" w:hAnsi="仿宋" w:eastAsia="仿宋" w:cs="宋体"/>
                <w:bCs/>
                <w:color w:val="000000"/>
                <w:kern w:val="0"/>
                <w:sz w:val="24"/>
                <w:szCs w:val="24"/>
              </w:rPr>
              <w:t>评价结果报告</w:t>
            </w:r>
          </w:p>
        </w:tc>
        <w:tc>
          <w:tcPr>
            <w:tcW w:w="1077" w:type="dxa"/>
            <w:tcBorders>
              <w:top w:val="nil"/>
              <w:left w:val="nil"/>
              <w:bottom w:val="single" w:color="auto" w:sz="4" w:space="0"/>
              <w:right w:val="single" w:color="auto" w:sz="4" w:space="0"/>
            </w:tcBorders>
            <w:noWrap w:val="0"/>
            <w:vAlign w:val="center"/>
          </w:tcPr>
          <w:p>
            <w:pPr>
              <w:widowControl/>
              <w:jc w:val="center"/>
              <w:rPr>
                <w:rFonts w:hint="default"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bidi="ar-SA"/>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eastAsia="宋体" w:cs="Arial"/>
                <w:bCs/>
                <w:color w:val="000000"/>
                <w:kern w:val="0"/>
                <w:sz w:val="24"/>
                <w:szCs w:val="24"/>
                <w:lang w:val="en-US" w:eastAsia="zh-CN" w:bidi="ar-SA"/>
              </w:rPr>
            </w:pPr>
            <w:r>
              <w:rPr>
                <w:rFonts w:hint="eastAsia" w:ascii="Arial" w:hAnsi="Arial" w:cs="Arial"/>
                <w:bCs/>
                <w:color w:val="000000"/>
                <w:kern w:val="0"/>
                <w:sz w:val="24"/>
                <w:szCs w:val="24"/>
                <w:lang w:val="en-US" w:eastAsia="zh-CN" w:bidi="ar-SA"/>
              </w:rPr>
              <w:t>3</w:t>
            </w:r>
          </w:p>
        </w:tc>
      </w:tr>
      <w:tr>
        <w:tblPrEx>
          <w:tblCellMar>
            <w:top w:w="0" w:type="dxa"/>
            <w:left w:w="108" w:type="dxa"/>
            <w:bottom w:w="0" w:type="dxa"/>
            <w:right w:w="108" w:type="dxa"/>
          </w:tblCellMar>
        </w:tblPrEx>
        <w:trPr>
          <w:trHeight w:val="465" w:hRule="atLeast"/>
        </w:trPr>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综合管理（3</w:t>
            </w:r>
            <w:r>
              <w:rPr>
                <w:rFonts w:hint="eastAsia" w:ascii="仿宋" w:hAnsi="仿宋" w:eastAsia="仿宋" w:cs="宋体"/>
                <w:bCs/>
                <w:color w:val="000000"/>
                <w:kern w:val="0"/>
                <w:sz w:val="24"/>
                <w:szCs w:val="24"/>
                <w:lang w:val="en-US" w:eastAsia="zh-CN"/>
              </w:rPr>
              <w:t>3</w:t>
            </w:r>
            <w:r>
              <w:rPr>
                <w:rFonts w:hint="eastAsia" w:ascii="仿宋" w:hAnsi="仿宋" w:eastAsia="仿宋" w:cs="宋体"/>
                <w:bCs/>
                <w:color w:val="000000"/>
                <w:kern w:val="0"/>
                <w:sz w:val="24"/>
                <w:szCs w:val="24"/>
              </w:rPr>
              <w:t>分）</w:t>
            </w:r>
          </w:p>
        </w:tc>
        <w:tc>
          <w:tcPr>
            <w:tcW w:w="1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非税收入</w:t>
            </w:r>
            <w:r>
              <w:rPr>
                <w:rFonts w:hint="eastAsia" w:ascii="仿宋" w:hAnsi="仿宋" w:eastAsia="仿宋" w:cs="宋体"/>
                <w:bCs/>
                <w:color w:val="000000"/>
                <w:kern w:val="0"/>
                <w:sz w:val="24"/>
                <w:szCs w:val="24"/>
                <w:lang w:val="en-US" w:eastAsia="zh-CN"/>
              </w:rPr>
              <w:t xml:space="preserve">   </w:t>
            </w:r>
            <w:r>
              <w:rPr>
                <w:rFonts w:hint="eastAsia" w:ascii="仿宋" w:hAnsi="仿宋" w:eastAsia="仿宋" w:cs="宋体"/>
                <w:bCs/>
                <w:color w:val="000000"/>
                <w:kern w:val="0"/>
                <w:sz w:val="24"/>
                <w:szCs w:val="24"/>
              </w:rPr>
              <w:t>执收情况</w:t>
            </w:r>
          </w:p>
        </w:tc>
        <w:tc>
          <w:tcPr>
            <w:tcW w:w="36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非税收入征收情况</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非税收入上缴情况</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465" w:hRule="atLeast"/>
        </w:trPr>
        <w:tc>
          <w:tcPr>
            <w:tcW w:w="12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政府采购</w:t>
            </w:r>
          </w:p>
        </w:tc>
        <w:tc>
          <w:tcPr>
            <w:tcW w:w="3642"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政府采购实施计划编制</w:t>
            </w:r>
          </w:p>
        </w:tc>
        <w:tc>
          <w:tcPr>
            <w:tcW w:w="1077"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single" w:color="auto" w:sz="4" w:space="0"/>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政府采购实施计划执行</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资产管理</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资产管理信息系统建设情况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行政事业单位资产清查开展情况</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1</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行政事业单位资产报表上报情况</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1</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1</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内部控制管理</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内部控制制度健全完整</w:t>
            </w:r>
          </w:p>
        </w:tc>
        <w:tc>
          <w:tcPr>
            <w:tcW w:w="1077"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3</w:t>
            </w:r>
          </w:p>
        </w:tc>
        <w:tc>
          <w:tcPr>
            <w:tcW w:w="968"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信息公开</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预算公开</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决算公开</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46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绩效信息公开</w:t>
            </w:r>
          </w:p>
        </w:tc>
        <w:tc>
          <w:tcPr>
            <w:tcW w:w="1077" w:type="dxa"/>
            <w:tcBorders>
              <w:top w:val="nil"/>
              <w:left w:val="nil"/>
              <w:bottom w:val="single" w:color="auto" w:sz="4" w:space="0"/>
              <w:right w:val="single" w:color="auto" w:sz="4" w:space="0"/>
            </w:tcBorders>
            <w:noWrap w:val="0"/>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3</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财政政策执行</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公务卡改革</w:t>
            </w:r>
          </w:p>
        </w:tc>
        <w:tc>
          <w:tcPr>
            <w:tcW w:w="1077" w:type="dxa"/>
            <w:tcBorders>
              <w:top w:val="nil"/>
              <w:left w:val="nil"/>
              <w:bottom w:val="single" w:color="auto" w:sz="4" w:space="0"/>
              <w:right w:val="single" w:color="auto" w:sz="4" w:space="0"/>
            </w:tcBorders>
            <w:noWrap/>
            <w:vAlign w:val="center"/>
          </w:tcPr>
          <w:p>
            <w:pPr>
              <w:widowControl/>
              <w:jc w:val="center"/>
              <w:rPr>
                <w:rFonts w:hint="eastAsia" w:ascii="Arial" w:hAnsi="Arial" w:eastAsia="宋体" w:cs="Arial"/>
                <w:bCs/>
                <w:color w:val="000000"/>
                <w:kern w:val="0"/>
                <w:sz w:val="24"/>
                <w:szCs w:val="24"/>
                <w:lang w:eastAsia="zh-CN"/>
              </w:rPr>
            </w:pPr>
            <w:r>
              <w:rPr>
                <w:rFonts w:hint="eastAsia" w:ascii="Arial" w:hAnsi="Arial" w:cs="Arial"/>
                <w:bCs/>
                <w:color w:val="000000"/>
                <w:kern w:val="0"/>
                <w:sz w:val="24"/>
                <w:szCs w:val="24"/>
                <w:lang w:val="en-US" w:eastAsia="zh-CN"/>
              </w:rPr>
              <w:t>2</w:t>
            </w:r>
          </w:p>
        </w:tc>
        <w:tc>
          <w:tcPr>
            <w:tcW w:w="968" w:type="dxa"/>
            <w:tcBorders>
              <w:top w:val="nil"/>
              <w:left w:val="nil"/>
              <w:bottom w:val="single" w:color="auto" w:sz="4" w:space="0"/>
              <w:right w:val="single" w:color="auto" w:sz="4" w:space="0"/>
            </w:tcBorders>
            <w:noWrap/>
            <w:vAlign w:val="center"/>
          </w:tcPr>
          <w:p>
            <w:pPr>
              <w:widowControl/>
              <w:jc w:val="center"/>
              <w:rPr>
                <w:rFonts w:hint="default" w:ascii="Arial" w:hAnsi="Arial" w:cs="Arial"/>
                <w:bCs/>
                <w:color w:val="000000"/>
                <w:kern w:val="0"/>
                <w:sz w:val="24"/>
                <w:szCs w:val="24"/>
                <w:lang w:val="en-US"/>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预算执行动态监控</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hint="default"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授权支付退票</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财经纪律执行</w:t>
            </w:r>
          </w:p>
        </w:tc>
        <w:tc>
          <w:tcPr>
            <w:tcW w:w="3642" w:type="dxa"/>
            <w:tcBorders>
              <w:top w:val="nil"/>
              <w:left w:val="nil"/>
              <w:bottom w:val="single" w:color="auto" w:sz="4" w:space="0"/>
              <w:right w:val="single" w:color="auto" w:sz="4" w:space="0"/>
            </w:tcBorders>
            <w:noWrap w:val="0"/>
            <w:vAlign w:val="center"/>
          </w:tcPr>
          <w:p>
            <w:pPr>
              <w:widowControl/>
              <w:jc w:val="left"/>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违规记录</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375" w:hRule="atLeast"/>
        </w:trPr>
        <w:tc>
          <w:tcPr>
            <w:tcW w:w="12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16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 w:hAnsi="仿宋" w:eastAsia="仿宋" w:cs="宋体"/>
                <w:bCs/>
                <w:color w:val="000000"/>
                <w:kern w:val="0"/>
                <w:sz w:val="24"/>
                <w:szCs w:val="24"/>
              </w:rPr>
            </w:pP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存在问题整改是否到位</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c>
          <w:tcPr>
            <w:tcW w:w="968" w:type="dxa"/>
            <w:tcBorders>
              <w:top w:val="nil"/>
              <w:left w:val="nil"/>
              <w:bottom w:val="single" w:color="auto" w:sz="4" w:space="0"/>
              <w:right w:val="single" w:color="auto" w:sz="4" w:space="0"/>
            </w:tcBorders>
            <w:noWrap/>
            <w:vAlign w:val="center"/>
          </w:tcPr>
          <w:p>
            <w:pPr>
              <w:widowControl/>
              <w:jc w:val="center"/>
              <w:rPr>
                <w:rFonts w:ascii="Arial" w:hAnsi="Arial" w:cs="Arial"/>
                <w:bCs/>
                <w:color w:val="000000"/>
                <w:kern w:val="0"/>
                <w:sz w:val="24"/>
                <w:szCs w:val="24"/>
              </w:rPr>
            </w:pPr>
            <w:r>
              <w:rPr>
                <w:rFonts w:ascii="Arial" w:hAnsi="Arial" w:cs="Arial"/>
                <w:bCs/>
                <w:color w:val="000000"/>
                <w:kern w:val="0"/>
                <w:sz w:val="24"/>
                <w:szCs w:val="24"/>
              </w:rPr>
              <w:t>2</w:t>
            </w:r>
          </w:p>
        </w:tc>
      </w:tr>
      <w:tr>
        <w:tblPrEx>
          <w:tblCellMar>
            <w:top w:w="0" w:type="dxa"/>
            <w:left w:w="108" w:type="dxa"/>
            <w:bottom w:w="0" w:type="dxa"/>
            <w:right w:w="108" w:type="dxa"/>
          </w:tblCellMar>
        </w:tblPrEx>
        <w:trPr>
          <w:trHeight w:val="375" w:hRule="atLeast"/>
        </w:trPr>
        <w:tc>
          <w:tcPr>
            <w:tcW w:w="1260" w:type="dxa"/>
            <w:tcBorders>
              <w:top w:val="nil"/>
              <w:left w:val="single" w:color="auto" w:sz="4" w:space="0"/>
              <w:bottom w:val="single" w:color="000000" w:sz="4" w:space="0"/>
              <w:right w:val="single" w:color="auto" w:sz="4" w:space="0"/>
            </w:tcBorders>
            <w:noWrap w:val="0"/>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lang w:val="en-US" w:eastAsia="zh-CN"/>
              </w:rPr>
              <w:t xml:space="preserve">评价结果应用  </w:t>
            </w:r>
            <w:r>
              <w:rPr>
                <w:rFonts w:hint="eastAsia" w:ascii="仿宋" w:hAnsi="仿宋" w:eastAsia="仿宋" w:cs="宋体"/>
                <w:bCs/>
                <w:color w:val="000000"/>
                <w:kern w:val="0"/>
                <w:sz w:val="24"/>
                <w:szCs w:val="24"/>
              </w:rPr>
              <w:t>（</w:t>
            </w:r>
            <w:r>
              <w:rPr>
                <w:rFonts w:hint="eastAsia" w:ascii="仿宋" w:hAnsi="仿宋" w:eastAsia="仿宋" w:cs="宋体"/>
                <w:bCs/>
                <w:color w:val="000000"/>
                <w:kern w:val="0"/>
                <w:sz w:val="24"/>
                <w:szCs w:val="24"/>
                <w:lang w:val="en-US" w:eastAsia="zh-CN"/>
              </w:rPr>
              <w:t>30</w:t>
            </w:r>
            <w:r>
              <w:rPr>
                <w:rFonts w:hint="eastAsia" w:ascii="仿宋" w:hAnsi="仿宋" w:eastAsia="仿宋" w:cs="宋体"/>
                <w:bCs/>
                <w:color w:val="000000"/>
                <w:kern w:val="0"/>
                <w:sz w:val="24"/>
                <w:szCs w:val="24"/>
              </w:rPr>
              <w:t>分）</w:t>
            </w:r>
          </w:p>
        </w:tc>
        <w:tc>
          <w:tcPr>
            <w:tcW w:w="1660" w:type="dxa"/>
            <w:tcBorders>
              <w:top w:val="nil"/>
              <w:left w:val="single" w:color="auto" w:sz="4" w:space="0"/>
              <w:bottom w:val="single" w:color="000000" w:sz="4" w:space="0"/>
              <w:right w:val="single" w:color="auto" w:sz="4" w:space="0"/>
            </w:tcBorders>
            <w:noWrap w:val="0"/>
            <w:vAlign w:val="center"/>
          </w:tcPr>
          <w:p>
            <w:pPr>
              <w:widowControl/>
              <w:jc w:val="center"/>
              <w:rPr>
                <w:rFonts w:hint="default" w:ascii="仿宋" w:hAnsi="仿宋" w:eastAsia="仿宋" w:cs="宋体"/>
                <w:bCs/>
                <w:color w:val="000000"/>
                <w:kern w:val="0"/>
                <w:sz w:val="24"/>
                <w:szCs w:val="24"/>
                <w:lang w:val="en-US" w:eastAsia="zh-CN"/>
              </w:rPr>
            </w:pPr>
            <w:r>
              <w:rPr>
                <w:rFonts w:hint="eastAsia" w:ascii="仿宋" w:hAnsi="仿宋" w:eastAsia="仿宋" w:cs="宋体"/>
                <w:bCs/>
                <w:color w:val="000000"/>
                <w:kern w:val="0"/>
                <w:sz w:val="24"/>
                <w:szCs w:val="24"/>
                <w:lang w:val="en-US" w:eastAsia="zh-CN"/>
              </w:rPr>
              <w:t>项目</w:t>
            </w:r>
            <w:r>
              <w:rPr>
                <w:rFonts w:hint="eastAsia" w:ascii="仿宋" w:hAnsi="仿宋" w:eastAsia="仿宋" w:cs="宋体"/>
                <w:bCs/>
                <w:color w:val="000000"/>
                <w:kern w:val="0"/>
                <w:sz w:val="24"/>
                <w:szCs w:val="24"/>
              </w:rPr>
              <w:t>绩效</w:t>
            </w:r>
            <w:r>
              <w:rPr>
                <w:rFonts w:hint="eastAsia" w:ascii="仿宋" w:hAnsi="仿宋" w:eastAsia="仿宋" w:cs="宋体"/>
                <w:bCs/>
                <w:color w:val="000000"/>
                <w:kern w:val="0"/>
                <w:sz w:val="24"/>
                <w:szCs w:val="24"/>
                <w:lang w:val="en-US" w:eastAsia="zh-CN"/>
              </w:rPr>
              <w:t>评价结果</w:t>
            </w:r>
          </w:p>
        </w:tc>
        <w:tc>
          <w:tcPr>
            <w:tcW w:w="3642"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项目绩效评价结果</w:t>
            </w:r>
          </w:p>
        </w:tc>
        <w:tc>
          <w:tcPr>
            <w:tcW w:w="1077" w:type="dxa"/>
            <w:tcBorders>
              <w:top w:val="nil"/>
              <w:left w:val="nil"/>
              <w:bottom w:val="single" w:color="auto" w:sz="4" w:space="0"/>
              <w:right w:val="single" w:color="auto" w:sz="4" w:space="0"/>
            </w:tcBorders>
            <w:noWrap w:val="0"/>
            <w:vAlign w:val="center"/>
          </w:tcPr>
          <w:p>
            <w:pPr>
              <w:widowControl/>
              <w:jc w:val="center"/>
              <w:rPr>
                <w:rFonts w:hint="default" w:ascii="Arial" w:hAnsi="Arial" w:eastAsia="宋体" w:cs="Arial"/>
                <w:bCs/>
                <w:color w:val="000000"/>
                <w:kern w:val="0"/>
                <w:sz w:val="24"/>
                <w:szCs w:val="24"/>
                <w:lang w:val="en-US" w:eastAsia="zh-CN"/>
              </w:rPr>
            </w:pPr>
            <w:r>
              <w:rPr>
                <w:rFonts w:hint="eastAsia" w:ascii="Arial" w:hAnsi="Arial" w:cs="Arial"/>
                <w:bCs/>
                <w:color w:val="000000"/>
                <w:kern w:val="0"/>
                <w:sz w:val="24"/>
                <w:szCs w:val="24"/>
                <w:lang w:val="en-US" w:eastAsia="zh-CN"/>
              </w:rPr>
              <w:t>30</w:t>
            </w:r>
          </w:p>
        </w:tc>
        <w:tc>
          <w:tcPr>
            <w:tcW w:w="968" w:type="dxa"/>
            <w:tcBorders>
              <w:top w:val="nil"/>
              <w:left w:val="nil"/>
              <w:bottom w:val="single" w:color="auto" w:sz="4" w:space="0"/>
              <w:right w:val="single" w:color="auto" w:sz="4" w:space="0"/>
            </w:tcBorders>
            <w:noWrap w:val="0"/>
            <w:vAlign w:val="center"/>
          </w:tcPr>
          <w:p>
            <w:pPr>
              <w:widowControl/>
              <w:jc w:val="center"/>
              <w:rPr>
                <w:rFonts w:ascii="Arial" w:hAnsi="Arial" w:cs="Arial"/>
                <w:bCs/>
                <w:color w:val="000000"/>
                <w:kern w:val="0"/>
                <w:sz w:val="24"/>
                <w:szCs w:val="24"/>
              </w:rPr>
            </w:pPr>
            <w:r>
              <w:rPr>
                <w:rFonts w:hint="eastAsia" w:ascii="Arial" w:hAnsi="Arial" w:cs="Arial"/>
                <w:bCs/>
                <w:color w:val="000000"/>
                <w:kern w:val="0"/>
                <w:sz w:val="24"/>
                <w:szCs w:val="24"/>
                <w:lang w:val="en-US" w:eastAsia="zh-CN"/>
              </w:rPr>
              <w:t>30</w:t>
            </w:r>
          </w:p>
        </w:tc>
      </w:tr>
      <w:tr>
        <w:tblPrEx>
          <w:tblCellMar>
            <w:top w:w="0" w:type="dxa"/>
            <w:left w:w="108" w:type="dxa"/>
            <w:bottom w:w="0" w:type="dxa"/>
            <w:right w:w="108" w:type="dxa"/>
          </w:tblCellMar>
        </w:tblPrEx>
        <w:trPr>
          <w:trHeight w:val="540" w:hRule="atLeast"/>
        </w:trPr>
        <w:tc>
          <w:tcPr>
            <w:tcW w:w="656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合  计</w:t>
            </w:r>
          </w:p>
        </w:tc>
        <w:tc>
          <w:tcPr>
            <w:tcW w:w="1077" w:type="dxa"/>
            <w:tcBorders>
              <w:top w:val="nil"/>
              <w:left w:val="nil"/>
              <w:bottom w:val="single" w:color="auto" w:sz="4" w:space="0"/>
              <w:right w:val="single" w:color="auto" w:sz="4" w:space="0"/>
            </w:tcBorders>
            <w:noWrap/>
            <w:vAlign w:val="center"/>
          </w:tcPr>
          <w:p>
            <w:pPr>
              <w:widowControl/>
              <w:jc w:val="center"/>
              <w:rPr>
                <w:rFonts w:ascii="Arial" w:hAnsi="Arial" w:cs="Arial"/>
                <w:b/>
                <w:bCs/>
                <w:color w:val="000000"/>
                <w:kern w:val="0"/>
                <w:sz w:val="24"/>
                <w:szCs w:val="24"/>
              </w:rPr>
            </w:pPr>
            <w:r>
              <w:rPr>
                <w:rFonts w:ascii="Arial" w:hAnsi="Arial" w:cs="Arial"/>
                <w:b/>
                <w:bCs/>
                <w:color w:val="000000"/>
                <w:kern w:val="0"/>
                <w:sz w:val="24"/>
                <w:szCs w:val="24"/>
              </w:rPr>
              <w:t>100</w:t>
            </w:r>
          </w:p>
        </w:tc>
        <w:tc>
          <w:tcPr>
            <w:tcW w:w="968" w:type="dxa"/>
            <w:tcBorders>
              <w:top w:val="nil"/>
              <w:left w:val="nil"/>
              <w:bottom w:val="single" w:color="auto" w:sz="4" w:space="0"/>
              <w:right w:val="single" w:color="auto" w:sz="4" w:space="0"/>
            </w:tcBorders>
            <w:noWrap/>
            <w:vAlign w:val="center"/>
          </w:tcPr>
          <w:p>
            <w:pPr>
              <w:widowControl/>
              <w:jc w:val="center"/>
              <w:rPr>
                <w:rFonts w:hint="default" w:ascii="Arial" w:hAnsi="Arial" w:eastAsia="宋体" w:cs="Arial"/>
                <w:b/>
                <w:bCs/>
                <w:color w:val="000000"/>
                <w:kern w:val="0"/>
                <w:sz w:val="24"/>
                <w:szCs w:val="24"/>
                <w:lang w:val="en-US" w:eastAsia="zh-CN"/>
              </w:rPr>
            </w:pPr>
            <w:r>
              <w:rPr>
                <w:rFonts w:hint="eastAsia" w:ascii="Arial" w:hAnsi="Arial" w:eastAsia="宋体" w:cs="Arial"/>
                <w:b/>
                <w:bCs/>
                <w:color w:val="000000"/>
                <w:kern w:val="0"/>
                <w:sz w:val="24"/>
                <w:szCs w:val="24"/>
                <w:lang w:val="en-US" w:eastAsia="zh-CN"/>
              </w:rPr>
              <w:t>99</w:t>
            </w:r>
          </w:p>
        </w:tc>
      </w:tr>
    </w:tbl>
    <w:p>
      <w:pPr>
        <w:widowControl/>
        <w:adjustRightInd w:val="0"/>
        <w:snapToGrid w:val="0"/>
        <w:spacing w:line="500" w:lineRule="exact"/>
        <w:jc w:val="left"/>
        <w:rPr>
          <w:rFonts w:hint="eastAsia" w:hAnsi="仿宋_GB2312" w:cs="仿宋_GB2312"/>
          <w:color w:val="000000"/>
          <w:sz w:val="30"/>
          <w:szCs w:val="30"/>
        </w:rPr>
      </w:pPr>
    </w:p>
    <w:p>
      <w:pPr>
        <w:spacing w:line="500" w:lineRule="exact"/>
        <w:ind w:firstLine="72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二.部门总体评价</w:t>
      </w:r>
    </w:p>
    <w:p>
      <w:pPr>
        <w:spacing w:line="576"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shd w:val="clear" w:color="auto" w:fill="FFFFFF"/>
          <w:lang w:val="zh-CN" w:eastAsia="zh-CN"/>
        </w:rPr>
        <w:t>广元市国土整治中心</w:t>
      </w:r>
      <w:r>
        <w:rPr>
          <w:rFonts w:hint="eastAsia" w:ascii="仿宋_GB2312" w:hAnsi="仿宋_GB2312" w:eastAsia="仿宋_GB2312" w:cs="仿宋_GB2312"/>
          <w:sz w:val="30"/>
          <w:szCs w:val="30"/>
        </w:rPr>
        <w:t>总体支出绩效评价得分</w:t>
      </w:r>
      <w:r>
        <w:rPr>
          <w:rFonts w:hint="eastAsia" w:ascii="仿宋_GB2312" w:hAnsi="仿宋_GB2312" w:eastAsia="仿宋_GB2312" w:cs="仿宋_GB2312"/>
          <w:sz w:val="30"/>
          <w:szCs w:val="30"/>
          <w:lang w:val="en-US" w:eastAsia="zh-CN"/>
        </w:rPr>
        <w:t>99</w:t>
      </w:r>
      <w:r>
        <w:rPr>
          <w:rFonts w:hint="eastAsia" w:ascii="仿宋_GB2312" w:hAnsi="仿宋_GB2312" w:eastAsia="仿宋_GB2312" w:cs="仿宋_GB2312"/>
          <w:sz w:val="30"/>
          <w:szCs w:val="30"/>
        </w:rPr>
        <w:t>分。</w:t>
      </w:r>
      <w:r>
        <w:rPr>
          <w:rFonts w:hint="eastAsia" w:ascii="仿宋" w:hAnsi="仿宋" w:eastAsia="仿宋" w:cs="仿宋_GB2312"/>
          <w:kern w:val="0"/>
          <w:sz w:val="30"/>
          <w:szCs w:val="30"/>
        </w:rPr>
        <w:t>对照《部门支出绩效评价指标体系》，我</w:t>
      </w:r>
      <w:r>
        <w:rPr>
          <w:rFonts w:hint="eastAsia" w:ascii="仿宋" w:hAnsi="仿宋" w:eastAsia="仿宋" w:cs="仿宋_GB2312"/>
          <w:kern w:val="0"/>
          <w:sz w:val="30"/>
          <w:szCs w:val="30"/>
          <w:lang w:eastAsia="zh-CN"/>
        </w:rPr>
        <w:t>单位</w:t>
      </w:r>
      <w:r>
        <w:rPr>
          <w:rFonts w:hint="eastAsia" w:ascii="仿宋" w:hAnsi="仿宋" w:eastAsia="仿宋" w:cs="仿宋_GB2312"/>
          <w:kern w:val="0"/>
          <w:sz w:val="30"/>
          <w:szCs w:val="30"/>
          <w:lang w:val="en-US" w:eastAsia="zh-CN"/>
        </w:rPr>
        <w:t>2020</w:t>
      </w:r>
      <w:r>
        <w:rPr>
          <w:rFonts w:hint="eastAsia" w:ascii="仿宋" w:hAnsi="仿宋" w:eastAsia="仿宋" w:cs="仿宋_GB2312"/>
          <w:kern w:val="0"/>
          <w:sz w:val="30"/>
          <w:szCs w:val="30"/>
        </w:rPr>
        <w:t>年部门支出绩效评价自评得分9</w:t>
      </w:r>
      <w:r>
        <w:rPr>
          <w:rFonts w:hint="eastAsia" w:ascii="仿宋" w:hAnsi="仿宋" w:eastAsia="仿宋" w:cs="仿宋_GB2312"/>
          <w:kern w:val="0"/>
          <w:sz w:val="30"/>
          <w:szCs w:val="30"/>
          <w:lang w:val="en-US" w:eastAsia="zh-CN"/>
        </w:rPr>
        <w:t>9</w:t>
      </w:r>
      <w:r>
        <w:rPr>
          <w:rFonts w:hint="eastAsia" w:ascii="仿宋" w:hAnsi="仿宋" w:eastAsia="仿宋" w:cs="仿宋_GB2312"/>
          <w:kern w:val="0"/>
          <w:sz w:val="30"/>
          <w:szCs w:val="30"/>
        </w:rPr>
        <w:t>分。</w:t>
      </w:r>
    </w:p>
    <w:p>
      <w:pPr>
        <w:spacing w:line="580" w:lineRule="exact"/>
        <w:ind w:left="627"/>
        <w:rPr>
          <w:rFonts w:hint="eastAsia" w:ascii="黑体" w:hAnsi="黑体" w:eastAsia="黑体"/>
          <w:sz w:val="32"/>
          <w:szCs w:val="32"/>
        </w:rPr>
      </w:pPr>
      <w:r>
        <w:rPr>
          <w:rFonts w:hint="eastAsia" w:ascii="黑体" w:hAnsi="黑体" w:eastAsia="黑体"/>
          <w:sz w:val="32"/>
          <w:szCs w:val="32"/>
        </w:rPr>
        <w:t>三.部门财政支出管理情况</w:t>
      </w:r>
    </w:p>
    <w:p>
      <w:pPr>
        <w:spacing w:line="580" w:lineRule="exact"/>
        <w:rPr>
          <w:rFonts w:hint="eastAsia" w:ascii="楷体_GB2312" w:hAnsi="黑体" w:eastAsia="楷体_GB2312"/>
          <w:sz w:val="32"/>
          <w:szCs w:val="32"/>
        </w:rPr>
      </w:pPr>
      <w:r>
        <w:rPr>
          <w:rFonts w:hint="eastAsia" w:ascii="楷体_GB2312" w:hAnsi="黑体" w:eastAsia="楷体_GB2312"/>
          <w:sz w:val="32"/>
          <w:szCs w:val="32"/>
        </w:rPr>
        <w:t xml:space="preserve">    （一）预算编制</w:t>
      </w:r>
    </w:p>
    <w:p>
      <w:pPr>
        <w:spacing w:line="580" w:lineRule="exact"/>
        <w:rPr>
          <w:rFonts w:hint="eastAsia" w:ascii="仿宋_GB2312" w:eastAsia="仿宋_GB2312"/>
          <w:sz w:val="32"/>
          <w:szCs w:val="32"/>
        </w:rPr>
      </w:pPr>
      <w:r>
        <w:rPr>
          <w:rFonts w:hint="eastAsia" w:ascii="仿宋_GB2312" w:eastAsia="仿宋_GB2312"/>
          <w:sz w:val="32"/>
          <w:szCs w:val="32"/>
        </w:rPr>
        <w:t xml:space="preserve">    1.报送时效。我</w:t>
      </w:r>
      <w:r>
        <w:rPr>
          <w:rFonts w:hint="eastAsia" w:ascii="仿宋_GB2312" w:eastAsia="仿宋_GB2312"/>
          <w:sz w:val="32"/>
          <w:szCs w:val="32"/>
          <w:lang w:eastAsia="zh-CN"/>
        </w:rPr>
        <w:t>单位</w:t>
      </w:r>
      <w:r>
        <w:rPr>
          <w:rFonts w:hint="eastAsia" w:ascii="仿宋_GB2312" w:eastAsia="仿宋_GB2312"/>
          <w:sz w:val="32"/>
          <w:szCs w:val="32"/>
        </w:rPr>
        <w:t>严格按财政部门预算编制要求的时间及时报送了部门预算和项目绩效目标,并规范准确完整地填制和报送预算报表，合理反映了本部门年度职责履行情况。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2.编制质量。我</w:t>
      </w:r>
      <w:r>
        <w:rPr>
          <w:rFonts w:hint="eastAsia" w:ascii="仿宋_GB2312" w:eastAsia="仿宋_GB2312"/>
          <w:sz w:val="32"/>
          <w:szCs w:val="32"/>
          <w:lang w:eastAsia="zh-CN"/>
        </w:rPr>
        <w:t>单位</w:t>
      </w:r>
      <w:r>
        <w:rPr>
          <w:rFonts w:hint="eastAsia" w:ascii="仿宋_GB2312" w:eastAsia="仿宋_GB2312"/>
          <w:sz w:val="32"/>
          <w:szCs w:val="32"/>
        </w:rPr>
        <w:t>严格按照财政要求编制部门预算，达到了财政预算编制质量要求。做到编制完整无漏项，预算编制准确，基础信息和科目使用准确，单位编制、人员情况与供养人员横向联网系统数据相符。预算编制规范，项目名称、绩效指标、项目内容说明等合符规范。总之，基本支出按人员编制和定额标准，项目支出按照本单位职能职责根据上级和市委市政府下达的工作目标任务进行编制，做到了资料完整、依据充分。</w:t>
      </w:r>
    </w:p>
    <w:p>
      <w:pPr>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（二）预算执行</w:t>
      </w:r>
    </w:p>
    <w:p>
      <w:pPr>
        <w:spacing w:line="580" w:lineRule="exact"/>
        <w:ind w:firstLine="640" w:firstLineChars="200"/>
        <w:rPr>
          <w:rFonts w:hint="eastAsia" w:ascii="仿宋_GB2312" w:hAnsi="宋体" w:eastAsia="仿宋_GB2312" w:cs="宋体"/>
          <w:kern w:val="0"/>
          <w:sz w:val="32"/>
          <w:szCs w:val="32"/>
        </w:rPr>
      </w:pPr>
      <w:r>
        <w:rPr>
          <w:rFonts w:hint="eastAsia" w:ascii="仿宋_GB2312" w:eastAsia="仿宋_GB2312"/>
          <w:bCs/>
          <w:sz w:val="32"/>
          <w:szCs w:val="32"/>
        </w:rPr>
        <w:t>1.预算执行进度</w:t>
      </w:r>
      <w:r>
        <w:rPr>
          <w:rFonts w:hint="eastAsia" w:ascii="仿宋_GB2312" w:eastAsia="仿宋_GB2312"/>
          <w:b/>
          <w:sz w:val="32"/>
          <w:szCs w:val="32"/>
        </w:rPr>
        <w:t>。</w:t>
      </w:r>
      <w:r>
        <w:rPr>
          <w:rFonts w:hint="eastAsia" w:ascii="仿宋_GB2312" w:hAnsi="宋体" w:eastAsia="仿宋_GB2312" w:cs="宋体"/>
          <w:kern w:val="0"/>
          <w:sz w:val="32"/>
          <w:szCs w:val="32"/>
        </w:rPr>
        <w:t>本年度预算执行收支平衡，完成本部门经济和社会事业发展职能职责，人员支出部分按时间进度执行。</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2.预算平衡调整。</w:t>
      </w:r>
      <w:r>
        <w:rPr>
          <w:rFonts w:hint="eastAsia" w:ascii="仿宋_GB2312" w:eastAsia="仿宋_GB2312"/>
          <w:sz w:val="32"/>
          <w:szCs w:val="32"/>
        </w:rPr>
        <w:t>我</w:t>
      </w:r>
      <w:r>
        <w:rPr>
          <w:rFonts w:hint="eastAsia" w:ascii="仿宋_GB2312" w:eastAsia="仿宋_GB2312"/>
          <w:sz w:val="32"/>
          <w:szCs w:val="32"/>
          <w:lang w:eastAsia="zh-CN"/>
        </w:rPr>
        <w:t>三位</w:t>
      </w:r>
      <w:r>
        <w:rPr>
          <w:rFonts w:hint="eastAsia" w:ascii="仿宋_GB2312" w:eastAsia="仿宋_GB2312"/>
          <w:sz w:val="32"/>
          <w:szCs w:val="32"/>
        </w:rPr>
        <w:t>严格执行预算，执行中不调整项目。</w:t>
      </w:r>
    </w:p>
    <w:p>
      <w:pPr>
        <w:spacing w:line="580" w:lineRule="exact"/>
        <w:ind w:firstLine="640"/>
        <w:rPr>
          <w:rFonts w:ascii="仿宋_GB2312" w:hAnsi="仿宋_GB2312" w:eastAsia="仿宋_GB2312" w:cs="仿宋_GB2312"/>
          <w:color w:val="000000"/>
          <w:sz w:val="32"/>
          <w:szCs w:val="32"/>
        </w:rPr>
      </w:pPr>
      <w:r>
        <w:rPr>
          <w:rFonts w:hint="eastAsia" w:ascii="仿宋_GB2312" w:hAnsi="宋体" w:eastAsia="仿宋_GB2312" w:cs="宋体"/>
          <w:kern w:val="0"/>
          <w:sz w:val="32"/>
          <w:szCs w:val="32"/>
        </w:rPr>
        <w:t>3.三公经费执行情况</w:t>
      </w:r>
      <w:r>
        <w:rPr>
          <w:rFonts w:hint="eastAsia" w:ascii="仿宋_GB2312" w:hAnsi="宋体" w:eastAsia="仿宋_GB2312" w:cs="宋体"/>
          <w:b/>
          <w:bCs/>
          <w:kern w:val="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年“三公”经费预算</w:t>
      </w:r>
      <w:r>
        <w:rPr>
          <w:rFonts w:hint="eastAsia" w:ascii="仿宋_GB2312" w:hAnsi="仿宋_GB2312" w:eastAsia="仿宋_GB2312" w:cs="仿宋_GB2312"/>
          <w:color w:val="000000"/>
          <w:sz w:val="32"/>
          <w:szCs w:val="32"/>
          <w:lang w:val="en-US" w:eastAsia="zh-CN"/>
        </w:rPr>
        <w:t>3.8</w:t>
      </w:r>
      <w:r>
        <w:rPr>
          <w:rFonts w:hint="eastAsia" w:ascii="仿宋_GB2312" w:hAnsi="仿宋_GB2312" w:eastAsia="仿宋_GB2312" w:cs="仿宋_GB2312"/>
          <w:color w:val="000000"/>
          <w:sz w:val="32"/>
          <w:szCs w:val="32"/>
        </w:rPr>
        <w:t>万元，其中:公务接待</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万元，车辆运行维护费</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 xml:space="preserve">万元。全年支出 </w:t>
      </w:r>
      <w:r>
        <w:rPr>
          <w:rFonts w:hint="eastAsia" w:ascii="仿宋_GB2312" w:hAnsi="仿宋_GB2312" w:eastAsia="仿宋_GB2312" w:cs="仿宋_GB2312"/>
          <w:color w:val="000000"/>
          <w:sz w:val="32"/>
          <w:szCs w:val="32"/>
          <w:lang w:val="en-US" w:eastAsia="zh-CN"/>
        </w:rPr>
        <w:t>2.7</w:t>
      </w:r>
      <w:r>
        <w:rPr>
          <w:rFonts w:hint="eastAsia" w:ascii="仿宋_GB2312" w:hAnsi="仿宋_GB2312" w:eastAsia="仿宋_GB2312" w:cs="仿宋_GB2312"/>
          <w:color w:val="000000"/>
          <w:sz w:val="32"/>
          <w:szCs w:val="32"/>
        </w:rPr>
        <w:t>万元。其中：公务接待费</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万元，车辆运行维护费</w:t>
      </w:r>
      <w:r>
        <w:rPr>
          <w:rFonts w:hint="eastAsia" w:ascii="仿宋_GB2312" w:hAnsi="仿宋_GB2312" w:eastAsia="仿宋_GB2312" w:cs="仿宋_GB2312"/>
          <w:color w:val="000000"/>
          <w:sz w:val="32"/>
          <w:szCs w:val="32"/>
          <w:lang w:val="en-US" w:eastAsia="zh-CN"/>
        </w:rPr>
        <w:t>1.75</w:t>
      </w:r>
      <w:r>
        <w:rPr>
          <w:rFonts w:hint="eastAsia" w:ascii="仿宋_GB2312" w:hAnsi="仿宋_GB2312" w:eastAsia="仿宋_GB2312" w:cs="仿宋_GB2312"/>
          <w:color w:val="000000"/>
          <w:sz w:val="32"/>
          <w:szCs w:val="32"/>
        </w:rPr>
        <w:t>万元，具体情况如下：</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（1）公务用车运行维护费支出</w:t>
      </w:r>
      <w:r>
        <w:rPr>
          <w:rFonts w:hint="eastAsia" w:ascii="仿宋_GB2312" w:hAnsi="仿宋_GB2312" w:eastAsia="仿宋_GB2312" w:cs="仿宋_GB2312"/>
          <w:color w:val="000000"/>
          <w:sz w:val="32"/>
          <w:szCs w:val="32"/>
          <w:lang w:val="en-US" w:eastAsia="zh-CN"/>
        </w:rPr>
        <w:t>1.75</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决算数小于预算数。主要用于</w:t>
      </w:r>
      <w:r>
        <w:rPr>
          <w:rFonts w:hint="eastAsia" w:ascii="仿宋_GB2312" w:hAnsi="仿宋_GB2312" w:eastAsia="仿宋_GB2312" w:cs="仿宋_GB2312"/>
          <w:color w:val="000000"/>
          <w:sz w:val="32"/>
          <w:szCs w:val="32"/>
          <w:lang w:eastAsia="zh-CN"/>
        </w:rPr>
        <w:t>国土整治日常工作开展</w:t>
      </w:r>
      <w:r>
        <w:rPr>
          <w:rFonts w:hint="eastAsia" w:ascii="仿宋_GB2312" w:hAnsi="仿宋_GB2312" w:eastAsia="仿宋_GB2312" w:cs="仿宋_GB2312"/>
          <w:color w:val="000000"/>
          <w:sz w:val="32"/>
          <w:szCs w:val="32"/>
        </w:rPr>
        <w:t>等所需的公务用车燃料费、维修费、过路过桥费等支出。</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（2）公务接待费支出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万元，决算数小于预算数是因为贯彻执行厉行节约政策、努力压缩开支。国内公务接待</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130</w:t>
      </w:r>
      <w:r>
        <w:rPr>
          <w:rFonts w:hint="eastAsia" w:ascii="仿宋_GB2312" w:hAnsi="仿宋_GB2312" w:eastAsia="仿宋_GB2312" w:cs="仿宋_GB2312"/>
          <w:color w:val="000000"/>
          <w:sz w:val="32"/>
          <w:szCs w:val="32"/>
        </w:rPr>
        <w:t>余人次（不包括陪同人员），共计支出</w:t>
      </w:r>
      <w:r>
        <w:rPr>
          <w:rFonts w:hint="eastAsia" w:ascii="仿宋_GB2312" w:hAnsi="仿宋_GB2312" w:eastAsia="仿宋_GB2312" w:cs="仿宋_GB2312"/>
          <w:color w:val="000000"/>
          <w:sz w:val="32"/>
          <w:szCs w:val="32"/>
          <w:lang w:val="en-US" w:eastAsia="zh-CN"/>
        </w:rPr>
        <w:t>0.96</w:t>
      </w:r>
      <w:r>
        <w:rPr>
          <w:rFonts w:hint="eastAsia" w:ascii="仿宋_GB2312" w:hAnsi="仿宋_GB2312" w:eastAsia="仿宋_GB2312" w:cs="仿宋_GB2312"/>
          <w:color w:val="000000"/>
          <w:sz w:val="32"/>
          <w:szCs w:val="32"/>
        </w:rPr>
        <w:t>万元，具体内容包括：主要用于接待省厅</w:t>
      </w:r>
      <w:r>
        <w:rPr>
          <w:rFonts w:hint="eastAsia" w:ascii="仿宋_GB2312" w:hAnsi="仿宋_GB2312" w:eastAsia="仿宋_GB2312" w:cs="仿宋_GB2312"/>
          <w:color w:val="000000"/>
          <w:sz w:val="32"/>
          <w:szCs w:val="32"/>
          <w:lang w:val="en-US" w:eastAsia="zh-CN"/>
        </w:rPr>
        <w:t>及</w:t>
      </w:r>
      <w:r>
        <w:rPr>
          <w:rFonts w:hint="eastAsia" w:ascii="仿宋_GB2312" w:hAnsi="仿宋_GB2312" w:eastAsia="仿宋_GB2312" w:cs="仿宋_GB2312"/>
          <w:color w:val="000000"/>
          <w:sz w:val="32"/>
          <w:szCs w:val="32"/>
        </w:rPr>
        <w:t>县区局用于工作衔接和关于</w:t>
      </w:r>
      <w:r>
        <w:rPr>
          <w:rFonts w:hint="eastAsia" w:ascii="仿宋_GB2312" w:hAnsi="仿宋_GB2312" w:eastAsia="仿宋_GB2312" w:cs="仿宋_GB2312"/>
          <w:color w:val="000000"/>
          <w:sz w:val="32"/>
          <w:szCs w:val="32"/>
          <w:lang w:eastAsia="zh-CN"/>
        </w:rPr>
        <w:t>国土整治</w:t>
      </w:r>
      <w:r>
        <w:rPr>
          <w:rFonts w:hint="eastAsia" w:ascii="仿宋_GB2312" w:hAnsi="仿宋_GB2312" w:eastAsia="仿宋_GB2312" w:cs="仿宋_GB2312"/>
          <w:color w:val="000000"/>
          <w:sz w:val="32"/>
          <w:szCs w:val="32"/>
        </w:rPr>
        <w:t>等业务工作餐。</w:t>
      </w:r>
      <w:bookmarkStart w:id="43" w:name="_GoBack"/>
      <w:bookmarkEnd w:id="43"/>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4.部门决算编制和审查。</w:t>
      </w:r>
      <w:r>
        <w:rPr>
          <w:rFonts w:hint="eastAsia" w:ascii="仿宋_GB2312" w:hAnsi="宋体" w:eastAsia="仿宋_GB2312" w:cs="宋体"/>
          <w:kern w:val="0"/>
          <w:sz w:val="32"/>
          <w:szCs w:val="32"/>
        </w:rPr>
        <w:t>及时进行年终账务清算，核实各项预算收支，按规定时间报送决算报表，做到了帐表一致，决算数据真实准确，部门决算编制人员与供养人员系统数据相符。</w:t>
      </w:r>
    </w:p>
    <w:p>
      <w:pPr>
        <w:spacing w:line="580" w:lineRule="exact"/>
        <w:rPr>
          <w:rFonts w:hint="eastAsia" w:ascii="楷体_GB2312" w:eastAsia="楷体_GB2312"/>
          <w:sz w:val="32"/>
          <w:szCs w:val="32"/>
        </w:rPr>
      </w:pPr>
      <w:r>
        <w:rPr>
          <w:rFonts w:hint="eastAsia" w:ascii="楷体_GB2312" w:eastAsia="楷体_GB2312"/>
          <w:bCs/>
          <w:sz w:val="32"/>
          <w:szCs w:val="32"/>
        </w:rPr>
        <w:t xml:space="preserve">    （三）财政资金综合管理情况</w:t>
      </w:r>
    </w:p>
    <w:p>
      <w:pPr>
        <w:spacing w:line="580" w:lineRule="exact"/>
        <w:rPr>
          <w:rFonts w:hint="eastAsia" w:ascii="仿宋_GB2312" w:eastAsia="仿宋_GB2312"/>
          <w:sz w:val="32"/>
          <w:szCs w:val="32"/>
          <w:lang w:eastAsia="zh-CN"/>
        </w:rPr>
      </w:pPr>
      <w:r>
        <w:rPr>
          <w:rFonts w:hint="eastAsia" w:ascii="仿宋_GB2312" w:eastAsia="仿宋_GB2312"/>
          <w:b/>
          <w:bCs/>
          <w:sz w:val="32"/>
          <w:szCs w:val="32"/>
        </w:rPr>
        <w:t xml:space="preserve">    </w:t>
      </w:r>
      <w:r>
        <w:rPr>
          <w:rFonts w:hint="eastAsia" w:ascii="仿宋_GB2312" w:eastAsia="仿宋_GB2312"/>
          <w:sz w:val="32"/>
          <w:szCs w:val="32"/>
        </w:rPr>
        <w:t>1.非税收入征收、上缴情况。</w:t>
      </w:r>
      <w:r>
        <w:rPr>
          <w:rFonts w:hint="eastAsia" w:ascii="仿宋_GB2312" w:hAnsi="宋体" w:eastAsia="仿宋_GB2312" w:cs="宋体"/>
          <w:kern w:val="0"/>
          <w:sz w:val="32"/>
          <w:szCs w:val="32"/>
        </w:rPr>
        <w:t>我</w:t>
      </w:r>
      <w:r>
        <w:rPr>
          <w:rFonts w:hint="eastAsia" w:ascii="仿宋_GB2312" w:hAnsi="宋体" w:eastAsia="仿宋_GB2312" w:cs="宋体"/>
          <w:kern w:val="0"/>
          <w:sz w:val="32"/>
          <w:szCs w:val="32"/>
          <w:lang w:eastAsia="zh-CN"/>
        </w:rPr>
        <w:t>单位无非税收入征收、上缴工作。</w:t>
      </w:r>
    </w:p>
    <w:p>
      <w:pPr>
        <w:spacing w:line="580" w:lineRule="exact"/>
        <w:rPr>
          <w:rFonts w:hint="eastAsia" w:ascii="仿宋_GB2312" w:hAnsi="宋体" w:eastAsia="仿宋_GB2312" w:cs="宋体"/>
          <w:kern w:val="0"/>
          <w:sz w:val="32"/>
          <w:szCs w:val="32"/>
          <w:lang w:val="en-US" w:eastAsia="zh-CN"/>
        </w:rPr>
      </w:pPr>
      <w:r>
        <w:rPr>
          <w:rFonts w:hint="eastAsia" w:ascii="仿宋_GB2312" w:eastAsia="仿宋_GB2312"/>
          <w:b/>
          <w:bCs/>
          <w:sz w:val="32"/>
          <w:szCs w:val="32"/>
        </w:rPr>
        <w:t xml:space="preserve">   </w:t>
      </w:r>
      <w:r>
        <w:rPr>
          <w:rFonts w:hint="eastAsia" w:ascii="仿宋_GB2312" w:eastAsia="仿宋_GB2312"/>
          <w:sz w:val="32"/>
          <w:szCs w:val="32"/>
        </w:rPr>
        <w:t xml:space="preserve"> 2.政府采购实施计划编制执行情况。</w:t>
      </w:r>
      <w:r>
        <w:rPr>
          <w:rFonts w:hint="eastAsia" w:ascii="仿宋_GB2312" w:hAnsi="宋体" w:eastAsia="仿宋_GB2312" w:cs="宋体"/>
          <w:kern w:val="0"/>
          <w:sz w:val="32"/>
          <w:szCs w:val="32"/>
        </w:rPr>
        <w:t>认真编制政府采购预算，做到应编尽编，不遗漏；规范采购行为，执行政府采购政策，做到应采尽采。全年一般公共预算采购预算为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万元，实际采购金额</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spacing w:line="580" w:lineRule="exact"/>
        <w:rPr>
          <w:rFonts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3.资产管理信息系统建设、资产清查上报情况。本部门的新增和减少资产已严格按照要求录入资产管理系统，并按照上级要求及时、准确、全面上报资产报表，严格按照财政资产管理科和市机关事务管理局的相关政策进行资产清理和上报，使资产管理系统和财务会计资产系统账账相符。</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4.部门内部控制制度健全情况。我</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内部管理制度比较健全，设置有《岗位责任制》，《廉政风险三同防控图》，</w:t>
      </w:r>
      <w:r>
        <w:rPr>
          <w:rFonts w:hint="eastAsia" w:ascii="仿宋_GB2312" w:hAnsi="宋体" w:eastAsia="仿宋_GB2312" w:cs="宋体"/>
          <w:kern w:val="0"/>
          <w:sz w:val="32"/>
          <w:szCs w:val="32"/>
          <w:lang w:eastAsia="zh-CN"/>
        </w:rPr>
        <w:t>依据</w:t>
      </w:r>
      <w:r>
        <w:rPr>
          <w:rFonts w:hint="eastAsia" w:ascii="仿宋_GB2312" w:hAnsi="宋体" w:eastAsia="仿宋_GB2312" w:cs="宋体"/>
          <w:kern w:val="0"/>
          <w:sz w:val="32"/>
          <w:szCs w:val="32"/>
        </w:rPr>
        <w:t>了《广元市</w:t>
      </w:r>
      <w:r>
        <w:rPr>
          <w:rFonts w:hint="eastAsia" w:ascii="仿宋_GB2312" w:hAnsi="宋体" w:eastAsia="仿宋_GB2312" w:cs="宋体"/>
          <w:kern w:val="0"/>
          <w:sz w:val="32"/>
          <w:szCs w:val="32"/>
          <w:lang w:eastAsia="zh-CN"/>
        </w:rPr>
        <w:t>自然资源</w:t>
      </w:r>
      <w:r>
        <w:rPr>
          <w:rFonts w:hint="eastAsia" w:ascii="仿宋_GB2312" w:hAnsi="宋体" w:eastAsia="仿宋_GB2312" w:cs="宋体"/>
          <w:kern w:val="0"/>
          <w:sz w:val="32"/>
          <w:szCs w:val="32"/>
        </w:rPr>
        <w:t>系统内部审计管理办法》、《广元市</w:t>
      </w:r>
      <w:r>
        <w:rPr>
          <w:rFonts w:hint="eastAsia" w:ascii="仿宋_GB2312" w:hAnsi="宋体" w:eastAsia="仿宋_GB2312" w:cs="宋体"/>
          <w:kern w:val="0"/>
          <w:sz w:val="32"/>
          <w:szCs w:val="32"/>
          <w:lang w:eastAsia="zh-CN"/>
        </w:rPr>
        <w:t>自然资源</w:t>
      </w:r>
      <w:r>
        <w:rPr>
          <w:rFonts w:hint="eastAsia" w:ascii="仿宋_GB2312" w:hAnsi="宋体" w:eastAsia="仿宋_GB2312" w:cs="宋体"/>
          <w:kern w:val="0"/>
          <w:sz w:val="32"/>
          <w:szCs w:val="32"/>
        </w:rPr>
        <w:t>局财务管理制度》，具体内容包括经费审批制度、现金管理、票据管理、会计档案管理、资产管理等。</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5.预决算及绩效信息公开情况。我</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严格按照财政要求，及时、准确、全面的在政府网站和局域内门户网站公开预决算和绩效信息。</w:t>
      </w:r>
    </w:p>
    <w:p>
      <w:pPr>
        <w:spacing w:line="580" w:lineRule="exact"/>
        <w:ind w:firstLine="640" w:firstLineChars="200"/>
        <w:rPr>
          <w:rFonts w:hint="eastAsia" w:ascii="仿宋_GB2312" w:eastAsia="仿宋_GB2312"/>
          <w:color w:val="000000"/>
          <w:sz w:val="32"/>
          <w:szCs w:val="32"/>
        </w:rPr>
      </w:pPr>
      <w:r>
        <w:rPr>
          <w:rFonts w:hint="eastAsia" w:ascii="仿宋_GB2312" w:hAnsi="宋体" w:eastAsia="仿宋_GB2312" w:cs="宋体"/>
          <w:kern w:val="0"/>
          <w:sz w:val="32"/>
          <w:szCs w:val="32"/>
        </w:rPr>
        <w:t>6.绩效评价开展、评价结果报告情况。</w:t>
      </w:r>
      <w:r>
        <w:rPr>
          <w:rFonts w:hint="eastAsia" w:ascii="仿宋_GB2312" w:hAnsi="宋体" w:eastAsia="仿宋_GB2312" w:cs="宋体"/>
          <w:kern w:val="0"/>
          <w:sz w:val="32"/>
          <w:szCs w:val="32"/>
          <w:lang w:eastAsia="zh-CN"/>
        </w:rPr>
        <w:t>积极对我单位</w:t>
      </w:r>
      <w:r>
        <w:rPr>
          <w:rFonts w:hint="eastAsia" w:ascii="仿宋_GB2312" w:eastAsia="仿宋_GB2312"/>
          <w:color w:val="000000"/>
          <w:sz w:val="32"/>
          <w:szCs w:val="32"/>
        </w:rPr>
        <w:t>开展了绩效</w:t>
      </w:r>
      <w:r>
        <w:rPr>
          <w:rFonts w:hint="eastAsia" w:ascii="仿宋_GB2312" w:eastAsia="仿宋_GB2312"/>
          <w:color w:val="000000"/>
          <w:sz w:val="32"/>
          <w:szCs w:val="32"/>
          <w:lang w:eastAsia="zh-CN"/>
        </w:rPr>
        <w:t>自</w:t>
      </w:r>
      <w:r>
        <w:rPr>
          <w:rFonts w:hint="eastAsia" w:ascii="仿宋_GB2312" w:eastAsia="仿宋_GB2312"/>
          <w:color w:val="000000"/>
          <w:sz w:val="32"/>
          <w:szCs w:val="32"/>
        </w:rPr>
        <w:t>评，通过对支出总体评价，自评得分</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分。</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color w:val="000000"/>
          <w:sz w:val="32"/>
          <w:szCs w:val="32"/>
        </w:rPr>
        <w:t>7.绩效管理工作开展情况</w:t>
      </w:r>
      <w:r>
        <w:rPr>
          <w:rFonts w:hint="eastAsia" w:ascii="仿宋_GB2312" w:eastAsia="仿宋_GB2312"/>
          <w:color w:val="000000"/>
          <w:sz w:val="32"/>
          <w:szCs w:val="32"/>
          <w:lang w:eastAsia="zh-CN"/>
        </w:rPr>
        <w:t>。我的单位严格按照绩效管理评价工作的要求，积极落实，</w:t>
      </w:r>
      <w:r>
        <w:rPr>
          <w:rFonts w:hint="eastAsia" w:ascii="仿宋_GB2312" w:hAnsi="仿宋_GB2312" w:eastAsia="仿宋_GB2312" w:cs="仿宋_GB2312"/>
          <w:bCs/>
          <w:kern w:val="0"/>
          <w:sz w:val="32"/>
          <w:szCs w:val="32"/>
          <w:lang w:val="en-US" w:eastAsia="zh-CN"/>
        </w:rPr>
        <w:t>认真组织本部门相关人员开展绩效评价工作。</w:t>
      </w:r>
    </w:p>
    <w:p>
      <w:pPr>
        <w:spacing w:line="580" w:lineRule="exac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 xml:space="preserve"> 8.财政政策执行情况</w:t>
      </w:r>
    </w:p>
    <w:p>
      <w:pPr>
        <w:spacing w:line="580" w:lineRule="exac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w:t>
      </w:r>
      <w:r>
        <w:rPr>
          <w:rFonts w:hint="eastAsia" w:ascii="仿宋_GB2312" w:hAnsi="宋体" w:eastAsia="仿宋_GB2312" w:cs="宋体"/>
          <w:kern w:val="0"/>
          <w:sz w:val="32"/>
          <w:szCs w:val="32"/>
        </w:rPr>
        <w:t>1）国库集中支付。我</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严格执行国库集中支付规定，当年部门预算支出中直接支付比例超过市本级当期平均水平。</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（2）公务卡改革。严格按公务卡强制结算目录，公务用车燃油费、职工出差培训费、住宿费、公务机票等都使用公务卡进行结算。</w:t>
      </w:r>
    </w:p>
    <w:p>
      <w:pPr>
        <w:spacing w:line="58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（3）政府采购政策执行。认真编制政府采购预算，做到应编尽编，不遗漏；规范采购行为，执行政府采购政策，做到应采尽采。</w:t>
      </w:r>
    </w:p>
    <w:p>
      <w:pPr>
        <w:spacing w:line="58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（4）非税收入征收管理。我</w:t>
      </w:r>
      <w:r>
        <w:rPr>
          <w:rFonts w:hint="eastAsia" w:ascii="仿宋_GB2312" w:hAnsi="宋体" w:eastAsia="仿宋_GB2312" w:cs="宋体"/>
          <w:kern w:val="0"/>
          <w:sz w:val="32"/>
          <w:szCs w:val="32"/>
          <w:lang w:eastAsia="zh-CN"/>
        </w:rPr>
        <w:t>单位无非税收入征收业务。</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（5）厉行节约。按照相关规定进行经费开支，无违反规定支出行为，无超标准开支行为；“三公”经费严格按财政规定限额标准进行限制和压缩。</w:t>
      </w:r>
    </w:p>
    <w:p>
      <w:pPr>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9.财经纪律执行情况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（1）审计监察。接受了</w:t>
      </w:r>
      <w:r>
        <w:rPr>
          <w:rFonts w:hint="eastAsia" w:ascii="仿宋_GB2312" w:eastAsia="仿宋_GB2312"/>
          <w:sz w:val="32"/>
          <w:szCs w:val="32"/>
          <w:lang w:eastAsia="zh-CN"/>
        </w:rPr>
        <w:t>审计局及</w:t>
      </w:r>
      <w:r>
        <w:rPr>
          <w:rFonts w:hint="eastAsia" w:ascii="仿宋_GB2312" w:eastAsia="仿宋_GB2312"/>
          <w:sz w:val="32"/>
          <w:szCs w:val="32"/>
        </w:rPr>
        <w:t>相关部门检查组对我</w:t>
      </w:r>
      <w:r>
        <w:rPr>
          <w:rFonts w:hint="eastAsia" w:ascii="仿宋_GB2312" w:eastAsia="仿宋_GB2312"/>
          <w:sz w:val="32"/>
          <w:szCs w:val="32"/>
          <w:lang w:eastAsia="zh-CN"/>
        </w:rPr>
        <w:t>单位</w:t>
      </w: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年度财政预算收支情况的检查，</w:t>
      </w:r>
      <w:r>
        <w:rPr>
          <w:rFonts w:hint="eastAsia" w:ascii="仿宋_GB2312" w:eastAsia="仿宋_GB2312"/>
          <w:sz w:val="32"/>
          <w:szCs w:val="32"/>
          <w:lang w:eastAsia="zh-CN"/>
        </w:rPr>
        <w:t>以及</w:t>
      </w:r>
      <w:r>
        <w:rPr>
          <w:rFonts w:hint="eastAsia" w:ascii="仿宋_GB2312" w:eastAsia="仿宋_GB2312"/>
          <w:sz w:val="32"/>
          <w:szCs w:val="32"/>
        </w:rPr>
        <w:t>财政等部门的</w:t>
      </w:r>
      <w:r>
        <w:rPr>
          <w:rFonts w:hint="eastAsia" w:ascii="仿宋_GB2312" w:eastAsia="仿宋_GB2312"/>
          <w:sz w:val="32"/>
          <w:szCs w:val="32"/>
          <w:lang w:eastAsia="zh-CN"/>
        </w:rPr>
        <w:t>其他</w:t>
      </w:r>
      <w:r>
        <w:rPr>
          <w:rFonts w:hint="eastAsia" w:ascii="仿宋_GB2312" w:eastAsia="仿宋_GB2312"/>
          <w:sz w:val="32"/>
          <w:szCs w:val="32"/>
        </w:rPr>
        <w:t>相关检查。</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（2）预算执行动态监控。所有收支均通过财政大平台实行动态监控，资金管理较规范，按市财政国库动态监控预警无违规支付行为。</w:t>
      </w:r>
    </w:p>
    <w:p>
      <w:pPr>
        <w:spacing w:line="580" w:lineRule="exact"/>
        <w:ind w:firstLine="640" w:firstLineChars="200"/>
        <w:rPr>
          <w:rFonts w:hint="eastAsia" w:ascii="黑体" w:hAnsi="黑体" w:eastAsia="黑体"/>
          <w:bCs/>
          <w:sz w:val="32"/>
          <w:szCs w:val="32"/>
        </w:rPr>
      </w:pPr>
      <w:r>
        <w:rPr>
          <w:rFonts w:hint="eastAsia" w:ascii="黑体" w:hAnsi="黑体" w:eastAsia="黑体"/>
          <w:bCs/>
          <w:sz w:val="32"/>
          <w:szCs w:val="32"/>
        </w:rPr>
        <w:t>三、存在问题</w:t>
      </w:r>
    </w:p>
    <w:p>
      <w:pPr>
        <w:numPr>
          <w:ilvl w:val="0"/>
          <w:numId w:val="0"/>
        </w:numPr>
        <w:autoSpaceDE w:val="0"/>
        <w:autoSpaceDN w:val="0"/>
        <w:adjustRightInd w:val="0"/>
        <w:spacing w:line="576" w:lineRule="atLeast"/>
        <w:ind w:leftChars="0" w:firstLine="640" w:firstLineChars="200"/>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加强资产清查的工作，及时对资产进行清查和清理。我们也会今后在工作中不断改进和加强各项支出管理，确保整体支出绩效达到最佳水平。</w:t>
      </w:r>
    </w:p>
    <w:p>
      <w:pPr>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四、整改建议和意见</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下一步改进措施：一是建议财政加强对单位及其财务人员项目绩效评价和内控制度建设等方面的培训力度，为适应新形势新要求，让每一个财务人员及时正确掌握政策，把握好财经纪律。建议将财务人员定期培训工作纳入目标任务。二是建议通过财政支出和项目绩效评价结果，财政根据各单位的项目工作任务及政府目标考核内容纳入项目工作经费，确保各单位履行行政职能职责有保障。</w:t>
      </w:r>
    </w:p>
    <w:p>
      <w:pPr>
        <w:spacing w:line="580" w:lineRule="exact"/>
        <w:rPr>
          <w:rFonts w:hint="eastAsia"/>
          <w:sz w:val="32"/>
          <w:szCs w:val="32"/>
        </w:rPr>
      </w:pPr>
    </w:p>
    <w:p>
      <w:pPr>
        <w:spacing w:line="580" w:lineRule="exact"/>
        <w:rPr>
          <w:rFonts w:hint="eastAsia"/>
          <w:sz w:val="32"/>
          <w:szCs w:val="32"/>
        </w:rPr>
      </w:pPr>
    </w:p>
    <w:p>
      <w:pPr>
        <w:spacing w:line="580" w:lineRule="exact"/>
        <w:rPr>
          <w:rFonts w:hint="eastAsia"/>
          <w:sz w:val="32"/>
          <w:szCs w:val="32"/>
        </w:rPr>
      </w:pPr>
      <w:r>
        <w:rPr>
          <w:rFonts w:hint="eastAsia"/>
          <w:sz w:val="32"/>
          <w:szCs w:val="32"/>
        </w:rPr>
        <w:t xml:space="preserve">   </w:t>
      </w:r>
    </w:p>
    <w:p>
      <w:pPr>
        <w:spacing w:line="580" w:lineRule="exact"/>
        <w:ind w:left="5430" w:leftChars="1824" w:hanging="1600" w:hangingChars="500"/>
        <w:rPr>
          <w:sz w:val="32"/>
          <w:szCs w:val="32"/>
        </w:rPr>
      </w:pPr>
      <w:r>
        <w:rPr>
          <w:rFonts w:hint="eastAsia"/>
          <w:sz w:val="32"/>
          <w:szCs w:val="32"/>
        </w:rPr>
        <w:t xml:space="preserve">  </w:t>
      </w:r>
    </w:p>
    <w:p>
      <w:pPr>
        <w:widowControl/>
        <w:jc w:val="left"/>
        <w:rPr>
          <w:rStyle w:val="37"/>
          <w:rFonts w:ascii="黑体" w:hAnsi="黑体" w:eastAsia="黑体"/>
          <w:b w:val="0"/>
        </w:rPr>
      </w:pPr>
      <w:r>
        <w:rPr>
          <w:rFonts w:hint="eastAsia" w:ascii="仿宋_GB2312" w:hAnsi="宋体" w:eastAsia="仿宋_GB2312" w:cs="宋体"/>
          <w:color w:val="000000"/>
          <w:kern w:val="0"/>
          <w:sz w:val="32"/>
          <w:szCs w:val="32"/>
          <w:shd w:val="clear" w:color="auto" w:fill="FFFFFF"/>
          <w:lang w:val="zh-CN"/>
        </w:rPr>
        <w:br w:type="page"/>
      </w:r>
    </w:p>
    <w:p>
      <w:pPr>
        <w:spacing w:line="600" w:lineRule="exact"/>
        <w:jc w:val="center"/>
        <w:outlineLvl w:val="0"/>
        <w:rPr>
          <w:rStyle w:val="37"/>
          <w:rFonts w:hint="eastAsia" w:ascii="黑体" w:hAnsi="黑体" w:eastAsia="黑体"/>
          <w:b w:val="0"/>
        </w:rPr>
      </w:pPr>
      <w:bookmarkStart w:id="42" w:name="_Toc15396618"/>
      <w:r>
        <w:rPr>
          <w:rFonts w:hint="eastAsia" w:ascii="黑体" w:hAnsi="黑体" w:eastAsia="黑体"/>
          <w:color w:val="000000"/>
          <w:sz w:val="44"/>
          <w:szCs w:val="44"/>
        </w:rPr>
        <w:t>第</w:t>
      </w:r>
      <w:r>
        <w:rPr>
          <w:rStyle w:val="37"/>
          <w:rFonts w:hint="eastAsia" w:ascii="黑体" w:hAnsi="黑体" w:eastAsia="黑体"/>
          <w:b w:val="0"/>
        </w:rPr>
        <w:t>五部分  附表</w:t>
      </w:r>
      <w:bookmarkEnd w:id="40"/>
      <w:bookmarkEnd w:id="42"/>
    </w:p>
    <w:p>
      <w:pPr>
        <w:spacing w:line="600" w:lineRule="exact"/>
        <w:jc w:val="center"/>
        <w:outlineLvl w:val="0"/>
        <w:rPr>
          <w:rStyle w:val="37"/>
          <w:rFonts w:hint="eastAsia" w:ascii="黑体" w:hAnsi="黑体" w:eastAsia="黑体"/>
          <w:b w:val="0"/>
        </w:rPr>
      </w:pPr>
    </w:p>
    <w:bookmarkEnd w:id="37"/>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一、收入支出决算总表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二、收入决算表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四、财政拨款收入支出决算总表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五、财政拨款支出决算明细表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六、一般公共预算财政拨款支出决算表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七、一般公共预算财政拨款支出决算明细表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八、一般公共预算财政拨款基本支出决算表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九、一般公共预算财政拨款项目支出决算表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十、一般公共预算财政拨款“三公”经费支出决算表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十一、政府性基金预算财政拨款收入支出决算表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十二、政府性基金预算财政拨款“三公”经费支出决算表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十三、国有资本经营预算财政拨款收入支出决算表</w:t>
      </w:r>
    </w:p>
    <w:p>
      <w:pPr>
        <w:pStyle w:val="11"/>
        <w:adjustRightInd w:val="0"/>
        <w:snapToGrid w:val="0"/>
        <w:spacing w:line="576" w:lineRule="exact"/>
        <w:ind w:left="0" w:leftChars="0" w:firstLine="640" w:firstLineChars="20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十四、国有资本经营预算财政拨款支出决算表</w:t>
      </w:r>
    </w:p>
    <w:p>
      <w:pPr>
        <w:rPr>
          <w:rFonts w:hint="eastAsia" w:ascii="仿宋_GB2312" w:hAnsi="Times New Roman" w:eastAsia="仿宋_GB2312" w:cs="Times New Roman"/>
          <w:kern w:val="2"/>
          <w:sz w:val="32"/>
          <w:szCs w:val="32"/>
          <w:lang w:val="en-US" w:eastAsia="zh-CN" w:bidi="ar-SA"/>
        </w:rPr>
      </w:pPr>
    </w:p>
    <w:sectPr>
      <w:headerReference r:id="rId3" w:type="default"/>
      <w:footerReference r:id="rId4" w:type="default"/>
      <w:pgSz w:w="11906" w:h="16838"/>
      <w:pgMar w:top="1440" w:right="1304" w:bottom="1134" w:left="1418" w:header="851" w:footer="113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31</w:t>
    </w:r>
    <w:r>
      <w:rPr>
        <w:rStyle w:val="15"/>
      </w:rPr>
      <w:fldChar w:fldCharType="end"/>
    </w:r>
  </w:p>
  <w:p>
    <w:pPr>
      <w:pStyle w:val="8"/>
      <w:ind w:right="360"/>
      <w:jc w:val="center"/>
    </w:pP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cs="Times New Roman"/>
        <w:b w:val="0"/>
        <w:bCs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28C7ED72"/>
    <w:multiLevelType w:val="singleLevel"/>
    <w:tmpl w:val="28C7ED7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DBmYmQ1NzZkZmQ3ZTc5NjI2NjJhYTZmMGE1ZjIifQ=="/>
  </w:docVars>
  <w:rsids>
    <w:rsidRoot w:val="00F1361C"/>
    <w:rsid w:val="00003BA4"/>
    <w:rsid w:val="000222C6"/>
    <w:rsid w:val="0002549F"/>
    <w:rsid w:val="00035BAF"/>
    <w:rsid w:val="00036507"/>
    <w:rsid w:val="000468DB"/>
    <w:rsid w:val="00056652"/>
    <w:rsid w:val="0006487A"/>
    <w:rsid w:val="00065F8F"/>
    <w:rsid w:val="00070A43"/>
    <w:rsid w:val="00071F1B"/>
    <w:rsid w:val="00072EEA"/>
    <w:rsid w:val="000763B8"/>
    <w:rsid w:val="000768F2"/>
    <w:rsid w:val="000824A7"/>
    <w:rsid w:val="00087B0F"/>
    <w:rsid w:val="0009184B"/>
    <w:rsid w:val="00094236"/>
    <w:rsid w:val="0009593C"/>
    <w:rsid w:val="00096865"/>
    <w:rsid w:val="00097322"/>
    <w:rsid w:val="000A160F"/>
    <w:rsid w:val="000A6A92"/>
    <w:rsid w:val="000B047F"/>
    <w:rsid w:val="000B5923"/>
    <w:rsid w:val="000B5A48"/>
    <w:rsid w:val="000B6FF3"/>
    <w:rsid w:val="000C3467"/>
    <w:rsid w:val="000C3CA6"/>
    <w:rsid w:val="000D1267"/>
    <w:rsid w:val="000D1D50"/>
    <w:rsid w:val="000D3A4C"/>
    <w:rsid w:val="000D3B39"/>
    <w:rsid w:val="000D5424"/>
    <w:rsid w:val="000D5782"/>
    <w:rsid w:val="000D7DA7"/>
    <w:rsid w:val="000E09EF"/>
    <w:rsid w:val="000E6613"/>
    <w:rsid w:val="000E7119"/>
    <w:rsid w:val="000F10EF"/>
    <w:rsid w:val="00110386"/>
    <w:rsid w:val="00114E9B"/>
    <w:rsid w:val="00142216"/>
    <w:rsid w:val="00144D6A"/>
    <w:rsid w:val="0014729F"/>
    <w:rsid w:val="0015174A"/>
    <w:rsid w:val="00157BAB"/>
    <w:rsid w:val="001654D1"/>
    <w:rsid w:val="00172DB9"/>
    <w:rsid w:val="00174518"/>
    <w:rsid w:val="0018106D"/>
    <w:rsid w:val="001877A7"/>
    <w:rsid w:val="00191536"/>
    <w:rsid w:val="00196687"/>
    <w:rsid w:val="001A03B9"/>
    <w:rsid w:val="001C0962"/>
    <w:rsid w:val="001D2E85"/>
    <w:rsid w:val="001D7531"/>
    <w:rsid w:val="001E18D7"/>
    <w:rsid w:val="001E737D"/>
    <w:rsid w:val="001F0592"/>
    <w:rsid w:val="001F7506"/>
    <w:rsid w:val="002006CD"/>
    <w:rsid w:val="00202B36"/>
    <w:rsid w:val="00204B7A"/>
    <w:rsid w:val="00204CDE"/>
    <w:rsid w:val="0021101A"/>
    <w:rsid w:val="00220536"/>
    <w:rsid w:val="002307CB"/>
    <w:rsid w:val="002328DD"/>
    <w:rsid w:val="00235629"/>
    <w:rsid w:val="00260C38"/>
    <w:rsid w:val="002616C0"/>
    <w:rsid w:val="00265372"/>
    <w:rsid w:val="002662AA"/>
    <w:rsid w:val="00280496"/>
    <w:rsid w:val="00294DC9"/>
    <w:rsid w:val="00295495"/>
    <w:rsid w:val="00296E64"/>
    <w:rsid w:val="002A31DE"/>
    <w:rsid w:val="002B2613"/>
    <w:rsid w:val="002B413C"/>
    <w:rsid w:val="002D19B0"/>
    <w:rsid w:val="002D6D05"/>
    <w:rsid w:val="002F1818"/>
    <w:rsid w:val="002F567B"/>
    <w:rsid w:val="003216A9"/>
    <w:rsid w:val="0033461E"/>
    <w:rsid w:val="00335A74"/>
    <w:rsid w:val="00346ACE"/>
    <w:rsid w:val="003542B8"/>
    <w:rsid w:val="00361E0A"/>
    <w:rsid w:val="0036561B"/>
    <w:rsid w:val="003669AB"/>
    <w:rsid w:val="0037013F"/>
    <w:rsid w:val="0037141F"/>
    <w:rsid w:val="00377146"/>
    <w:rsid w:val="00380C92"/>
    <w:rsid w:val="00393E88"/>
    <w:rsid w:val="003A484F"/>
    <w:rsid w:val="003A4883"/>
    <w:rsid w:val="003A58C6"/>
    <w:rsid w:val="003B0BE0"/>
    <w:rsid w:val="003B0C1B"/>
    <w:rsid w:val="003B688C"/>
    <w:rsid w:val="003C0291"/>
    <w:rsid w:val="003C39AE"/>
    <w:rsid w:val="003C7B60"/>
    <w:rsid w:val="003D0C0F"/>
    <w:rsid w:val="003D1FB2"/>
    <w:rsid w:val="003D66DA"/>
    <w:rsid w:val="003E1310"/>
    <w:rsid w:val="003E6F55"/>
    <w:rsid w:val="00404979"/>
    <w:rsid w:val="00406254"/>
    <w:rsid w:val="00406A97"/>
    <w:rsid w:val="0041291A"/>
    <w:rsid w:val="0041464D"/>
    <w:rsid w:val="00416CD4"/>
    <w:rsid w:val="004223DE"/>
    <w:rsid w:val="00423EBD"/>
    <w:rsid w:val="0043341E"/>
    <w:rsid w:val="00433909"/>
    <w:rsid w:val="00434489"/>
    <w:rsid w:val="00437085"/>
    <w:rsid w:val="00443880"/>
    <w:rsid w:val="00444587"/>
    <w:rsid w:val="004464F4"/>
    <w:rsid w:val="00451530"/>
    <w:rsid w:val="00451544"/>
    <w:rsid w:val="0046577C"/>
    <w:rsid w:val="00471401"/>
    <w:rsid w:val="00473F31"/>
    <w:rsid w:val="0048263A"/>
    <w:rsid w:val="00486EE5"/>
    <w:rsid w:val="00487E5D"/>
    <w:rsid w:val="00496CB4"/>
    <w:rsid w:val="004A48F5"/>
    <w:rsid w:val="004A588C"/>
    <w:rsid w:val="004A711F"/>
    <w:rsid w:val="004B199D"/>
    <w:rsid w:val="004B4690"/>
    <w:rsid w:val="004B4C77"/>
    <w:rsid w:val="004E0A2D"/>
    <w:rsid w:val="004E206B"/>
    <w:rsid w:val="004E6DF7"/>
    <w:rsid w:val="004F0FBD"/>
    <w:rsid w:val="004F403E"/>
    <w:rsid w:val="004F6F23"/>
    <w:rsid w:val="00505A47"/>
    <w:rsid w:val="00512FDA"/>
    <w:rsid w:val="0051532A"/>
    <w:rsid w:val="00520DA0"/>
    <w:rsid w:val="00565AEA"/>
    <w:rsid w:val="005664BB"/>
    <w:rsid w:val="00566FFA"/>
    <w:rsid w:val="0057481D"/>
    <w:rsid w:val="00575F0B"/>
    <w:rsid w:val="0058054A"/>
    <w:rsid w:val="0058486E"/>
    <w:rsid w:val="00585B33"/>
    <w:rsid w:val="0059014D"/>
    <w:rsid w:val="005B5C64"/>
    <w:rsid w:val="005C615A"/>
    <w:rsid w:val="005C6BD0"/>
    <w:rsid w:val="005C6C4C"/>
    <w:rsid w:val="005D1C8B"/>
    <w:rsid w:val="005D468D"/>
    <w:rsid w:val="005D5CED"/>
    <w:rsid w:val="005F1081"/>
    <w:rsid w:val="005F1A4C"/>
    <w:rsid w:val="006054D4"/>
    <w:rsid w:val="00605688"/>
    <w:rsid w:val="006070AF"/>
    <w:rsid w:val="00607E6C"/>
    <w:rsid w:val="006101B1"/>
    <w:rsid w:val="00614832"/>
    <w:rsid w:val="00614E44"/>
    <w:rsid w:val="0062270A"/>
    <w:rsid w:val="00622830"/>
    <w:rsid w:val="00623DA0"/>
    <w:rsid w:val="00630AEF"/>
    <w:rsid w:val="00630B43"/>
    <w:rsid w:val="006325F8"/>
    <w:rsid w:val="00633463"/>
    <w:rsid w:val="00634C9A"/>
    <w:rsid w:val="006440E4"/>
    <w:rsid w:val="0066343B"/>
    <w:rsid w:val="00664777"/>
    <w:rsid w:val="006748A4"/>
    <w:rsid w:val="00681A31"/>
    <w:rsid w:val="0068246A"/>
    <w:rsid w:val="00683E73"/>
    <w:rsid w:val="006A3141"/>
    <w:rsid w:val="006A5E34"/>
    <w:rsid w:val="006B2422"/>
    <w:rsid w:val="006B2B9A"/>
    <w:rsid w:val="006C1937"/>
    <w:rsid w:val="006C570B"/>
    <w:rsid w:val="006E4764"/>
    <w:rsid w:val="006E76A7"/>
    <w:rsid w:val="006F020C"/>
    <w:rsid w:val="007127B7"/>
    <w:rsid w:val="00712E44"/>
    <w:rsid w:val="00715723"/>
    <w:rsid w:val="0071798E"/>
    <w:rsid w:val="00727533"/>
    <w:rsid w:val="007416B6"/>
    <w:rsid w:val="00746F48"/>
    <w:rsid w:val="0075404D"/>
    <w:rsid w:val="00757C91"/>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3576"/>
    <w:rsid w:val="007F53D9"/>
    <w:rsid w:val="007F55FC"/>
    <w:rsid w:val="007F5665"/>
    <w:rsid w:val="00800112"/>
    <w:rsid w:val="00806EF9"/>
    <w:rsid w:val="00807329"/>
    <w:rsid w:val="00813348"/>
    <w:rsid w:val="00815C7A"/>
    <w:rsid w:val="00816A80"/>
    <w:rsid w:val="008253BB"/>
    <w:rsid w:val="00833962"/>
    <w:rsid w:val="0083706E"/>
    <w:rsid w:val="00840380"/>
    <w:rsid w:val="008408F6"/>
    <w:rsid w:val="008423A5"/>
    <w:rsid w:val="00845DC2"/>
    <w:rsid w:val="00850625"/>
    <w:rsid w:val="00853718"/>
    <w:rsid w:val="00855221"/>
    <w:rsid w:val="00860645"/>
    <w:rsid w:val="00871F71"/>
    <w:rsid w:val="00872FD8"/>
    <w:rsid w:val="00885AF4"/>
    <w:rsid w:val="008939CD"/>
    <w:rsid w:val="008A3958"/>
    <w:rsid w:val="008A57A1"/>
    <w:rsid w:val="008B768C"/>
    <w:rsid w:val="008C4DB1"/>
    <w:rsid w:val="008C4EAF"/>
    <w:rsid w:val="008C5176"/>
    <w:rsid w:val="008C7FD0"/>
    <w:rsid w:val="008E1DE7"/>
    <w:rsid w:val="008E707C"/>
    <w:rsid w:val="008F3EF3"/>
    <w:rsid w:val="00900B08"/>
    <w:rsid w:val="00902155"/>
    <w:rsid w:val="00902FA3"/>
    <w:rsid w:val="00921781"/>
    <w:rsid w:val="00923564"/>
    <w:rsid w:val="0092392E"/>
    <w:rsid w:val="009315F9"/>
    <w:rsid w:val="00933499"/>
    <w:rsid w:val="00935C98"/>
    <w:rsid w:val="00946945"/>
    <w:rsid w:val="00951248"/>
    <w:rsid w:val="0095152F"/>
    <w:rsid w:val="00954C49"/>
    <w:rsid w:val="00955E37"/>
    <w:rsid w:val="0097099F"/>
    <w:rsid w:val="00971997"/>
    <w:rsid w:val="00971FFC"/>
    <w:rsid w:val="009735B5"/>
    <w:rsid w:val="00973FB7"/>
    <w:rsid w:val="00981ACD"/>
    <w:rsid w:val="0098660A"/>
    <w:rsid w:val="009931C3"/>
    <w:rsid w:val="009B2336"/>
    <w:rsid w:val="009B2C43"/>
    <w:rsid w:val="009B4EAE"/>
    <w:rsid w:val="009B7573"/>
    <w:rsid w:val="009C22F4"/>
    <w:rsid w:val="009C2E98"/>
    <w:rsid w:val="009C37FB"/>
    <w:rsid w:val="009D3447"/>
    <w:rsid w:val="009D4711"/>
    <w:rsid w:val="009F0A32"/>
    <w:rsid w:val="009F1185"/>
    <w:rsid w:val="009F18CD"/>
    <w:rsid w:val="009F2A13"/>
    <w:rsid w:val="009F7527"/>
    <w:rsid w:val="00A039ED"/>
    <w:rsid w:val="00A04EB0"/>
    <w:rsid w:val="00A129BD"/>
    <w:rsid w:val="00A13CC1"/>
    <w:rsid w:val="00A16847"/>
    <w:rsid w:val="00A237D8"/>
    <w:rsid w:val="00A268C4"/>
    <w:rsid w:val="00A307CD"/>
    <w:rsid w:val="00A331C8"/>
    <w:rsid w:val="00A35117"/>
    <w:rsid w:val="00A40A00"/>
    <w:rsid w:val="00A4142F"/>
    <w:rsid w:val="00A422EB"/>
    <w:rsid w:val="00A45BB7"/>
    <w:rsid w:val="00A46C05"/>
    <w:rsid w:val="00A56DF2"/>
    <w:rsid w:val="00A56E6E"/>
    <w:rsid w:val="00A61574"/>
    <w:rsid w:val="00A67AB5"/>
    <w:rsid w:val="00A733B2"/>
    <w:rsid w:val="00A741C2"/>
    <w:rsid w:val="00A91760"/>
    <w:rsid w:val="00A92127"/>
    <w:rsid w:val="00A93B00"/>
    <w:rsid w:val="00A93C21"/>
    <w:rsid w:val="00AA1112"/>
    <w:rsid w:val="00AB64C9"/>
    <w:rsid w:val="00AC3C6A"/>
    <w:rsid w:val="00AD04BA"/>
    <w:rsid w:val="00AD0F83"/>
    <w:rsid w:val="00AD3BA6"/>
    <w:rsid w:val="00AD5620"/>
    <w:rsid w:val="00AD656B"/>
    <w:rsid w:val="00AD7C1B"/>
    <w:rsid w:val="00AE16BA"/>
    <w:rsid w:val="00AE1EBE"/>
    <w:rsid w:val="00AF3C51"/>
    <w:rsid w:val="00B03C9D"/>
    <w:rsid w:val="00B060AE"/>
    <w:rsid w:val="00B10517"/>
    <w:rsid w:val="00B14E76"/>
    <w:rsid w:val="00B161B8"/>
    <w:rsid w:val="00B2048C"/>
    <w:rsid w:val="00B310B9"/>
    <w:rsid w:val="00B338B9"/>
    <w:rsid w:val="00B35F3F"/>
    <w:rsid w:val="00B36CBB"/>
    <w:rsid w:val="00B425E0"/>
    <w:rsid w:val="00B440AA"/>
    <w:rsid w:val="00B44B70"/>
    <w:rsid w:val="00B53C56"/>
    <w:rsid w:val="00B55D5B"/>
    <w:rsid w:val="00B57DAF"/>
    <w:rsid w:val="00B71F8D"/>
    <w:rsid w:val="00B77EA6"/>
    <w:rsid w:val="00B81598"/>
    <w:rsid w:val="00B841F1"/>
    <w:rsid w:val="00B944D6"/>
    <w:rsid w:val="00BB2C84"/>
    <w:rsid w:val="00BB4DF0"/>
    <w:rsid w:val="00BC084F"/>
    <w:rsid w:val="00BC14DA"/>
    <w:rsid w:val="00BC289F"/>
    <w:rsid w:val="00BC2D50"/>
    <w:rsid w:val="00BC5361"/>
    <w:rsid w:val="00BC5460"/>
    <w:rsid w:val="00BC6B50"/>
    <w:rsid w:val="00BC7587"/>
    <w:rsid w:val="00BC7E9A"/>
    <w:rsid w:val="00BD0E25"/>
    <w:rsid w:val="00BD567B"/>
    <w:rsid w:val="00BF5BD6"/>
    <w:rsid w:val="00C00088"/>
    <w:rsid w:val="00C0172B"/>
    <w:rsid w:val="00C03E31"/>
    <w:rsid w:val="00C0700D"/>
    <w:rsid w:val="00C10704"/>
    <w:rsid w:val="00C23DF6"/>
    <w:rsid w:val="00C30E69"/>
    <w:rsid w:val="00C33E72"/>
    <w:rsid w:val="00C354B2"/>
    <w:rsid w:val="00C35554"/>
    <w:rsid w:val="00C40A78"/>
    <w:rsid w:val="00C42709"/>
    <w:rsid w:val="00C44F57"/>
    <w:rsid w:val="00C533CC"/>
    <w:rsid w:val="00C5751C"/>
    <w:rsid w:val="00C61BFC"/>
    <w:rsid w:val="00C62B85"/>
    <w:rsid w:val="00C65438"/>
    <w:rsid w:val="00C80440"/>
    <w:rsid w:val="00C91CBB"/>
    <w:rsid w:val="00C92A53"/>
    <w:rsid w:val="00CA5709"/>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04D2"/>
    <w:rsid w:val="00D51276"/>
    <w:rsid w:val="00D51920"/>
    <w:rsid w:val="00D63930"/>
    <w:rsid w:val="00D7035F"/>
    <w:rsid w:val="00DA5BC9"/>
    <w:rsid w:val="00DA634F"/>
    <w:rsid w:val="00DA65AC"/>
    <w:rsid w:val="00DB1913"/>
    <w:rsid w:val="00DC1361"/>
    <w:rsid w:val="00DC410D"/>
    <w:rsid w:val="00DC5A81"/>
    <w:rsid w:val="00DC68CA"/>
    <w:rsid w:val="00DC7CBA"/>
    <w:rsid w:val="00DD73B7"/>
    <w:rsid w:val="00DF28BC"/>
    <w:rsid w:val="00DF34B9"/>
    <w:rsid w:val="00E01053"/>
    <w:rsid w:val="00E04239"/>
    <w:rsid w:val="00E07ACF"/>
    <w:rsid w:val="00E331A1"/>
    <w:rsid w:val="00E33202"/>
    <w:rsid w:val="00E336A9"/>
    <w:rsid w:val="00E45202"/>
    <w:rsid w:val="00E472B1"/>
    <w:rsid w:val="00E4740A"/>
    <w:rsid w:val="00E50624"/>
    <w:rsid w:val="00E568DF"/>
    <w:rsid w:val="00E64269"/>
    <w:rsid w:val="00E66797"/>
    <w:rsid w:val="00E77321"/>
    <w:rsid w:val="00E82267"/>
    <w:rsid w:val="00E853CE"/>
    <w:rsid w:val="00E867B6"/>
    <w:rsid w:val="00E87F08"/>
    <w:rsid w:val="00EA010F"/>
    <w:rsid w:val="00EC7970"/>
    <w:rsid w:val="00ED1B63"/>
    <w:rsid w:val="00ED2431"/>
    <w:rsid w:val="00ED3C1F"/>
    <w:rsid w:val="00ED4085"/>
    <w:rsid w:val="00ED420E"/>
    <w:rsid w:val="00ED6FBE"/>
    <w:rsid w:val="00EE2F57"/>
    <w:rsid w:val="00EF4C34"/>
    <w:rsid w:val="00EF70EB"/>
    <w:rsid w:val="00EF77C6"/>
    <w:rsid w:val="00F05438"/>
    <w:rsid w:val="00F1361C"/>
    <w:rsid w:val="00F156F0"/>
    <w:rsid w:val="00F160C7"/>
    <w:rsid w:val="00F2408F"/>
    <w:rsid w:val="00F240E9"/>
    <w:rsid w:val="00F35E63"/>
    <w:rsid w:val="00F36D8F"/>
    <w:rsid w:val="00F417B1"/>
    <w:rsid w:val="00F45853"/>
    <w:rsid w:val="00F602DF"/>
    <w:rsid w:val="00F71E92"/>
    <w:rsid w:val="00F754A1"/>
    <w:rsid w:val="00F81FD9"/>
    <w:rsid w:val="00F841AA"/>
    <w:rsid w:val="00F84A94"/>
    <w:rsid w:val="00F87E96"/>
    <w:rsid w:val="00F91249"/>
    <w:rsid w:val="00FA23E8"/>
    <w:rsid w:val="00FA586E"/>
    <w:rsid w:val="00FD3CC1"/>
    <w:rsid w:val="00FE7366"/>
    <w:rsid w:val="00FE7819"/>
    <w:rsid w:val="00FF1E02"/>
    <w:rsid w:val="00FF30B4"/>
    <w:rsid w:val="058C072B"/>
    <w:rsid w:val="07DE0A6C"/>
    <w:rsid w:val="084A3A48"/>
    <w:rsid w:val="09CF1707"/>
    <w:rsid w:val="0A3C0A6C"/>
    <w:rsid w:val="0A4B1C59"/>
    <w:rsid w:val="0AFC619F"/>
    <w:rsid w:val="0B3B1F00"/>
    <w:rsid w:val="0DD75714"/>
    <w:rsid w:val="0E1E2A88"/>
    <w:rsid w:val="0E946040"/>
    <w:rsid w:val="10C055FF"/>
    <w:rsid w:val="10C07695"/>
    <w:rsid w:val="10DE3302"/>
    <w:rsid w:val="111051E3"/>
    <w:rsid w:val="112B4A7C"/>
    <w:rsid w:val="1248787E"/>
    <w:rsid w:val="131D1574"/>
    <w:rsid w:val="1438021D"/>
    <w:rsid w:val="146002B9"/>
    <w:rsid w:val="14600B8F"/>
    <w:rsid w:val="14DE6368"/>
    <w:rsid w:val="14FF7D2F"/>
    <w:rsid w:val="1515286D"/>
    <w:rsid w:val="160E2BE2"/>
    <w:rsid w:val="1627130E"/>
    <w:rsid w:val="16BB723D"/>
    <w:rsid w:val="16F81AAD"/>
    <w:rsid w:val="17B776CF"/>
    <w:rsid w:val="18A800DC"/>
    <w:rsid w:val="18A8056D"/>
    <w:rsid w:val="19026AB4"/>
    <w:rsid w:val="19627B5E"/>
    <w:rsid w:val="199968DD"/>
    <w:rsid w:val="1A4B1CDF"/>
    <w:rsid w:val="1C1C5ED4"/>
    <w:rsid w:val="1D957489"/>
    <w:rsid w:val="1E1938A6"/>
    <w:rsid w:val="1E864938"/>
    <w:rsid w:val="1EA11F9F"/>
    <w:rsid w:val="1ED1539A"/>
    <w:rsid w:val="1EF4767A"/>
    <w:rsid w:val="204A4A1C"/>
    <w:rsid w:val="20BD0DD2"/>
    <w:rsid w:val="2123219E"/>
    <w:rsid w:val="21420682"/>
    <w:rsid w:val="240371BF"/>
    <w:rsid w:val="268B12D0"/>
    <w:rsid w:val="2731350E"/>
    <w:rsid w:val="295364FC"/>
    <w:rsid w:val="29FD04D3"/>
    <w:rsid w:val="2A990C6A"/>
    <w:rsid w:val="2AD71259"/>
    <w:rsid w:val="2AE913DA"/>
    <w:rsid w:val="2B7C0BFA"/>
    <w:rsid w:val="2B8D5151"/>
    <w:rsid w:val="2DB027A8"/>
    <w:rsid w:val="2FEC4ED7"/>
    <w:rsid w:val="308E13C4"/>
    <w:rsid w:val="319F7F4E"/>
    <w:rsid w:val="31A04E90"/>
    <w:rsid w:val="31B5337B"/>
    <w:rsid w:val="31E103CC"/>
    <w:rsid w:val="32566F47"/>
    <w:rsid w:val="32673702"/>
    <w:rsid w:val="360A7919"/>
    <w:rsid w:val="362C5056"/>
    <w:rsid w:val="3678361F"/>
    <w:rsid w:val="37422BA0"/>
    <w:rsid w:val="395E1E4F"/>
    <w:rsid w:val="39EA3F3A"/>
    <w:rsid w:val="39FE6156"/>
    <w:rsid w:val="3A5D73E6"/>
    <w:rsid w:val="3A6B3C1F"/>
    <w:rsid w:val="3ACC3754"/>
    <w:rsid w:val="3B5C50A2"/>
    <w:rsid w:val="3BC84E62"/>
    <w:rsid w:val="3C1B662B"/>
    <w:rsid w:val="3C233C19"/>
    <w:rsid w:val="3C340349"/>
    <w:rsid w:val="3C430BCD"/>
    <w:rsid w:val="3C740204"/>
    <w:rsid w:val="3CD07AAA"/>
    <w:rsid w:val="3D527E33"/>
    <w:rsid w:val="3E7F5346"/>
    <w:rsid w:val="3E865794"/>
    <w:rsid w:val="40A02CF9"/>
    <w:rsid w:val="40EE2169"/>
    <w:rsid w:val="415B6549"/>
    <w:rsid w:val="419E0DFD"/>
    <w:rsid w:val="41EA284C"/>
    <w:rsid w:val="42467679"/>
    <w:rsid w:val="427C1B91"/>
    <w:rsid w:val="42B67EDD"/>
    <w:rsid w:val="43E80302"/>
    <w:rsid w:val="4478018A"/>
    <w:rsid w:val="447A7E94"/>
    <w:rsid w:val="44DE0C91"/>
    <w:rsid w:val="46826F27"/>
    <w:rsid w:val="47580A3F"/>
    <w:rsid w:val="48147B0E"/>
    <w:rsid w:val="48AB0499"/>
    <w:rsid w:val="493333A4"/>
    <w:rsid w:val="4A742A2B"/>
    <w:rsid w:val="4B3711DA"/>
    <w:rsid w:val="4B544FC7"/>
    <w:rsid w:val="4BC36FDC"/>
    <w:rsid w:val="4BF54C17"/>
    <w:rsid w:val="4D532219"/>
    <w:rsid w:val="4E4E5C98"/>
    <w:rsid w:val="4ECE2238"/>
    <w:rsid w:val="4F20722D"/>
    <w:rsid w:val="4F9E3D48"/>
    <w:rsid w:val="50847E3F"/>
    <w:rsid w:val="509609B8"/>
    <w:rsid w:val="51423736"/>
    <w:rsid w:val="52962D15"/>
    <w:rsid w:val="529F4220"/>
    <w:rsid w:val="52FB61EE"/>
    <w:rsid w:val="53FD0FD0"/>
    <w:rsid w:val="551A04A3"/>
    <w:rsid w:val="566C64F2"/>
    <w:rsid w:val="5861216A"/>
    <w:rsid w:val="59870923"/>
    <w:rsid w:val="5A7826CE"/>
    <w:rsid w:val="5AE052DB"/>
    <w:rsid w:val="5C605F53"/>
    <w:rsid w:val="5DEB64B6"/>
    <w:rsid w:val="5E413410"/>
    <w:rsid w:val="5F3E27B6"/>
    <w:rsid w:val="5F8222E6"/>
    <w:rsid w:val="5F956146"/>
    <w:rsid w:val="5FF2518A"/>
    <w:rsid w:val="60984E8D"/>
    <w:rsid w:val="61E47C14"/>
    <w:rsid w:val="63676635"/>
    <w:rsid w:val="63FA097E"/>
    <w:rsid w:val="63FF2A9B"/>
    <w:rsid w:val="644276AC"/>
    <w:rsid w:val="65E41219"/>
    <w:rsid w:val="660855D2"/>
    <w:rsid w:val="67736FF5"/>
    <w:rsid w:val="67C839AC"/>
    <w:rsid w:val="6847141C"/>
    <w:rsid w:val="6854692B"/>
    <w:rsid w:val="691A348B"/>
    <w:rsid w:val="6A194C42"/>
    <w:rsid w:val="6A543F22"/>
    <w:rsid w:val="6B534062"/>
    <w:rsid w:val="6B942172"/>
    <w:rsid w:val="6B9C1000"/>
    <w:rsid w:val="6BB96779"/>
    <w:rsid w:val="6D2F34DE"/>
    <w:rsid w:val="6D4076D6"/>
    <w:rsid w:val="6DCB7D73"/>
    <w:rsid w:val="6E245129"/>
    <w:rsid w:val="6E633B4F"/>
    <w:rsid w:val="6FB502F8"/>
    <w:rsid w:val="71D27A57"/>
    <w:rsid w:val="72734D90"/>
    <w:rsid w:val="769B4839"/>
    <w:rsid w:val="76C25776"/>
    <w:rsid w:val="775146FA"/>
    <w:rsid w:val="77B55D7E"/>
    <w:rsid w:val="78CB58F9"/>
    <w:rsid w:val="78E87F4E"/>
    <w:rsid w:val="79306B95"/>
    <w:rsid w:val="799B1046"/>
    <w:rsid w:val="7A6969ED"/>
    <w:rsid w:val="7AB71011"/>
    <w:rsid w:val="7ABF427F"/>
    <w:rsid w:val="7D3E4C1B"/>
    <w:rsid w:val="7DDB115E"/>
    <w:rsid w:val="7E1F67A2"/>
    <w:rsid w:val="7E4321D4"/>
    <w:rsid w:val="7FDD5EE9"/>
    <w:rsid w:val="DCBD13B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semiHidden/>
    <w:qFormat/>
    <w:uiPriority w:val="99"/>
    <w:pPr>
      <w:tabs>
        <w:tab w:val="right" w:leader="dot" w:pos="8296"/>
      </w:tabs>
      <w:adjustRightInd w:val="0"/>
      <w:snapToGrid w:val="0"/>
      <w:spacing w:line="380" w:lineRule="exact"/>
      <w:jc w:val="left"/>
    </w:pPr>
    <w:rPr>
      <w:rFonts w:ascii="黑体" w:hAnsi="黑体" w:eastAsia="黑体" w:cs="黑体"/>
      <w:sz w:val="24"/>
      <w:szCs w:val="24"/>
    </w:rPr>
  </w:style>
  <w:style w:type="paragraph" w:styleId="11">
    <w:name w:val="toc 2"/>
    <w:basedOn w:val="1"/>
    <w:next w:val="1"/>
    <w:semiHidden/>
    <w:qFormat/>
    <w:uiPriority w:val="99"/>
    <w:pPr>
      <w:tabs>
        <w:tab w:val="right" w:leader="dot" w:pos="8296"/>
      </w:tabs>
      <w:ind w:left="420" w:leftChars="200"/>
    </w:pPr>
  </w:style>
  <w:style w:type="character" w:styleId="14">
    <w:name w:val="Strong"/>
    <w:basedOn w:val="13"/>
    <w:qFormat/>
    <w:uiPriority w:val="99"/>
    <w:rPr>
      <w:rFonts w:cs="Times New Roman"/>
      <w:b/>
      <w:bCs/>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7">
    <w:name w:val="标题 1 Char"/>
    <w:basedOn w:val="13"/>
    <w:link w:val="2"/>
    <w:qFormat/>
    <w:locked/>
    <w:uiPriority w:val="99"/>
    <w:rPr>
      <w:rFonts w:ascii="Times New Roman" w:hAnsi="Times New Roman" w:cs="Times New Roman"/>
      <w:b/>
      <w:bCs/>
      <w:kern w:val="44"/>
      <w:sz w:val="44"/>
      <w:szCs w:val="44"/>
    </w:rPr>
  </w:style>
  <w:style w:type="character" w:customStyle="1" w:styleId="18">
    <w:name w:val="标题 2 Char"/>
    <w:basedOn w:val="13"/>
    <w:link w:val="3"/>
    <w:qFormat/>
    <w:locked/>
    <w:uiPriority w:val="99"/>
    <w:rPr>
      <w:rFonts w:ascii="Cambria" w:hAnsi="Cambria" w:eastAsia="宋体" w:cs="Cambria"/>
      <w:b/>
      <w:bCs/>
      <w:kern w:val="2"/>
      <w:sz w:val="32"/>
      <w:szCs w:val="32"/>
    </w:rPr>
  </w:style>
  <w:style w:type="character" w:customStyle="1" w:styleId="19">
    <w:name w:val="标题 3 Char"/>
    <w:basedOn w:val="13"/>
    <w:link w:val="4"/>
    <w:qFormat/>
    <w:locked/>
    <w:uiPriority w:val="99"/>
    <w:rPr>
      <w:rFonts w:ascii="Times New Roman" w:hAnsi="Times New Roman" w:cs="Times New Roman"/>
      <w:b/>
      <w:bCs/>
      <w:kern w:val="2"/>
      <w:sz w:val="32"/>
      <w:szCs w:val="32"/>
    </w:rPr>
  </w:style>
  <w:style w:type="character" w:customStyle="1" w:styleId="20">
    <w:name w:val="Body Text Char"/>
    <w:basedOn w:val="13"/>
    <w:link w:val="5"/>
    <w:semiHidden/>
    <w:qFormat/>
    <w:locked/>
    <w:uiPriority w:val="99"/>
    <w:rPr>
      <w:rFonts w:ascii="Times New Roman" w:hAnsi="Times New Roman" w:cs="Times New Roman"/>
      <w:sz w:val="24"/>
      <w:szCs w:val="24"/>
    </w:rPr>
  </w:style>
  <w:style w:type="character" w:customStyle="1" w:styleId="21">
    <w:name w:val="批注框文本 Char"/>
    <w:basedOn w:val="13"/>
    <w:link w:val="7"/>
    <w:semiHidden/>
    <w:qFormat/>
    <w:locked/>
    <w:uiPriority w:val="99"/>
    <w:rPr>
      <w:rFonts w:ascii="Times New Roman" w:hAnsi="Times New Roman" w:cs="Times New Roman"/>
      <w:kern w:val="2"/>
      <w:sz w:val="18"/>
      <w:szCs w:val="18"/>
    </w:rPr>
  </w:style>
  <w:style w:type="character" w:customStyle="1" w:styleId="22">
    <w:name w:val="Footer Char"/>
    <w:basedOn w:val="13"/>
    <w:link w:val="8"/>
    <w:semiHidden/>
    <w:qFormat/>
    <w:locked/>
    <w:uiPriority w:val="99"/>
    <w:rPr>
      <w:rFonts w:ascii="Times New Roman" w:hAnsi="Times New Roman" w:cs="Times New Roman"/>
      <w:sz w:val="18"/>
      <w:szCs w:val="18"/>
    </w:rPr>
  </w:style>
  <w:style w:type="character" w:customStyle="1" w:styleId="23">
    <w:name w:val="Header Char"/>
    <w:basedOn w:val="13"/>
    <w:link w:val="9"/>
    <w:semiHidden/>
    <w:qFormat/>
    <w:locked/>
    <w:uiPriority w:val="99"/>
    <w:rPr>
      <w:rFonts w:ascii="Times New Roman" w:hAnsi="Times New Roman" w:cs="Times New Roman"/>
      <w:sz w:val="18"/>
      <w:szCs w:val="18"/>
    </w:rPr>
  </w:style>
  <w:style w:type="character" w:customStyle="1" w:styleId="24">
    <w:name w:val="页眉 Char"/>
    <w:link w:val="9"/>
    <w:semiHidden/>
    <w:qFormat/>
    <w:locked/>
    <w:uiPriority w:val="99"/>
    <w:rPr>
      <w:sz w:val="18"/>
    </w:rPr>
  </w:style>
  <w:style w:type="character" w:customStyle="1" w:styleId="25">
    <w:name w:val="页脚 Char"/>
    <w:link w:val="8"/>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1">
    <w:name w:val="列出段落1"/>
    <w:basedOn w:val="1"/>
    <w:qFormat/>
    <w:uiPriority w:val="0"/>
    <w:pPr>
      <w:ind w:firstLine="420" w:firstLineChars="200"/>
    </w:pPr>
  </w:style>
  <w:style w:type="paragraph" w:customStyle="1" w:styleId="32">
    <w:name w:val="列出段落2"/>
    <w:basedOn w:val="1"/>
    <w:qFormat/>
    <w:uiPriority w:val="0"/>
    <w:pPr>
      <w:ind w:firstLine="420" w:firstLineChars="200"/>
    </w:pPr>
  </w:style>
  <w:style w:type="character" w:customStyle="1" w:styleId="33">
    <w:name w:val="font31"/>
    <w:qFormat/>
    <w:uiPriority w:val="0"/>
    <w:rPr>
      <w:rFonts w:hint="eastAsia" w:ascii="仿宋_GB2312" w:eastAsia="仿宋_GB2312" w:cs="仿宋_GB2312"/>
      <w:color w:val="000000"/>
      <w:sz w:val="24"/>
      <w:szCs w:val="24"/>
      <w:u w:val="none"/>
    </w:rPr>
  </w:style>
  <w:style w:type="character" w:customStyle="1" w:styleId="34">
    <w:name w:val="font41"/>
    <w:qFormat/>
    <w:uiPriority w:val="0"/>
    <w:rPr>
      <w:rFonts w:hint="eastAsia" w:ascii="仿宋_GB2312" w:eastAsia="仿宋_GB2312" w:cs="仿宋_GB2312"/>
      <w:color w:val="000000"/>
      <w:sz w:val="18"/>
      <w:szCs w:val="18"/>
      <w:u w:val="none"/>
    </w:rPr>
  </w:style>
  <w:style w:type="character" w:customStyle="1" w:styleId="35">
    <w:name w:val="font51"/>
    <w:qFormat/>
    <w:uiPriority w:val="0"/>
    <w:rPr>
      <w:rFonts w:hint="eastAsia" w:ascii="仿宋_GB2312" w:eastAsia="仿宋_GB2312" w:cs="仿宋_GB2312"/>
      <w:color w:val="000000"/>
      <w:sz w:val="32"/>
      <w:szCs w:val="32"/>
      <w:u w:val="none"/>
    </w:rPr>
  </w:style>
  <w:style w:type="character" w:customStyle="1" w:styleId="36">
    <w:name w:val="font01"/>
    <w:qFormat/>
    <w:uiPriority w:val="0"/>
    <w:rPr>
      <w:rFonts w:hint="eastAsia" w:ascii="仿宋_GB2312" w:eastAsia="仿宋_GB2312" w:cs="仿宋_GB2312"/>
      <w:color w:val="000000"/>
      <w:sz w:val="21"/>
      <w:szCs w:val="21"/>
      <w:u w:val="none"/>
    </w:rPr>
  </w:style>
  <w:style w:type="character" w:customStyle="1" w:styleId="37">
    <w:name w:val="标题 1 字符"/>
    <w:link w:val="2"/>
    <w:qFormat/>
    <w:locked/>
    <w:uiPriority w:val="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22</Pages>
  <Words>9562</Words>
  <Characters>10124</Characters>
  <Lines>168</Lines>
  <Paragraphs>47</Paragraphs>
  <TotalTime>8</TotalTime>
  <ScaleCrop>false</ScaleCrop>
  <LinksUpToDate>false</LinksUpToDate>
  <CharactersWithSpaces>10198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2020-09-24T10:00:00Z</dcterms:created>
  <dc:creator>曹颖</dc:creator>
  <cp:lastModifiedBy>WPS_1466565073</cp:lastModifiedBy>
  <cp:lastPrinted>2021-05-21T21:39:00Z</cp:lastPrinted>
  <dcterms:modified xsi:type="dcterms:W3CDTF">2022-10-27T08:50:54Z</dcterms:modified>
  <dc:title>四川省***</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EA410B031CC54280B9B9542B1A0B50A9</vt:lpwstr>
  </property>
</Properties>
</file>